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3AFE" w14:textId="5F97E1D2" w:rsidR="00B0313E" w:rsidRPr="002768BA" w:rsidRDefault="00B0313E" w:rsidP="000C1D3E">
      <w:pPr>
        <w:spacing w:after="0"/>
        <w:rPr>
          <w:rFonts w:ascii="Arial" w:hAnsi="Arial" w:cs="Arial"/>
          <w:sz w:val="20"/>
          <w:szCs w:val="20"/>
          <w:highlight w:val="yellow"/>
        </w:rPr>
      </w:pPr>
    </w:p>
    <w:p w14:paraId="7B8B8D1A" w14:textId="2C584222" w:rsidR="00FF3DF3" w:rsidRPr="002768BA" w:rsidRDefault="00555EEE" w:rsidP="00555EEE">
      <w:pPr>
        <w:jc w:val="center"/>
        <w:rPr>
          <w:rFonts w:ascii="Arial" w:hAnsi="Arial" w:cs="Arial"/>
          <w:sz w:val="20"/>
          <w:szCs w:val="20"/>
          <w:highlight w:val="yellow"/>
        </w:rPr>
      </w:pPr>
      <w:r w:rsidRPr="00555EEE">
        <w:rPr>
          <w:rFonts w:ascii="Arial" w:hAnsi="Arial" w:cs="Arial"/>
          <w:noProof/>
          <w:sz w:val="20"/>
          <w:szCs w:val="20"/>
        </w:rPr>
        <w:drawing>
          <wp:inline distT="0" distB="0" distL="0" distR="0" wp14:anchorId="2E91F5C7" wp14:editId="484AF7EF">
            <wp:extent cx="2586851" cy="1143000"/>
            <wp:effectExtent l="0" t="0" r="4445" b="0"/>
            <wp:docPr id="2" name="Рисунок 2" descr="Изображение выглядит как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логотип&#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89" cy="1186848"/>
                    </a:xfrm>
                    <a:prstGeom prst="rect">
                      <a:avLst/>
                    </a:prstGeom>
                    <a:noFill/>
                    <a:ln>
                      <a:noFill/>
                    </a:ln>
                  </pic:spPr>
                </pic:pic>
              </a:graphicData>
            </a:graphic>
          </wp:inline>
        </w:drawing>
      </w:r>
    </w:p>
    <w:p w14:paraId="631BC6F7" w14:textId="712F15C8" w:rsidR="00EE0285" w:rsidRPr="002768BA" w:rsidRDefault="001C1CAF" w:rsidP="000C1D3E">
      <w:pPr>
        <w:spacing w:after="0"/>
        <w:jc w:val="center"/>
        <w:rPr>
          <w:rFonts w:ascii="Arial" w:hAnsi="Arial" w:cs="Arial"/>
          <w:sz w:val="20"/>
          <w:szCs w:val="20"/>
        </w:rPr>
      </w:pPr>
      <w:r w:rsidRPr="004343DD">
        <w:rPr>
          <w:rFonts w:ascii="Arial" w:hAnsi="Arial" w:cs="Arial"/>
          <w:sz w:val="20"/>
          <w:szCs w:val="20"/>
        </w:rPr>
        <w:t xml:space="preserve">11 </w:t>
      </w:r>
      <w:r w:rsidRPr="001C1CAF">
        <w:rPr>
          <w:rFonts w:ascii="Arial" w:hAnsi="Arial" w:cs="Arial"/>
          <w:sz w:val="20"/>
          <w:szCs w:val="20"/>
        </w:rPr>
        <w:t xml:space="preserve">April </w:t>
      </w:r>
      <w:r w:rsidR="00E22622" w:rsidRPr="001C1CAF">
        <w:rPr>
          <w:rFonts w:ascii="Arial" w:hAnsi="Arial" w:cs="Arial"/>
          <w:sz w:val="20"/>
          <w:szCs w:val="20"/>
        </w:rPr>
        <w:t>202</w:t>
      </w:r>
      <w:r w:rsidR="00E152E5" w:rsidRPr="001C1CAF">
        <w:rPr>
          <w:rFonts w:ascii="Arial" w:hAnsi="Arial" w:cs="Arial"/>
          <w:sz w:val="20"/>
          <w:szCs w:val="20"/>
        </w:rPr>
        <w:t>3</w:t>
      </w:r>
      <w:r w:rsidR="00EE0285" w:rsidRPr="001C1CAF">
        <w:rPr>
          <w:rFonts w:ascii="Arial" w:hAnsi="Arial" w:cs="Arial"/>
          <w:sz w:val="20"/>
          <w:szCs w:val="20"/>
        </w:rPr>
        <w:t xml:space="preserve">, </w:t>
      </w:r>
      <w:r w:rsidR="00D57721" w:rsidRPr="001C1CAF">
        <w:rPr>
          <w:rFonts w:ascii="Arial" w:hAnsi="Arial" w:cs="Arial"/>
          <w:sz w:val="20"/>
          <w:szCs w:val="20"/>
        </w:rPr>
        <w:t>Limassol, Cyprus</w:t>
      </w:r>
    </w:p>
    <w:p w14:paraId="3BACE160" w14:textId="1242667A" w:rsidR="00EE0285" w:rsidRPr="002768BA" w:rsidRDefault="00EE0285" w:rsidP="000C1D3E">
      <w:pPr>
        <w:pStyle w:val="TMMPlaintext1"/>
        <w:jc w:val="center"/>
        <w:rPr>
          <w:rFonts w:ascii="Arial" w:hAnsi="Arial" w:cs="Arial"/>
          <w:b/>
          <w:szCs w:val="20"/>
        </w:rPr>
      </w:pPr>
      <w:r w:rsidRPr="002768BA">
        <w:rPr>
          <w:rFonts w:ascii="Arial" w:hAnsi="Arial" w:cs="Arial"/>
          <w:b/>
          <w:szCs w:val="20"/>
        </w:rPr>
        <w:t>MHP S</w:t>
      </w:r>
      <w:r w:rsidR="00A53835" w:rsidRPr="002768BA">
        <w:rPr>
          <w:rFonts w:ascii="Arial" w:hAnsi="Arial" w:cs="Arial"/>
          <w:b/>
          <w:szCs w:val="20"/>
        </w:rPr>
        <w:t>E</w:t>
      </w:r>
    </w:p>
    <w:p w14:paraId="724EEC13" w14:textId="660C6CD6" w:rsidR="00EE0285" w:rsidRPr="002768BA" w:rsidRDefault="00EE0285" w:rsidP="000C1D3E">
      <w:pPr>
        <w:pStyle w:val="TMMPlaintext1"/>
        <w:spacing w:before="240" w:after="240"/>
        <w:jc w:val="center"/>
        <w:rPr>
          <w:rFonts w:ascii="Arial" w:hAnsi="Arial" w:cs="Arial"/>
          <w:b/>
          <w:szCs w:val="20"/>
        </w:rPr>
      </w:pPr>
      <w:r w:rsidRPr="002768BA">
        <w:rPr>
          <w:rFonts w:ascii="Arial" w:hAnsi="Arial" w:cs="Arial"/>
          <w:b/>
          <w:szCs w:val="20"/>
        </w:rPr>
        <w:t xml:space="preserve">Financial Results for the </w:t>
      </w:r>
      <w:r w:rsidR="00E152E5">
        <w:rPr>
          <w:rFonts w:ascii="Arial" w:hAnsi="Arial" w:cs="Arial"/>
          <w:b/>
          <w:szCs w:val="20"/>
        </w:rPr>
        <w:t>Fourth</w:t>
      </w:r>
      <w:r w:rsidR="007A1355" w:rsidRPr="002768BA">
        <w:rPr>
          <w:rFonts w:ascii="Arial" w:hAnsi="Arial" w:cs="Arial"/>
          <w:b/>
          <w:szCs w:val="20"/>
        </w:rPr>
        <w:t xml:space="preserve"> </w:t>
      </w:r>
      <w:r w:rsidRPr="002768BA">
        <w:rPr>
          <w:rFonts w:ascii="Arial" w:hAnsi="Arial" w:cs="Arial"/>
          <w:b/>
          <w:szCs w:val="20"/>
        </w:rPr>
        <w:t>Quarter</w:t>
      </w:r>
      <w:r w:rsidR="00072690">
        <w:rPr>
          <w:rFonts w:ascii="Arial" w:hAnsi="Arial" w:cs="Arial"/>
          <w:b/>
          <w:szCs w:val="20"/>
          <w:lang w:val="uk-UA"/>
        </w:rPr>
        <w:t xml:space="preserve"> </w:t>
      </w:r>
      <w:r w:rsidR="00072690">
        <w:rPr>
          <w:rFonts w:ascii="Arial" w:hAnsi="Arial" w:cs="Arial"/>
          <w:b/>
          <w:szCs w:val="20"/>
        </w:rPr>
        <w:t xml:space="preserve">and </w:t>
      </w:r>
      <w:r w:rsidR="00E152E5">
        <w:rPr>
          <w:rFonts w:ascii="Arial" w:hAnsi="Arial" w:cs="Arial"/>
          <w:b/>
          <w:szCs w:val="20"/>
        </w:rPr>
        <w:t>Twelve</w:t>
      </w:r>
      <w:r w:rsidR="00072690">
        <w:rPr>
          <w:rFonts w:ascii="Arial" w:hAnsi="Arial" w:cs="Arial"/>
          <w:b/>
          <w:szCs w:val="20"/>
        </w:rPr>
        <w:t xml:space="preserve"> Months</w:t>
      </w:r>
      <w:r w:rsidR="008B01B0" w:rsidRPr="002768BA">
        <w:rPr>
          <w:rFonts w:ascii="Arial" w:hAnsi="Arial" w:cs="Arial"/>
          <w:b/>
          <w:szCs w:val="20"/>
        </w:rPr>
        <w:t xml:space="preserve"> ended</w:t>
      </w:r>
      <w:r w:rsidR="006C7CEB" w:rsidRPr="002768BA">
        <w:rPr>
          <w:rFonts w:ascii="Arial" w:hAnsi="Arial" w:cs="Arial"/>
          <w:b/>
          <w:szCs w:val="20"/>
        </w:rPr>
        <w:t xml:space="preserve"> </w:t>
      </w:r>
      <w:r w:rsidR="00212B45" w:rsidRPr="00212B45">
        <w:rPr>
          <w:rFonts w:ascii="Arial" w:eastAsiaTheme="minorHAnsi" w:hAnsi="Arial" w:cs="Arial"/>
          <w:b/>
          <w:color w:val="auto"/>
          <w:szCs w:val="20"/>
          <w:lang w:eastAsia="en-US"/>
        </w:rPr>
        <w:t>3</w:t>
      </w:r>
      <w:r w:rsidR="00E152E5">
        <w:rPr>
          <w:rFonts w:ascii="Arial" w:eastAsiaTheme="minorHAnsi" w:hAnsi="Arial" w:cs="Arial"/>
          <w:b/>
          <w:color w:val="auto"/>
          <w:szCs w:val="20"/>
          <w:lang w:eastAsia="en-US"/>
        </w:rPr>
        <w:t>1</w:t>
      </w:r>
      <w:r w:rsidR="00212B45" w:rsidRPr="00212B45">
        <w:rPr>
          <w:rFonts w:ascii="Arial" w:eastAsiaTheme="minorHAnsi" w:hAnsi="Arial" w:cs="Arial"/>
          <w:b/>
          <w:color w:val="auto"/>
          <w:szCs w:val="20"/>
          <w:lang w:eastAsia="en-US"/>
        </w:rPr>
        <w:t xml:space="preserve"> </w:t>
      </w:r>
      <w:r w:rsidR="00E152E5">
        <w:rPr>
          <w:rFonts w:ascii="Arial" w:eastAsiaTheme="minorHAnsi" w:hAnsi="Arial" w:cs="Arial"/>
          <w:b/>
          <w:color w:val="auto"/>
          <w:szCs w:val="20"/>
          <w:lang w:eastAsia="en-US"/>
        </w:rPr>
        <w:t>December</w:t>
      </w:r>
      <w:r w:rsidR="00212B45" w:rsidRPr="00212B45">
        <w:rPr>
          <w:rFonts w:ascii="Arial" w:eastAsiaTheme="minorHAnsi" w:hAnsi="Arial" w:cs="Arial"/>
          <w:b/>
          <w:color w:val="auto"/>
          <w:szCs w:val="20"/>
          <w:lang w:eastAsia="en-US"/>
        </w:rPr>
        <w:t xml:space="preserve"> 2022</w:t>
      </w:r>
    </w:p>
    <w:p w14:paraId="58C38AB0" w14:textId="10EF42C5" w:rsidR="00EE0285" w:rsidRDefault="001612A3" w:rsidP="000C1D3E">
      <w:pPr>
        <w:spacing w:before="120" w:after="120"/>
        <w:jc w:val="both"/>
        <w:rPr>
          <w:rFonts w:ascii="Arial" w:eastAsia="Times New Roman" w:hAnsi="Arial" w:cs="Arial"/>
          <w:color w:val="000000"/>
          <w:sz w:val="20"/>
          <w:szCs w:val="20"/>
          <w:lang w:eastAsia="uk-UA"/>
        </w:rPr>
      </w:pPr>
      <w:r w:rsidRPr="00D35C04">
        <w:rPr>
          <w:rFonts w:ascii="Arial" w:hAnsi="Arial" w:cs="Arial"/>
          <w:sz w:val="20"/>
          <w:szCs w:val="20"/>
        </w:rPr>
        <w:t xml:space="preserve">MHP SE (LSE:MHPC), </w:t>
      </w:r>
      <w:r w:rsidRPr="009B5F08">
        <w:rPr>
          <w:rFonts w:ascii="Arial" w:hAnsi="Arial" w:cs="Arial"/>
          <w:sz w:val="20"/>
          <w:szCs w:val="20"/>
        </w:rPr>
        <w:t xml:space="preserve">the parent company of a leading international food &amp; </w:t>
      </w:r>
      <w:proofErr w:type="spellStart"/>
      <w:r w:rsidRPr="009B5F08">
        <w:rPr>
          <w:rFonts w:ascii="Arial" w:hAnsi="Arial" w:cs="Arial"/>
          <w:sz w:val="20"/>
          <w:szCs w:val="20"/>
        </w:rPr>
        <w:t>agrotech</w:t>
      </w:r>
      <w:proofErr w:type="spellEnd"/>
      <w:r w:rsidRPr="009B5F08">
        <w:rPr>
          <w:rFonts w:ascii="Arial" w:hAnsi="Arial" w:cs="Arial"/>
          <w:sz w:val="20"/>
          <w:szCs w:val="20"/>
        </w:rPr>
        <w:t xml:space="preserve"> group with headquarters in Ukraine</w:t>
      </w:r>
      <w:r w:rsidRPr="00D35C04">
        <w:rPr>
          <w:rFonts w:ascii="Arial" w:hAnsi="Arial" w:cs="Arial"/>
          <w:sz w:val="20"/>
          <w:szCs w:val="20"/>
        </w:rPr>
        <w:t xml:space="preserve">, </w:t>
      </w:r>
      <w:r w:rsidRPr="00D35C04">
        <w:rPr>
          <w:rFonts w:ascii="Arial" w:eastAsia="Times New Roman" w:hAnsi="Arial" w:cs="Arial"/>
          <w:color w:val="000000"/>
          <w:sz w:val="20"/>
          <w:szCs w:val="20"/>
          <w:lang w:eastAsia="uk-UA"/>
        </w:rPr>
        <w:t xml:space="preserve">today announces its audited results for the </w:t>
      </w:r>
      <w:r w:rsidR="00E152E5">
        <w:rPr>
          <w:rFonts w:ascii="Arial" w:eastAsia="Times New Roman" w:hAnsi="Arial" w:cs="Arial"/>
          <w:color w:val="000000"/>
          <w:sz w:val="20"/>
          <w:szCs w:val="20"/>
          <w:lang w:eastAsia="uk-UA"/>
        </w:rPr>
        <w:t>fourth</w:t>
      </w:r>
      <w:r w:rsidRPr="00D35C04">
        <w:rPr>
          <w:rFonts w:ascii="Arial" w:eastAsia="Times New Roman" w:hAnsi="Arial" w:cs="Arial"/>
          <w:color w:val="000000"/>
          <w:sz w:val="20"/>
          <w:szCs w:val="20"/>
          <w:lang w:eastAsia="uk-UA"/>
        </w:rPr>
        <w:t xml:space="preserve"> quarter</w:t>
      </w:r>
      <w:r w:rsidR="00CE6306">
        <w:rPr>
          <w:rFonts w:ascii="Arial" w:eastAsia="Times New Roman" w:hAnsi="Arial" w:cs="Arial"/>
          <w:color w:val="000000"/>
          <w:sz w:val="20"/>
          <w:szCs w:val="20"/>
          <w:lang w:val="uk-UA" w:eastAsia="uk-UA"/>
        </w:rPr>
        <w:t xml:space="preserve"> </w:t>
      </w:r>
      <w:r w:rsidR="00CE6306">
        <w:rPr>
          <w:rFonts w:ascii="Arial" w:eastAsia="Times New Roman" w:hAnsi="Arial" w:cs="Arial"/>
          <w:color w:val="000000"/>
          <w:sz w:val="20"/>
          <w:szCs w:val="20"/>
          <w:lang w:eastAsia="uk-UA"/>
        </w:rPr>
        <w:t xml:space="preserve">and twelve </w:t>
      </w:r>
      <w:r w:rsidR="005C012A">
        <w:rPr>
          <w:rFonts w:ascii="Arial" w:eastAsia="Times New Roman" w:hAnsi="Arial" w:cs="Arial"/>
          <w:color w:val="000000"/>
          <w:sz w:val="20"/>
          <w:szCs w:val="20"/>
          <w:lang w:eastAsia="uk-UA"/>
        </w:rPr>
        <w:t>months</w:t>
      </w:r>
      <w:r w:rsidRPr="00D35C04">
        <w:rPr>
          <w:rFonts w:ascii="Arial" w:eastAsia="Times New Roman" w:hAnsi="Arial" w:cs="Arial"/>
          <w:color w:val="000000"/>
          <w:sz w:val="20"/>
          <w:szCs w:val="20"/>
          <w:lang w:eastAsia="uk-UA"/>
        </w:rPr>
        <w:t xml:space="preserve"> ended 3</w:t>
      </w:r>
      <w:r w:rsidR="00E152E5">
        <w:rPr>
          <w:rFonts w:ascii="Arial" w:eastAsia="Times New Roman" w:hAnsi="Arial" w:cs="Arial"/>
          <w:color w:val="000000"/>
          <w:sz w:val="20"/>
          <w:szCs w:val="20"/>
          <w:lang w:eastAsia="uk-UA"/>
        </w:rPr>
        <w:t>1</w:t>
      </w:r>
      <w:r w:rsidRPr="00D35C04">
        <w:rPr>
          <w:rFonts w:ascii="Arial" w:eastAsia="Times New Roman" w:hAnsi="Arial" w:cs="Arial"/>
          <w:color w:val="000000"/>
          <w:sz w:val="20"/>
          <w:szCs w:val="20"/>
          <w:lang w:eastAsia="uk-UA"/>
        </w:rPr>
        <w:t xml:space="preserve"> </w:t>
      </w:r>
      <w:r w:rsidR="00E152E5">
        <w:rPr>
          <w:rFonts w:ascii="Arial" w:eastAsia="Times New Roman" w:hAnsi="Arial" w:cs="Arial"/>
          <w:color w:val="000000"/>
          <w:sz w:val="20"/>
          <w:szCs w:val="20"/>
          <w:lang w:eastAsia="uk-UA"/>
        </w:rPr>
        <w:t>December</w:t>
      </w:r>
      <w:r w:rsidRPr="00D35C04">
        <w:rPr>
          <w:rFonts w:ascii="Arial" w:eastAsia="Times New Roman" w:hAnsi="Arial" w:cs="Arial"/>
          <w:color w:val="000000"/>
          <w:sz w:val="20"/>
          <w:szCs w:val="20"/>
          <w:lang w:eastAsia="uk-UA"/>
        </w:rPr>
        <w:t xml:space="preserve"> 2022. Hereinafter, MHP SE and its subsidiaries are referred to as “MHP”, “The Company” or “The Group”.</w:t>
      </w:r>
    </w:p>
    <w:p w14:paraId="6C0B37AF" w14:textId="6633DB1E" w:rsidR="006C40FD" w:rsidRPr="006C40FD" w:rsidRDefault="006C40FD" w:rsidP="006C40FD">
      <w:pPr>
        <w:pStyle w:val="HTML"/>
        <w:pBdr>
          <w:top w:val="single" w:sz="4" w:space="1" w:color="auto"/>
          <w:left w:val="single" w:sz="4" w:space="4" w:color="auto"/>
          <w:bottom w:val="single" w:sz="4" w:space="1" w:color="auto"/>
          <w:right w:val="single" w:sz="4" w:space="4" w:color="auto"/>
        </w:pBdr>
        <w:shd w:val="clear" w:color="auto" w:fill="FFFFFF"/>
        <w:spacing w:line="276" w:lineRule="auto"/>
        <w:rPr>
          <w:rFonts w:ascii="Arial" w:eastAsiaTheme="minorHAnsi" w:hAnsi="Arial" w:cs="Arial"/>
          <w:lang w:val="en-US" w:eastAsia="en-US"/>
        </w:rPr>
      </w:pPr>
      <w:r w:rsidRPr="00AC2339">
        <w:rPr>
          <w:rFonts w:ascii="Arial" w:eastAsiaTheme="minorHAnsi" w:hAnsi="Arial" w:cs="Arial"/>
          <w:lang w:eastAsia="en-US"/>
        </w:rPr>
        <w:t xml:space="preserve">MHP </w:t>
      </w:r>
      <w:proofErr w:type="spellStart"/>
      <w:r w:rsidRPr="00AC2339">
        <w:rPr>
          <w:rFonts w:ascii="Arial" w:eastAsiaTheme="minorHAnsi" w:hAnsi="Arial" w:cs="Arial"/>
          <w:lang w:eastAsia="en-US"/>
        </w:rPr>
        <w:t>today</w:t>
      </w:r>
      <w:proofErr w:type="spellEnd"/>
      <w:r w:rsidRPr="00AC2339">
        <w:rPr>
          <w:rFonts w:ascii="Arial" w:eastAsiaTheme="minorHAnsi" w:hAnsi="Arial" w:cs="Arial"/>
          <w:lang w:eastAsia="en-US"/>
        </w:rPr>
        <w:t xml:space="preserve"> </w:t>
      </w:r>
      <w:r>
        <w:rPr>
          <w:rFonts w:ascii="Arial" w:eastAsiaTheme="minorHAnsi" w:hAnsi="Arial" w:cs="Arial"/>
          <w:lang w:val="en-US" w:eastAsia="en-US"/>
        </w:rPr>
        <w:t xml:space="preserve">also </w:t>
      </w:r>
      <w:proofErr w:type="spellStart"/>
      <w:r w:rsidRPr="00AC2339">
        <w:rPr>
          <w:rFonts w:ascii="Arial" w:eastAsiaTheme="minorHAnsi" w:hAnsi="Arial" w:cs="Arial"/>
          <w:lang w:eastAsia="en-US"/>
        </w:rPr>
        <w:t>publishes</w:t>
      </w:r>
      <w:proofErr w:type="spellEnd"/>
      <w:r w:rsidRPr="00AC2339">
        <w:rPr>
          <w:rFonts w:ascii="Arial" w:eastAsiaTheme="minorHAnsi" w:hAnsi="Arial" w:cs="Arial"/>
          <w:lang w:eastAsia="en-US"/>
        </w:rPr>
        <w:t xml:space="preserve"> </w:t>
      </w:r>
      <w:proofErr w:type="spellStart"/>
      <w:r w:rsidRPr="00AC2339">
        <w:rPr>
          <w:rFonts w:ascii="Arial" w:eastAsiaTheme="minorHAnsi" w:hAnsi="Arial" w:cs="Arial"/>
          <w:lang w:eastAsia="en-US"/>
        </w:rPr>
        <w:t>its</w:t>
      </w:r>
      <w:proofErr w:type="spellEnd"/>
      <w:r w:rsidRPr="00AC2339">
        <w:rPr>
          <w:rFonts w:ascii="Arial" w:eastAsiaTheme="minorHAnsi" w:hAnsi="Arial" w:cs="Arial"/>
          <w:lang w:eastAsia="en-US"/>
        </w:rPr>
        <w:t xml:space="preserve"> </w:t>
      </w:r>
      <w:r>
        <w:rPr>
          <w:rFonts w:ascii="Arial" w:eastAsiaTheme="minorHAnsi" w:hAnsi="Arial" w:cs="Arial"/>
          <w:lang w:val="en-US" w:eastAsia="en-US"/>
        </w:rPr>
        <w:t xml:space="preserve">first integrated </w:t>
      </w:r>
      <w:proofErr w:type="spellStart"/>
      <w:r w:rsidRPr="00AC2339">
        <w:rPr>
          <w:rFonts w:ascii="Arial" w:eastAsiaTheme="minorHAnsi" w:hAnsi="Arial" w:cs="Arial"/>
          <w:lang w:eastAsia="en-US"/>
        </w:rPr>
        <w:t>Annual</w:t>
      </w:r>
      <w:proofErr w:type="spellEnd"/>
      <w:r w:rsidRPr="00AC2339">
        <w:rPr>
          <w:rFonts w:ascii="Arial" w:eastAsiaTheme="minorHAnsi" w:hAnsi="Arial" w:cs="Arial"/>
          <w:lang w:eastAsia="en-US"/>
        </w:rPr>
        <w:t xml:space="preserve"> Report </w:t>
      </w:r>
      <w:proofErr w:type="spellStart"/>
      <w:r w:rsidRPr="00AC2339">
        <w:rPr>
          <w:rFonts w:ascii="Arial" w:eastAsiaTheme="minorHAnsi" w:hAnsi="Arial" w:cs="Arial"/>
          <w:lang w:eastAsia="en-US"/>
        </w:rPr>
        <w:t>for</w:t>
      </w:r>
      <w:proofErr w:type="spellEnd"/>
      <w:r w:rsidRPr="00AC2339">
        <w:rPr>
          <w:rFonts w:ascii="Arial" w:eastAsiaTheme="minorHAnsi" w:hAnsi="Arial" w:cs="Arial"/>
          <w:lang w:eastAsia="en-US"/>
        </w:rPr>
        <w:t xml:space="preserve"> 202</w:t>
      </w:r>
      <w:r>
        <w:rPr>
          <w:rFonts w:ascii="Arial" w:eastAsiaTheme="minorHAnsi" w:hAnsi="Arial" w:cs="Arial"/>
          <w:lang w:val="en-US" w:eastAsia="en-US"/>
        </w:rPr>
        <w:t>2</w:t>
      </w:r>
      <w:r w:rsidRPr="00AC2339">
        <w:rPr>
          <w:rFonts w:ascii="Arial" w:eastAsiaTheme="minorHAnsi" w:hAnsi="Arial" w:cs="Arial"/>
          <w:lang w:eastAsia="en-US"/>
        </w:rPr>
        <w:t xml:space="preserve"> (</w:t>
      </w:r>
      <w:proofErr w:type="spellStart"/>
      <w:r w:rsidRPr="00AC2339">
        <w:rPr>
          <w:rFonts w:ascii="Arial" w:eastAsiaTheme="minorHAnsi" w:hAnsi="Arial" w:cs="Arial"/>
          <w:lang w:eastAsia="en-US"/>
        </w:rPr>
        <w:t>t</w:t>
      </w:r>
      <w:r>
        <w:rPr>
          <w:rFonts w:ascii="Arial" w:eastAsiaTheme="minorHAnsi" w:hAnsi="Arial" w:cs="Arial"/>
          <w:lang w:eastAsia="en-US"/>
        </w:rPr>
        <w:t>he</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period</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ended</w:t>
      </w:r>
      <w:proofErr w:type="spellEnd"/>
      <w:r>
        <w:rPr>
          <w:rFonts w:ascii="Arial" w:eastAsiaTheme="minorHAnsi" w:hAnsi="Arial" w:cs="Arial"/>
          <w:lang w:eastAsia="en-US"/>
        </w:rPr>
        <w:t xml:space="preserve"> 31 </w:t>
      </w:r>
      <w:proofErr w:type="spellStart"/>
      <w:r>
        <w:rPr>
          <w:rFonts w:ascii="Arial" w:eastAsiaTheme="minorHAnsi" w:hAnsi="Arial" w:cs="Arial"/>
          <w:lang w:eastAsia="en-US"/>
        </w:rPr>
        <w:t>December</w:t>
      </w:r>
      <w:proofErr w:type="spellEnd"/>
      <w:r>
        <w:rPr>
          <w:rFonts w:ascii="Arial" w:eastAsiaTheme="minorHAnsi" w:hAnsi="Arial" w:cs="Arial"/>
          <w:lang w:eastAsia="en-US"/>
        </w:rPr>
        <w:t xml:space="preserve"> 202</w:t>
      </w:r>
      <w:r>
        <w:rPr>
          <w:rFonts w:ascii="Arial" w:eastAsiaTheme="minorHAnsi" w:hAnsi="Arial" w:cs="Arial"/>
          <w:lang w:val="en-US" w:eastAsia="en-US"/>
        </w:rPr>
        <w:t>2</w:t>
      </w:r>
      <w:r w:rsidRPr="00AC2339">
        <w:rPr>
          <w:rFonts w:ascii="Arial" w:eastAsiaTheme="minorHAnsi" w:hAnsi="Arial" w:cs="Arial"/>
          <w:lang w:eastAsia="en-US"/>
        </w:rPr>
        <w:t>).</w:t>
      </w:r>
      <w:r>
        <w:rPr>
          <w:rFonts w:ascii="Arial" w:eastAsiaTheme="minorHAnsi" w:hAnsi="Arial" w:cs="Arial"/>
          <w:lang w:val="en-US" w:eastAsia="en-US"/>
        </w:rPr>
        <w:t xml:space="preserve"> </w:t>
      </w:r>
      <w:proofErr w:type="spellStart"/>
      <w:r w:rsidRPr="00AC2339">
        <w:rPr>
          <w:rFonts w:ascii="Arial" w:eastAsiaTheme="minorHAnsi" w:hAnsi="Arial" w:cs="Arial"/>
          <w:lang w:eastAsia="en-US"/>
        </w:rPr>
        <w:t>You</w:t>
      </w:r>
      <w:proofErr w:type="spellEnd"/>
      <w:r w:rsidRPr="00AC2339">
        <w:rPr>
          <w:rFonts w:ascii="Arial" w:eastAsiaTheme="minorHAnsi" w:hAnsi="Arial" w:cs="Arial"/>
          <w:lang w:eastAsia="en-US"/>
        </w:rPr>
        <w:t xml:space="preserve"> </w:t>
      </w:r>
      <w:proofErr w:type="spellStart"/>
      <w:r w:rsidRPr="00AC2339">
        <w:rPr>
          <w:rFonts w:ascii="Arial" w:eastAsiaTheme="minorHAnsi" w:hAnsi="Arial" w:cs="Arial"/>
          <w:lang w:eastAsia="en-US"/>
        </w:rPr>
        <w:t>can</w:t>
      </w:r>
      <w:proofErr w:type="spellEnd"/>
      <w:r w:rsidRPr="00AC2339">
        <w:rPr>
          <w:rFonts w:ascii="Arial" w:eastAsiaTheme="minorHAnsi" w:hAnsi="Arial" w:cs="Arial"/>
          <w:lang w:eastAsia="en-US"/>
        </w:rPr>
        <w:t xml:space="preserve"> </w:t>
      </w:r>
      <w:proofErr w:type="spellStart"/>
      <w:r w:rsidRPr="00AC2339">
        <w:rPr>
          <w:rFonts w:ascii="Arial" w:eastAsiaTheme="minorHAnsi" w:hAnsi="Arial" w:cs="Arial"/>
          <w:lang w:eastAsia="en-US"/>
        </w:rPr>
        <w:t>find</w:t>
      </w:r>
      <w:proofErr w:type="spellEnd"/>
      <w:r w:rsidRPr="00AC2339">
        <w:rPr>
          <w:rFonts w:ascii="Arial" w:eastAsiaTheme="minorHAnsi" w:hAnsi="Arial" w:cs="Arial"/>
          <w:lang w:eastAsia="en-US"/>
        </w:rPr>
        <w:t xml:space="preserve"> </w:t>
      </w:r>
      <w:proofErr w:type="spellStart"/>
      <w:r w:rsidRPr="00AC2339">
        <w:rPr>
          <w:rFonts w:ascii="Arial" w:eastAsiaTheme="minorHAnsi" w:hAnsi="Arial" w:cs="Arial"/>
          <w:lang w:eastAsia="en-US"/>
        </w:rPr>
        <w:t>the</w:t>
      </w:r>
      <w:proofErr w:type="spellEnd"/>
      <w:r w:rsidRPr="00AC2339">
        <w:rPr>
          <w:rFonts w:ascii="Arial" w:eastAsiaTheme="minorHAnsi" w:hAnsi="Arial" w:cs="Arial"/>
          <w:lang w:eastAsia="en-US"/>
        </w:rPr>
        <w:t xml:space="preserve"> </w:t>
      </w:r>
      <w:r>
        <w:rPr>
          <w:rFonts w:ascii="Arial" w:eastAsiaTheme="minorHAnsi" w:hAnsi="Arial" w:cs="Arial"/>
          <w:lang w:val="en-US" w:eastAsia="en-US"/>
        </w:rPr>
        <w:t xml:space="preserve">Report </w:t>
      </w:r>
      <w:proofErr w:type="spellStart"/>
      <w:r w:rsidRPr="00AC2339">
        <w:rPr>
          <w:rFonts w:ascii="Arial" w:eastAsiaTheme="minorHAnsi" w:hAnsi="Arial" w:cs="Arial"/>
          <w:lang w:eastAsia="en-US"/>
        </w:rPr>
        <w:t>following</w:t>
      </w:r>
      <w:proofErr w:type="spellEnd"/>
      <w:r w:rsidRPr="00AC2339">
        <w:rPr>
          <w:rFonts w:ascii="Arial" w:eastAsiaTheme="minorHAnsi" w:hAnsi="Arial" w:cs="Arial"/>
          <w:lang w:eastAsia="en-US"/>
        </w:rPr>
        <w:t xml:space="preserve"> </w:t>
      </w:r>
      <w:proofErr w:type="spellStart"/>
      <w:r w:rsidRPr="00AC2339">
        <w:rPr>
          <w:rFonts w:ascii="Arial" w:eastAsiaTheme="minorHAnsi" w:hAnsi="Arial" w:cs="Arial"/>
          <w:lang w:eastAsia="en-US"/>
        </w:rPr>
        <w:t>the</w:t>
      </w:r>
      <w:proofErr w:type="spellEnd"/>
      <w:r w:rsidRPr="00AC2339">
        <w:rPr>
          <w:rFonts w:ascii="Arial" w:eastAsiaTheme="minorHAnsi" w:hAnsi="Arial" w:cs="Arial"/>
          <w:lang w:eastAsia="en-US"/>
        </w:rPr>
        <w:t xml:space="preserve"> </w:t>
      </w:r>
      <w:proofErr w:type="spellStart"/>
      <w:r w:rsidRPr="00AC2339">
        <w:rPr>
          <w:rFonts w:ascii="Arial" w:eastAsiaTheme="minorHAnsi" w:hAnsi="Arial" w:cs="Arial"/>
          <w:lang w:eastAsia="en-US"/>
        </w:rPr>
        <w:t>link</w:t>
      </w:r>
      <w:proofErr w:type="spellEnd"/>
      <w:r w:rsidRPr="00AC2339">
        <w:rPr>
          <w:rFonts w:ascii="Arial" w:eastAsiaTheme="minorHAnsi" w:hAnsi="Arial" w:cs="Arial"/>
          <w:lang w:eastAsia="en-US"/>
        </w:rPr>
        <w:t xml:space="preserve">: </w:t>
      </w:r>
      <w:bookmarkStart w:id="0" w:name="_Hlk132018651"/>
      <w:r>
        <w:rPr>
          <w:rFonts w:ascii="Arial" w:eastAsiaTheme="minorHAnsi" w:hAnsi="Arial" w:cs="Arial"/>
          <w:lang w:eastAsia="en-US"/>
        </w:rPr>
        <w:fldChar w:fldCharType="begin"/>
      </w:r>
      <w:r>
        <w:rPr>
          <w:rFonts w:ascii="Arial" w:eastAsiaTheme="minorHAnsi" w:hAnsi="Arial" w:cs="Arial"/>
          <w:lang w:eastAsia="en-US"/>
        </w:rPr>
        <w:instrText xml:space="preserve"> HYPERLINK "</w:instrText>
      </w:r>
      <w:r w:rsidRPr="006C40FD">
        <w:rPr>
          <w:rFonts w:ascii="Arial" w:eastAsiaTheme="minorHAnsi" w:hAnsi="Arial" w:cs="Arial"/>
          <w:lang w:eastAsia="en-US"/>
        </w:rPr>
        <w:instrText>https://mhp.com.ua/en/mhp-se/financial-reports</w:instrText>
      </w:r>
      <w:r>
        <w:rPr>
          <w:rFonts w:ascii="Arial" w:eastAsiaTheme="minorHAnsi" w:hAnsi="Arial" w:cs="Arial"/>
          <w:lang w:eastAsia="en-US"/>
        </w:rPr>
        <w:instrText xml:space="preserve">" </w:instrText>
      </w:r>
      <w:r>
        <w:rPr>
          <w:rFonts w:ascii="Arial" w:eastAsiaTheme="minorHAnsi" w:hAnsi="Arial" w:cs="Arial"/>
          <w:lang w:eastAsia="en-US"/>
        </w:rPr>
        <w:fldChar w:fldCharType="separate"/>
      </w:r>
      <w:r w:rsidRPr="006B24FD">
        <w:rPr>
          <w:rStyle w:val="a6"/>
          <w:rFonts w:ascii="Arial" w:eastAsiaTheme="minorHAnsi" w:hAnsi="Arial" w:cs="Arial"/>
          <w:lang w:eastAsia="en-US"/>
        </w:rPr>
        <w:t>https://mhp.com.ua/en/mhp-se/fin</w:t>
      </w:r>
      <w:r w:rsidRPr="006B24FD">
        <w:rPr>
          <w:rStyle w:val="a6"/>
          <w:rFonts w:ascii="Arial" w:eastAsiaTheme="minorHAnsi" w:hAnsi="Arial" w:cs="Arial"/>
          <w:lang w:eastAsia="en-US"/>
        </w:rPr>
        <w:t>a</w:t>
      </w:r>
      <w:r w:rsidRPr="006B24FD">
        <w:rPr>
          <w:rStyle w:val="a6"/>
          <w:rFonts w:ascii="Arial" w:eastAsiaTheme="minorHAnsi" w:hAnsi="Arial" w:cs="Arial"/>
          <w:lang w:eastAsia="en-US"/>
        </w:rPr>
        <w:t>ncial-reports</w:t>
      </w:r>
      <w:r>
        <w:rPr>
          <w:rFonts w:ascii="Arial" w:eastAsiaTheme="minorHAnsi" w:hAnsi="Arial" w:cs="Arial"/>
          <w:lang w:eastAsia="en-US"/>
        </w:rPr>
        <w:fldChar w:fldCharType="end"/>
      </w:r>
      <w:r>
        <w:rPr>
          <w:rFonts w:ascii="Arial" w:eastAsiaTheme="minorHAnsi" w:hAnsi="Arial" w:cs="Arial"/>
          <w:lang w:val="en-US" w:eastAsia="en-US"/>
        </w:rPr>
        <w:t xml:space="preserve"> </w:t>
      </w:r>
      <w:bookmarkEnd w:id="0"/>
    </w:p>
    <w:p w14:paraId="45E13717" w14:textId="77777777" w:rsidR="006C40FD" w:rsidRDefault="006C40FD" w:rsidP="000C1D3E">
      <w:pPr>
        <w:spacing w:before="120" w:after="120"/>
        <w:jc w:val="both"/>
        <w:rPr>
          <w:rFonts w:ascii="Arial" w:eastAsia="Times New Roman" w:hAnsi="Arial" w:cs="Arial"/>
          <w:color w:val="000000"/>
          <w:sz w:val="20"/>
          <w:szCs w:val="20"/>
          <w:lang w:eastAsia="uk-UA"/>
        </w:rPr>
      </w:pPr>
    </w:p>
    <w:p w14:paraId="2B42C851" w14:textId="1B5824C3" w:rsidR="002F6BC1" w:rsidRPr="003C0E32" w:rsidRDefault="002F6BC1" w:rsidP="002F6BC1">
      <w:pPr>
        <w:pStyle w:val="c3"/>
        <w:jc w:val="both"/>
        <w:rPr>
          <w:rFonts w:ascii="Arial" w:hAnsi="Arial" w:cs="Arial"/>
          <w:b/>
          <w:color w:val="000000"/>
          <w:sz w:val="20"/>
          <w:szCs w:val="20"/>
          <w:lang w:eastAsia="uk-UA"/>
        </w:rPr>
      </w:pPr>
      <w:bookmarkStart w:id="1" w:name="_Hlk113954230"/>
      <w:r w:rsidRPr="003C0E32">
        <w:rPr>
          <w:rFonts w:ascii="Arial" w:hAnsi="Arial" w:cs="Arial"/>
          <w:b/>
          <w:color w:val="000000"/>
          <w:sz w:val="20"/>
          <w:szCs w:val="20"/>
          <w:lang w:eastAsia="uk-UA"/>
        </w:rPr>
        <w:t>WAR IN UKRAINE</w:t>
      </w:r>
    </w:p>
    <w:bookmarkEnd w:id="1"/>
    <w:p w14:paraId="07778469" w14:textId="2929112A" w:rsidR="002C38A1" w:rsidRPr="002C38A1" w:rsidRDefault="002C38A1" w:rsidP="00F7367F">
      <w:pPr>
        <w:pStyle w:val="TMMPlaintext1"/>
        <w:spacing w:line="276" w:lineRule="auto"/>
        <w:rPr>
          <w:rFonts w:ascii="Arial" w:hAnsi="Arial" w:cs="Arial"/>
          <w:szCs w:val="20"/>
        </w:rPr>
      </w:pPr>
      <w:r w:rsidRPr="002C38A1">
        <w:rPr>
          <w:rFonts w:ascii="Arial" w:hAnsi="Arial" w:cs="Arial"/>
          <w:szCs w:val="20"/>
        </w:rPr>
        <w:t>The war in Ukraine continues and</w:t>
      </w:r>
      <w:r w:rsidR="009E6818">
        <w:rPr>
          <w:rFonts w:ascii="Arial" w:hAnsi="Arial" w:cs="Arial"/>
          <w:szCs w:val="20"/>
        </w:rPr>
        <w:t xml:space="preserve"> </w:t>
      </w:r>
      <w:r w:rsidR="005B5026">
        <w:rPr>
          <w:rFonts w:ascii="Arial" w:hAnsi="Arial" w:cs="Arial"/>
          <w:szCs w:val="20"/>
        </w:rPr>
        <w:t>may</w:t>
      </w:r>
      <w:r w:rsidR="009E6818">
        <w:rPr>
          <w:rFonts w:ascii="Arial" w:hAnsi="Arial" w:cs="Arial"/>
          <w:szCs w:val="20"/>
        </w:rPr>
        <w:t xml:space="preserve"> escalate further in the coming months</w:t>
      </w:r>
      <w:r w:rsidRPr="002C38A1">
        <w:rPr>
          <w:rFonts w:ascii="Arial" w:hAnsi="Arial" w:cs="Arial"/>
          <w:szCs w:val="20"/>
        </w:rPr>
        <w:t>.</w:t>
      </w:r>
      <w:r w:rsidR="00915942">
        <w:rPr>
          <w:rFonts w:ascii="Arial" w:hAnsi="Arial" w:cs="Arial"/>
          <w:szCs w:val="20"/>
        </w:rPr>
        <w:t xml:space="preserve"> There are</w:t>
      </w:r>
      <w:r w:rsidR="00915942" w:rsidRPr="002C38A1">
        <w:rPr>
          <w:rFonts w:ascii="Arial" w:hAnsi="Arial" w:cs="Arial"/>
          <w:szCs w:val="20"/>
        </w:rPr>
        <w:t xml:space="preserve"> </w:t>
      </w:r>
      <w:r w:rsidR="00915942">
        <w:rPr>
          <w:rFonts w:ascii="Arial" w:hAnsi="Arial" w:cs="Arial"/>
          <w:szCs w:val="20"/>
        </w:rPr>
        <w:t xml:space="preserve">ongoing </w:t>
      </w:r>
      <w:r w:rsidR="00915942" w:rsidRPr="002C38A1">
        <w:rPr>
          <w:rFonts w:ascii="Arial" w:hAnsi="Arial" w:cs="Arial"/>
          <w:szCs w:val="20"/>
        </w:rPr>
        <w:t>risk</w:t>
      </w:r>
      <w:r w:rsidR="00915942">
        <w:rPr>
          <w:rFonts w:ascii="Arial" w:hAnsi="Arial" w:cs="Arial"/>
          <w:szCs w:val="20"/>
        </w:rPr>
        <w:t>s</w:t>
      </w:r>
      <w:r w:rsidR="00915942" w:rsidRPr="002C38A1">
        <w:rPr>
          <w:rFonts w:ascii="Arial" w:hAnsi="Arial" w:cs="Arial"/>
          <w:szCs w:val="20"/>
        </w:rPr>
        <w:t xml:space="preserve"> to the </w:t>
      </w:r>
      <w:r w:rsidR="00915942">
        <w:rPr>
          <w:rFonts w:ascii="Arial" w:hAnsi="Arial" w:cs="Arial"/>
          <w:szCs w:val="20"/>
        </w:rPr>
        <w:t xml:space="preserve">Company’s </w:t>
      </w:r>
      <w:r w:rsidR="00915942" w:rsidRPr="002C38A1">
        <w:rPr>
          <w:rFonts w:ascii="Arial" w:hAnsi="Arial" w:cs="Arial"/>
          <w:szCs w:val="20"/>
        </w:rPr>
        <w:t xml:space="preserve">operations due to </w:t>
      </w:r>
      <w:r w:rsidR="00915942">
        <w:rPr>
          <w:rFonts w:ascii="Arial" w:hAnsi="Arial" w:cs="Arial"/>
          <w:szCs w:val="20"/>
        </w:rPr>
        <w:t>recurring</w:t>
      </w:r>
      <w:r w:rsidR="00915942" w:rsidRPr="002C38A1">
        <w:rPr>
          <w:rFonts w:ascii="Arial" w:hAnsi="Arial" w:cs="Arial"/>
          <w:szCs w:val="20"/>
        </w:rPr>
        <w:t xml:space="preserve"> attacks on the critical infrastructure of Ukraine</w:t>
      </w:r>
      <w:r w:rsidR="00915942">
        <w:rPr>
          <w:rFonts w:ascii="Arial" w:hAnsi="Arial" w:cs="Arial"/>
          <w:szCs w:val="20"/>
        </w:rPr>
        <w:t>; however, as</w:t>
      </w:r>
      <w:r w:rsidR="00B15F6E">
        <w:rPr>
          <w:rFonts w:ascii="Arial" w:hAnsi="Arial" w:cs="Arial"/>
          <w:szCs w:val="20"/>
        </w:rPr>
        <w:t xml:space="preserve"> of today a</w:t>
      </w:r>
      <w:r w:rsidRPr="002C38A1">
        <w:rPr>
          <w:rFonts w:ascii="Arial" w:hAnsi="Arial" w:cs="Arial"/>
          <w:szCs w:val="20"/>
        </w:rPr>
        <w:t>ll MHP</w:t>
      </w:r>
      <w:r w:rsidR="00B15F6E">
        <w:rPr>
          <w:rFonts w:ascii="Arial" w:hAnsi="Arial" w:cs="Arial"/>
          <w:szCs w:val="20"/>
        </w:rPr>
        <w:t>’s</w:t>
      </w:r>
      <w:r w:rsidRPr="002C38A1">
        <w:rPr>
          <w:rFonts w:ascii="Arial" w:hAnsi="Arial" w:cs="Arial"/>
          <w:szCs w:val="20"/>
        </w:rPr>
        <w:t xml:space="preserve"> production facilities </w:t>
      </w:r>
      <w:r w:rsidR="00915942">
        <w:rPr>
          <w:rFonts w:ascii="Arial" w:hAnsi="Arial" w:cs="Arial"/>
          <w:szCs w:val="20"/>
        </w:rPr>
        <w:t xml:space="preserve">in Ukraine </w:t>
      </w:r>
      <w:r w:rsidRPr="002C38A1">
        <w:rPr>
          <w:rFonts w:ascii="Arial" w:hAnsi="Arial" w:cs="Arial"/>
          <w:szCs w:val="20"/>
        </w:rPr>
        <w:t xml:space="preserve">continue to operate at close to full capacity. </w:t>
      </w:r>
      <w:r w:rsidR="00915942">
        <w:rPr>
          <w:rFonts w:ascii="Arial" w:hAnsi="Arial" w:cs="Arial"/>
          <w:szCs w:val="20"/>
        </w:rPr>
        <w:t>After</w:t>
      </w:r>
      <w:r w:rsidR="0044259A">
        <w:rPr>
          <w:rFonts w:ascii="Arial" w:hAnsi="Arial" w:cs="Arial"/>
          <w:szCs w:val="20"/>
        </w:rPr>
        <w:t xml:space="preserve"> transform</w:t>
      </w:r>
      <w:r w:rsidR="00915942">
        <w:rPr>
          <w:rFonts w:ascii="Arial" w:hAnsi="Arial" w:cs="Arial"/>
          <w:szCs w:val="20"/>
        </w:rPr>
        <w:t>ing</w:t>
      </w:r>
      <w:r w:rsidRPr="002C38A1">
        <w:rPr>
          <w:rFonts w:ascii="Arial" w:hAnsi="Arial" w:cs="Arial"/>
          <w:szCs w:val="20"/>
        </w:rPr>
        <w:t xml:space="preserve"> </w:t>
      </w:r>
      <w:r w:rsidR="005B5026">
        <w:rPr>
          <w:rFonts w:ascii="Arial" w:hAnsi="Arial" w:cs="Arial"/>
          <w:szCs w:val="20"/>
        </w:rPr>
        <w:t xml:space="preserve">its </w:t>
      </w:r>
      <w:r w:rsidRPr="002C38A1">
        <w:rPr>
          <w:rFonts w:ascii="Arial" w:hAnsi="Arial" w:cs="Arial"/>
          <w:szCs w:val="20"/>
        </w:rPr>
        <w:t>logistics</w:t>
      </w:r>
      <w:r w:rsidR="0044259A">
        <w:rPr>
          <w:rFonts w:ascii="Arial" w:hAnsi="Arial" w:cs="Arial"/>
          <w:szCs w:val="20"/>
        </w:rPr>
        <w:t xml:space="preserve"> arrangements in response to </w:t>
      </w:r>
      <w:r w:rsidR="005B5026">
        <w:rPr>
          <w:rFonts w:ascii="Arial" w:hAnsi="Arial" w:cs="Arial"/>
          <w:szCs w:val="20"/>
        </w:rPr>
        <w:t xml:space="preserve">evolving </w:t>
      </w:r>
      <w:r w:rsidR="0044259A">
        <w:rPr>
          <w:rFonts w:ascii="Arial" w:hAnsi="Arial" w:cs="Arial"/>
          <w:szCs w:val="20"/>
        </w:rPr>
        <w:t>wartime c</w:t>
      </w:r>
      <w:r w:rsidR="00915942">
        <w:rPr>
          <w:rFonts w:ascii="Arial" w:hAnsi="Arial" w:cs="Arial"/>
          <w:szCs w:val="20"/>
        </w:rPr>
        <w:t>ircumstance</w:t>
      </w:r>
      <w:r w:rsidR="0044259A">
        <w:rPr>
          <w:rFonts w:ascii="Arial" w:hAnsi="Arial" w:cs="Arial"/>
          <w:szCs w:val="20"/>
        </w:rPr>
        <w:t>s</w:t>
      </w:r>
      <w:r w:rsidRPr="002C38A1">
        <w:rPr>
          <w:rFonts w:ascii="Arial" w:hAnsi="Arial" w:cs="Arial"/>
          <w:szCs w:val="20"/>
        </w:rPr>
        <w:t>, the Company is</w:t>
      </w:r>
      <w:r w:rsidR="003833C1">
        <w:rPr>
          <w:rFonts w:ascii="Arial" w:hAnsi="Arial" w:cs="Arial"/>
          <w:szCs w:val="20"/>
        </w:rPr>
        <w:t xml:space="preserve"> </w:t>
      </w:r>
      <w:r w:rsidR="0044259A">
        <w:rPr>
          <w:rFonts w:ascii="Arial" w:hAnsi="Arial" w:cs="Arial"/>
          <w:szCs w:val="20"/>
        </w:rPr>
        <w:t xml:space="preserve">again </w:t>
      </w:r>
      <w:r w:rsidR="003833C1">
        <w:rPr>
          <w:rFonts w:ascii="Arial" w:hAnsi="Arial" w:cs="Arial"/>
          <w:szCs w:val="20"/>
        </w:rPr>
        <w:t>exporting to</w:t>
      </w:r>
      <w:r w:rsidRPr="002C38A1">
        <w:rPr>
          <w:rFonts w:ascii="Arial" w:hAnsi="Arial" w:cs="Arial"/>
          <w:szCs w:val="20"/>
        </w:rPr>
        <w:t xml:space="preserve"> over 70 countries, providing grain, vegetable oils and poultry meat worldwide. The Company’s management and operational teams continually seek new ways to </w:t>
      </w:r>
      <w:r w:rsidR="003833C1" w:rsidRPr="002C38A1">
        <w:rPr>
          <w:rFonts w:ascii="Arial" w:hAnsi="Arial" w:cs="Arial"/>
          <w:szCs w:val="20"/>
        </w:rPr>
        <w:t>ad</w:t>
      </w:r>
      <w:r w:rsidR="003833C1">
        <w:rPr>
          <w:rFonts w:ascii="Arial" w:hAnsi="Arial" w:cs="Arial"/>
          <w:szCs w:val="20"/>
        </w:rPr>
        <w:t>just</w:t>
      </w:r>
      <w:r w:rsidR="003833C1" w:rsidRPr="002C38A1">
        <w:rPr>
          <w:rFonts w:ascii="Arial" w:hAnsi="Arial" w:cs="Arial"/>
          <w:szCs w:val="20"/>
        </w:rPr>
        <w:t xml:space="preserve"> </w:t>
      </w:r>
      <w:r w:rsidRPr="002C38A1">
        <w:rPr>
          <w:rFonts w:ascii="Arial" w:hAnsi="Arial" w:cs="Arial"/>
          <w:szCs w:val="20"/>
        </w:rPr>
        <w:t xml:space="preserve">to </w:t>
      </w:r>
      <w:r w:rsidR="003833C1">
        <w:rPr>
          <w:rFonts w:ascii="Arial" w:hAnsi="Arial" w:cs="Arial"/>
          <w:szCs w:val="20"/>
        </w:rPr>
        <w:t>the rapid</w:t>
      </w:r>
      <w:r w:rsidR="00103E4F">
        <w:rPr>
          <w:rFonts w:ascii="Arial" w:hAnsi="Arial" w:cs="Arial"/>
          <w:szCs w:val="20"/>
        </w:rPr>
        <w:t>ly</w:t>
      </w:r>
      <w:r w:rsidR="003833C1">
        <w:rPr>
          <w:rFonts w:ascii="Arial" w:hAnsi="Arial" w:cs="Arial"/>
          <w:szCs w:val="20"/>
        </w:rPr>
        <w:t xml:space="preserve"> </w:t>
      </w:r>
      <w:r w:rsidRPr="002C38A1">
        <w:rPr>
          <w:rFonts w:ascii="Arial" w:hAnsi="Arial" w:cs="Arial"/>
          <w:szCs w:val="20"/>
        </w:rPr>
        <w:t xml:space="preserve">changing environment and </w:t>
      </w:r>
      <w:r w:rsidR="00915942">
        <w:rPr>
          <w:rFonts w:ascii="Arial" w:hAnsi="Arial" w:cs="Arial"/>
          <w:szCs w:val="20"/>
        </w:rPr>
        <w:t>to exploit</w:t>
      </w:r>
      <w:r w:rsidRPr="002C38A1">
        <w:rPr>
          <w:rFonts w:ascii="Arial" w:hAnsi="Arial" w:cs="Arial"/>
          <w:szCs w:val="20"/>
        </w:rPr>
        <w:t xml:space="preserve"> opportunities that </w:t>
      </w:r>
      <w:r w:rsidR="00915942">
        <w:rPr>
          <w:rFonts w:ascii="Arial" w:hAnsi="Arial" w:cs="Arial"/>
          <w:szCs w:val="20"/>
        </w:rPr>
        <w:t>arise</w:t>
      </w:r>
      <w:r w:rsidRPr="002C38A1">
        <w:rPr>
          <w:rFonts w:ascii="Arial" w:hAnsi="Arial" w:cs="Arial"/>
          <w:szCs w:val="20"/>
        </w:rPr>
        <w:t>.</w:t>
      </w:r>
    </w:p>
    <w:p w14:paraId="47100ECF" w14:textId="227DA5AE" w:rsidR="002C38A1" w:rsidRDefault="005B5026" w:rsidP="001612A3">
      <w:pPr>
        <w:pStyle w:val="TMMPlaintext1"/>
        <w:spacing w:line="276" w:lineRule="auto"/>
        <w:rPr>
          <w:rFonts w:ascii="Arial" w:hAnsi="Arial" w:cs="Arial"/>
          <w:szCs w:val="20"/>
        </w:rPr>
      </w:pPr>
      <w:r>
        <w:rPr>
          <w:rFonts w:ascii="Arial" w:hAnsi="Arial" w:cs="Arial"/>
          <w:szCs w:val="20"/>
        </w:rPr>
        <w:t>To date,</w:t>
      </w:r>
      <w:r w:rsidR="002C38A1" w:rsidRPr="002C38A1">
        <w:rPr>
          <w:rFonts w:ascii="Arial" w:hAnsi="Arial" w:cs="Arial"/>
          <w:szCs w:val="20"/>
        </w:rPr>
        <w:t xml:space="preserve"> MHP</w:t>
      </w:r>
      <w:r w:rsidR="00480449">
        <w:rPr>
          <w:rFonts w:ascii="Arial" w:hAnsi="Arial" w:cs="Arial"/>
          <w:szCs w:val="20"/>
        </w:rPr>
        <w:t>’s</w:t>
      </w:r>
      <w:r w:rsidR="002C38A1" w:rsidRPr="002C38A1">
        <w:rPr>
          <w:rFonts w:ascii="Arial" w:hAnsi="Arial" w:cs="Arial"/>
          <w:szCs w:val="20"/>
        </w:rPr>
        <w:t xml:space="preserve"> </w:t>
      </w:r>
      <w:r>
        <w:rPr>
          <w:rFonts w:ascii="Arial" w:hAnsi="Arial" w:cs="Arial"/>
          <w:szCs w:val="20"/>
        </w:rPr>
        <w:t xml:space="preserve">own </w:t>
      </w:r>
      <w:r w:rsidR="002C38A1" w:rsidRPr="002C38A1">
        <w:rPr>
          <w:rFonts w:ascii="Arial" w:hAnsi="Arial" w:cs="Arial"/>
          <w:szCs w:val="20"/>
        </w:rPr>
        <w:t>facilities have not sustained any physical damage</w:t>
      </w:r>
      <w:r w:rsidR="000D7693">
        <w:rPr>
          <w:rFonts w:ascii="Arial" w:hAnsi="Arial" w:cs="Arial"/>
          <w:szCs w:val="20"/>
        </w:rPr>
        <w:t xml:space="preserve"> as a result of war</w:t>
      </w:r>
      <w:r w:rsidR="002C38A1" w:rsidRPr="002C38A1">
        <w:rPr>
          <w:rFonts w:ascii="Arial" w:hAnsi="Arial" w:cs="Arial"/>
          <w:szCs w:val="20"/>
        </w:rPr>
        <w:t xml:space="preserve">. </w:t>
      </w:r>
      <w:r w:rsidR="00480449">
        <w:rPr>
          <w:rFonts w:ascii="Arial" w:hAnsi="Arial" w:cs="Arial"/>
          <w:szCs w:val="20"/>
        </w:rPr>
        <w:t>I</w:t>
      </w:r>
      <w:r w:rsidR="002C38A1" w:rsidRPr="002C38A1">
        <w:rPr>
          <w:rFonts w:ascii="Arial" w:hAnsi="Arial" w:cs="Arial"/>
          <w:szCs w:val="20"/>
        </w:rPr>
        <w:t xml:space="preserve">n the event of any adverse impact to its operations, the Company </w:t>
      </w:r>
      <w:r w:rsidR="00480449">
        <w:rPr>
          <w:rFonts w:ascii="Arial" w:hAnsi="Arial" w:cs="Arial"/>
          <w:szCs w:val="20"/>
        </w:rPr>
        <w:t xml:space="preserve">has in place </w:t>
      </w:r>
      <w:r>
        <w:rPr>
          <w:rFonts w:ascii="Arial" w:hAnsi="Arial" w:cs="Arial"/>
          <w:szCs w:val="20"/>
        </w:rPr>
        <w:t>comprehensive</w:t>
      </w:r>
      <w:r w:rsidRPr="002C38A1">
        <w:rPr>
          <w:rFonts w:ascii="Arial" w:hAnsi="Arial" w:cs="Arial"/>
          <w:szCs w:val="20"/>
        </w:rPr>
        <w:t xml:space="preserve"> </w:t>
      </w:r>
      <w:r w:rsidR="002C38A1" w:rsidRPr="002C38A1">
        <w:rPr>
          <w:rFonts w:ascii="Arial" w:hAnsi="Arial" w:cs="Arial"/>
          <w:szCs w:val="20"/>
        </w:rPr>
        <w:t xml:space="preserve">contingency plans, ensuring that it </w:t>
      </w:r>
      <w:r w:rsidR="00480449">
        <w:rPr>
          <w:rFonts w:ascii="Arial" w:hAnsi="Arial" w:cs="Arial"/>
          <w:szCs w:val="20"/>
        </w:rPr>
        <w:t xml:space="preserve">is ready to take </w:t>
      </w:r>
      <w:r>
        <w:rPr>
          <w:rFonts w:ascii="Arial" w:hAnsi="Arial" w:cs="Arial"/>
          <w:szCs w:val="20"/>
        </w:rPr>
        <w:t>any</w:t>
      </w:r>
      <w:r w:rsidR="00480449">
        <w:rPr>
          <w:rFonts w:ascii="Arial" w:hAnsi="Arial" w:cs="Arial"/>
          <w:szCs w:val="20"/>
        </w:rPr>
        <w:t xml:space="preserve"> actions</w:t>
      </w:r>
      <w:r w:rsidR="002C38A1" w:rsidRPr="002C38A1">
        <w:rPr>
          <w:rFonts w:ascii="Arial" w:hAnsi="Arial" w:cs="Arial"/>
          <w:szCs w:val="20"/>
        </w:rPr>
        <w:t xml:space="preserve"> necessary to rebuild, restore and re-start production in the shortest time possible.</w:t>
      </w:r>
    </w:p>
    <w:p w14:paraId="2DA5BA60" w14:textId="5426BA00" w:rsidR="002F6BC1" w:rsidRDefault="002F6BC1" w:rsidP="001612A3">
      <w:pPr>
        <w:pStyle w:val="TMMPlaintext1"/>
        <w:spacing w:line="276" w:lineRule="auto"/>
        <w:rPr>
          <w:rFonts w:ascii="Arial" w:hAnsi="Arial" w:cs="Arial"/>
          <w:szCs w:val="20"/>
        </w:rPr>
      </w:pPr>
      <w:r w:rsidRPr="002C38A1">
        <w:rPr>
          <w:rFonts w:ascii="Arial" w:hAnsi="Arial" w:cs="Arial"/>
          <w:szCs w:val="20"/>
        </w:rPr>
        <w:t>The Group has incurred substantial war-related costs since the Russian invasion on 24 February</w:t>
      </w:r>
      <w:r w:rsidR="005D08BA">
        <w:rPr>
          <w:rFonts w:ascii="Arial" w:hAnsi="Arial" w:cs="Arial"/>
          <w:szCs w:val="20"/>
        </w:rPr>
        <w:t xml:space="preserve"> 2022</w:t>
      </w:r>
      <w:r w:rsidRPr="002C38A1">
        <w:rPr>
          <w:rFonts w:ascii="Arial" w:hAnsi="Arial" w:cs="Arial"/>
          <w:szCs w:val="20"/>
        </w:rPr>
        <w:t xml:space="preserve">. </w:t>
      </w:r>
      <w:r w:rsidR="00FC7426" w:rsidRPr="002C38A1">
        <w:rPr>
          <w:rFonts w:ascii="Arial" w:hAnsi="Arial" w:cs="Arial"/>
          <w:szCs w:val="20"/>
        </w:rPr>
        <w:t xml:space="preserve">For the </w:t>
      </w:r>
      <w:r w:rsidR="002C38A1" w:rsidRPr="002C38A1">
        <w:rPr>
          <w:rFonts w:ascii="Arial" w:hAnsi="Arial" w:cs="Arial"/>
          <w:szCs w:val="20"/>
        </w:rPr>
        <w:t>year</w:t>
      </w:r>
      <w:r w:rsidR="00FC7426" w:rsidRPr="002C38A1">
        <w:rPr>
          <w:rFonts w:ascii="Arial" w:hAnsi="Arial" w:cs="Arial"/>
          <w:szCs w:val="20"/>
        </w:rPr>
        <w:t xml:space="preserve"> ended 3</w:t>
      </w:r>
      <w:r w:rsidR="002C38A1" w:rsidRPr="002C38A1">
        <w:rPr>
          <w:rFonts w:ascii="Arial" w:hAnsi="Arial" w:cs="Arial"/>
          <w:szCs w:val="20"/>
        </w:rPr>
        <w:t>1</w:t>
      </w:r>
      <w:r w:rsidR="00FC7426" w:rsidRPr="002C38A1">
        <w:rPr>
          <w:rFonts w:ascii="Arial" w:hAnsi="Arial" w:cs="Arial"/>
          <w:szCs w:val="20"/>
        </w:rPr>
        <w:t xml:space="preserve"> </w:t>
      </w:r>
      <w:r w:rsidR="002C38A1" w:rsidRPr="002C38A1">
        <w:rPr>
          <w:rFonts w:ascii="Arial" w:hAnsi="Arial" w:cs="Arial"/>
          <w:szCs w:val="20"/>
        </w:rPr>
        <w:t>Dece</w:t>
      </w:r>
      <w:r w:rsidR="00FC7426" w:rsidRPr="002C38A1">
        <w:rPr>
          <w:rFonts w:ascii="Arial" w:hAnsi="Arial" w:cs="Arial"/>
          <w:szCs w:val="20"/>
        </w:rPr>
        <w:t>mber 2022 these amounted to US</w:t>
      </w:r>
      <w:r w:rsidR="00FC7426" w:rsidRPr="00170DA2">
        <w:rPr>
          <w:rFonts w:ascii="Arial" w:hAnsi="Arial" w:cs="Arial"/>
          <w:szCs w:val="20"/>
        </w:rPr>
        <w:t xml:space="preserve">$ </w:t>
      </w:r>
      <w:r w:rsidR="00170DA2" w:rsidRPr="00170DA2">
        <w:rPr>
          <w:rFonts w:ascii="Arial" w:hAnsi="Arial" w:cs="Arial"/>
          <w:szCs w:val="20"/>
          <w:lang w:val="uk-UA"/>
        </w:rPr>
        <w:t>69</w:t>
      </w:r>
      <w:r w:rsidR="00FC7426" w:rsidRPr="00170DA2">
        <w:rPr>
          <w:rFonts w:ascii="Arial" w:hAnsi="Arial" w:cs="Arial"/>
          <w:szCs w:val="20"/>
        </w:rPr>
        <w:t xml:space="preserve"> million, including</w:t>
      </w:r>
      <w:r w:rsidR="00FC7426" w:rsidRPr="002C38A1">
        <w:rPr>
          <w:rFonts w:ascii="Arial" w:hAnsi="Arial" w:cs="Arial"/>
          <w:szCs w:val="20"/>
        </w:rPr>
        <w:t xml:space="preserve"> community support donations, write-off</w:t>
      </w:r>
      <w:r w:rsidR="00480449">
        <w:rPr>
          <w:rFonts w:ascii="Arial" w:hAnsi="Arial" w:cs="Arial"/>
          <w:szCs w:val="20"/>
        </w:rPr>
        <w:t>s</w:t>
      </w:r>
      <w:r w:rsidR="00FC7426" w:rsidRPr="002C38A1">
        <w:rPr>
          <w:rFonts w:ascii="Arial" w:hAnsi="Arial" w:cs="Arial"/>
          <w:szCs w:val="20"/>
        </w:rPr>
        <w:t xml:space="preserve"> of inventories and biological assets, and other</w:t>
      </w:r>
      <w:r w:rsidR="00480449">
        <w:rPr>
          <w:rFonts w:ascii="Arial" w:hAnsi="Arial" w:cs="Arial"/>
          <w:szCs w:val="20"/>
        </w:rPr>
        <w:t xml:space="preserve"> specific</w:t>
      </w:r>
      <w:r w:rsidR="00FC7426" w:rsidRPr="002C38A1">
        <w:rPr>
          <w:rFonts w:ascii="Arial" w:hAnsi="Arial" w:cs="Arial"/>
          <w:szCs w:val="20"/>
        </w:rPr>
        <w:t xml:space="preserve"> war-related expenses. Working with volunteers, </w:t>
      </w:r>
      <w:r w:rsidR="005B5026">
        <w:rPr>
          <w:rFonts w:ascii="Arial" w:hAnsi="Arial" w:cs="Arial"/>
          <w:szCs w:val="20"/>
        </w:rPr>
        <w:t>since the beginning of the War</w:t>
      </w:r>
      <w:r w:rsidR="005B5026" w:rsidRPr="002C38A1">
        <w:rPr>
          <w:rFonts w:ascii="Arial" w:hAnsi="Arial" w:cs="Arial"/>
          <w:szCs w:val="20"/>
        </w:rPr>
        <w:t xml:space="preserve"> </w:t>
      </w:r>
      <w:r w:rsidR="00FC7426" w:rsidRPr="002C38A1">
        <w:rPr>
          <w:rFonts w:ascii="Arial" w:hAnsi="Arial" w:cs="Arial"/>
          <w:szCs w:val="20"/>
        </w:rPr>
        <w:t xml:space="preserve">the Group has provided </w:t>
      </w:r>
      <w:r w:rsidR="005B5026">
        <w:rPr>
          <w:rFonts w:ascii="Arial" w:hAnsi="Arial" w:cs="Arial"/>
          <w:szCs w:val="20"/>
        </w:rPr>
        <w:t xml:space="preserve">extensive </w:t>
      </w:r>
      <w:r w:rsidR="00FC7426" w:rsidRPr="002C38A1">
        <w:rPr>
          <w:rFonts w:ascii="Arial" w:hAnsi="Arial" w:cs="Arial"/>
          <w:szCs w:val="20"/>
        </w:rPr>
        <w:t>humanitarian aid</w:t>
      </w:r>
      <w:r w:rsidR="005B5026">
        <w:rPr>
          <w:rFonts w:ascii="Arial" w:hAnsi="Arial" w:cs="Arial"/>
          <w:szCs w:val="20"/>
        </w:rPr>
        <w:t>,</w:t>
      </w:r>
      <w:r w:rsidR="00FC7426" w:rsidRPr="002C38A1">
        <w:rPr>
          <w:rFonts w:ascii="Arial" w:hAnsi="Arial" w:cs="Arial"/>
          <w:szCs w:val="20"/>
        </w:rPr>
        <w:t xml:space="preserve"> including the free supply of</w:t>
      </w:r>
      <w:r w:rsidR="005D08BA">
        <w:rPr>
          <w:rFonts w:ascii="Arial" w:hAnsi="Arial" w:cs="Arial"/>
          <w:szCs w:val="20"/>
        </w:rPr>
        <w:t xml:space="preserve"> around </w:t>
      </w:r>
      <w:r w:rsidR="00FC7426" w:rsidRPr="002C38A1">
        <w:rPr>
          <w:rFonts w:ascii="Arial" w:hAnsi="Arial" w:cs="Arial"/>
          <w:szCs w:val="20"/>
        </w:rPr>
        <w:t xml:space="preserve">12,000 </w:t>
      </w:r>
      <w:proofErr w:type="spellStart"/>
      <w:r w:rsidR="00FC7426" w:rsidRPr="002C38A1">
        <w:rPr>
          <w:rFonts w:ascii="Arial" w:hAnsi="Arial" w:cs="Arial"/>
          <w:szCs w:val="20"/>
        </w:rPr>
        <w:t>tonnes</w:t>
      </w:r>
      <w:proofErr w:type="spellEnd"/>
      <w:r w:rsidR="00FC7426" w:rsidRPr="002C38A1">
        <w:rPr>
          <w:rFonts w:ascii="Arial" w:hAnsi="Arial" w:cs="Arial"/>
          <w:szCs w:val="20"/>
        </w:rPr>
        <w:t xml:space="preserve"> of poultry products to the population of Ukraine.</w:t>
      </w:r>
      <w:r>
        <w:rPr>
          <w:rFonts w:ascii="Arial" w:hAnsi="Arial" w:cs="Arial"/>
          <w:szCs w:val="20"/>
        </w:rPr>
        <w:t xml:space="preserve"> </w:t>
      </w:r>
    </w:p>
    <w:p w14:paraId="60AC7074" w14:textId="7C8448CD" w:rsidR="0079094C" w:rsidRDefault="0079094C" w:rsidP="000C1D3E">
      <w:pPr>
        <w:spacing w:before="240" w:after="120" w:line="240" w:lineRule="auto"/>
        <w:jc w:val="both"/>
        <w:rPr>
          <w:rFonts w:ascii="Arial" w:eastAsia="Times New Roman" w:hAnsi="Arial" w:cs="Arial"/>
          <w:b/>
          <w:color w:val="000000"/>
          <w:sz w:val="20"/>
          <w:szCs w:val="20"/>
          <w:lang w:eastAsia="uk-UA"/>
        </w:rPr>
      </w:pPr>
      <w:r w:rsidRPr="005D77B1">
        <w:rPr>
          <w:rFonts w:ascii="Arial" w:eastAsia="Times New Roman" w:hAnsi="Arial" w:cs="Arial"/>
          <w:b/>
          <w:color w:val="000000"/>
          <w:sz w:val="20"/>
          <w:szCs w:val="20"/>
          <w:lang w:eastAsia="uk-UA"/>
        </w:rPr>
        <w:t>OPERATIONAL HIGHLIGHTS</w:t>
      </w:r>
    </w:p>
    <w:p w14:paraId="5620C4D1" w14:textId="4ECBE7D8" w:rsidR="005D5AED" w:rsidRPr="005D5AED" w:rsidRDefault="005D5AED" w:rsidP="005D5AED">
      <w:pPr>
        <w:spacing w:before="120" w:after="120" w:line="240" w:lineRule="auto"/>
        <w:jc w:val="both"/>
        <w:rPr>
          <w:rFonts w:ascii="Arial" w:eastAsia="Times New Roman" w:hAnsi="Arial" w:cs="Arial"/>
          <w:b/>
          <w:i/>
          <w:color w:val="000000"/>
          <w:sz w:val="20"/>
          <w:szCs w:val="20"/>
          <w:lang w:eastAsia="uk-UA"/>
        </w:rPr>
      </w:pPr>
      <w:r w:rsidRPr="003512A0">
        <w:rPr>
          <w:rFonts w:ascii="Arial" w:eastAsia="Times New Roman" w:hAnsi="Arial" w:cs="Arial"/>
          <w:b/>
          <w:i/>
          <w:color w:val="000000"/>
          <w:sz w:val="20"/>
          <w:szCs w:val="20"/>
          <w:lang w:eastAsia="uk-UA"/>
        </w:rPr>
        <w:t>Q</w:t>
      </w:r>
      <w:r w:rsidR="00E152E5">
        <w:rPr>
          <w:rFonts w:ascii="Arial" w:eastAsia="Times New Roman" w:hAnsi="Arial" w:cs="Arial"/>
          <w:b/>
          <w:i/>
          <w:color w:val="000000"/>
          <w:sz w:val="20"/>
          <w:szCs w:val="20"/>
          <w:lang w:eastAsia="uk-UA"/>
        </w:rPr>
        <w:t>4</w:t>
      </w:r>
      <w:r w:rsidRPr="003512A0">
        <w:rPr>
          <w:rFonts w:ascii="Arial" w:eastAsia="Times New Roman" w:hAnsi="Arial" w:cs="Arial"/>
          <w:b/>
          <w:i/>
          <w:color w:val="000000"/>
          <w:sz w:val="20"/>
          <w:szCs w:val="20"/>
          <w:lang w:eastAsia="uk-UA"/>
        </w:rPr>
        <w:t xml:space="preserve"> 202</w:t>
      </w:r>
      <w:r>
        <w:rPr>
          <w:rFonts w:ascii="Arial" w:eastAsia="Times New Roman" w:hAnsi="Arial" w:cs="Arial"/>
          <w:b/>
          <w:i/>
          <w:color w:val="000000"/>
          <w:sz w:val="20"/>
          <w:szCs w:val="20"/>
          <w:lang w:eastAsia="uk-UA"/>
        </w:rPr>
        <w:t>2</w:t>
      </w:r>
    </w:p>
    <w:p w14:paraId="3D4DB0F2" w14:textId="1BC81020" w:rsidR="00E83866" w:rsidRPr="00D53811" w:rsidRDefault="00212A15" w:rsidP="00146B31">
      <w:pPr>
        <w:pStyle w:val="a5"/>
        <w:numPr>
          <w:ilvl w:val="0"/>
          <w:numId w:val="8"/>
        </w:numPr>
        <w:ind w:left="567" w:hanging="567"/>
        <w:jc w:val="both"/>
        <w:rPr>
          <w:rFonts w:ascii="Arial" w:eastAsia="Times New Roman" w:hAnsi="Arial" w:cs="Arial"/>
          <w:color w:val="000000"/>
          <w:sz w:val="20"/>
          <w:szCs w:val="20"/>
          <w:lang w:eastAsia="uk-UA"/>
        </w:rPr>
      </w:pPr>
      <w:r w:rsidRPr="002C1A09">
        <w:rPr>
          <w:rFonts w:ascii="Arial" w:eastAsia="Times New Roman" w:hAnsi="Arial" w:cs="Arial"/>
          <w:color w:val="000000"/>
          <w:sz w:val="20"/>
          <w:szCs w:val="20"/>
          <w:lang w:eastAsia="uk-UA"/>
        </w:rPr>
        <w:t xml:space="preserve">Poultry </w:t>
      </w:r>
      <w:r w:rsidR="00CB25D2" w:rsidRPr="002C1A09">
        <w:rPr>
          <w:rFonts w:ascii="Arial" w:eastAsia="Times New Roman" w:hAnsi="Arial" w:cs="Arial"/>
          <w:color w:val="000000"/>
          <w:sz w:val="20"/>
          <w:szCs w:val="20"/>
          <w:lang w:eastAsia="uk-UA"/>
        </w:rPr>
        <w:t>p</w:t>
      </w:r>
      <w:r w:rsidR="00E83866" w:rsidRPr="002C1A09">
        <w:rPr>
          <w:rFonts w:ascii="Arial" w:eastAsia="Times New Roman" w:hAnsi="Arial" w:cs="Arial"/>
          <w:color w:val="000000"/>
          <w:sz w:val="20"/>
          <w:szCs w:val="20"/>
          <w:lang w:eastAsia="uk-UA"/>
        </w:rPr>
        <w:t>roduction volume</w:t>
      </w:r>
      <w:r w:rsidRPr="002C1A09">
        <w:rPr>
          <w:rFonts w:ascii="Arial" w:eastAsia="Times New Roman" w:hAnsi="Arial" w:cs="Arial"/>
          <w:color w:val="000000"/>
          <w:sz w:val="20"/>
          <w:szCs w:val="20"/>
          <w:lang w:eastAsia="uk-UA"/>
        </w:rPr>
        <w:t xml:space="preserve"> in Ukraine</w:t>
      </w:r>
      <w:r w:rsidR="004A6799" w:rsidRPr="002C1A09">
        <w:rPr>
          <w:rFonts w:ascii="Arial" w:eastAsia="Times New Roman" w:hAnsi="Arial" w:cs="Arial"/>
          <w:color w:val="000000"/>
          <w:sz w:val="20"/>
          <w:szCs w:val="20"/>
          <w:lang w:eastAsia="uk-UA"/>
        </w:rPr>
        <w:t xml:space="preserve"> </w:t>
      </w:r>
      <w:r w:rsidR="001F70E2">
        <w:rPr>
          <w:rFonts w:ascii="Arial" w:eastAsia="Times New Roman" w:hAnsi="Arial" w:cs="Arial"/>
          <w:color w:val="000000"/>
          <w:sz w:val="20"/>
          <w:szCs w:val="20"/>
          <w:lang w:eastAsia="uk-UA"/>
        </w:rPr>
        <w:t>decreased</w:t>
      </w:r>
      <w:r w:rsidR="00A12BD4" w:rsidRPr="002C1A09">
        <w:rPr>
          <w:rFonts w:ascii="Arial" w:eastAsia="Times New Roman" w:hAnsi="Arial" w:cs="Arial"/>
          <w:color w:val="000000"/>
          <w:sz w:val="20"/>
          <w:szCs w:val="20"/>
          <w:lang w:eastAsia="uk-UA"/>
        </w:rPr>
        <w:t xml:space="preserve"> </w:t>
      </w:r>
      <w:r w:rsidR="002C1A09" w:rsidRPr="002C1A09">
        <w:rPr>
          <w:rFonts w:ascii="Arial" w:hAnsi="Arial" w:cs="Arial"/>
          <w:sz w:val="20"/>
          <w:szCs w:val="20"/>
        </w:rPr>
        <w:t>10%</w:t>
      </w:r>
      <w:r w:rsidR="001F70E2">
        <w:rPr>
          <w:rFonts w:ascii="Arial" w:hAnsi="Arial" w:cs="Arial"/>
          <w:sz w:val="20"/>
          <w:szCs w:val="20"/>
        </w:rPr>
        <w:t xml:space="preserve"> y/y</w:t>
      </w:r>
      <w:r w:rsidR="00D2082B" w:rsidRPr="002C1A09">
        <w:rPr>
          <w:rFonts w:ascii="Arial" w:eastAsia="Times New Roman" w:hAnsi="Arial" w:cs="Arial"/>
          <w:color w:val="000000"/>
          <w:sz w:val="20"/>
          <w:szCs w:val="20"/>
          <w:lang w:eastAsia="uk-UA"/>
        </w:rPr>
        <w:t xml:space="preserve"> </w:t>
      </w:r>
      <w:r w:rsidR="001F70E2">
        <w:rPr>
          <w:rFonts w:ascii="Arial" w:eastAsia="Times New Roman" w:hAnsi="Arial" w:cs="Arial"/>
          <w:color w:val="000000"/>
          <w:sz w:val="20"/>
          <w:szCs w:val="20"/>
          <w:lang w:eastAsia="uk-UA"/>
        </w:rPr>
        <w:t>to</w:t>
      </w:r>
      <w:r w:rsidR="001F70E2" w:rsidRPr="002C1A09">
        <w:rPr>
          <w:rFonts w:ascii="Arial" w:eastAsia="Times New Roman" w:hAnsi="Arial" w:cs="Arial"/>
          <w:color w:val="000000"/>
          <w:sz w:val="20"/>
          <w:szCs w:val="20"/>
          <w:lang w:eastAsia="uk-UA"/>
        </w:rPr>
        <w:t xml:space="preserve"> </w:t>
      </w:r>
      <w:r w:rsidR="00DB5AAE" w:rsidRPr="000D120B">
        <w:rPr>
          <w:rFonts w:ascii="Arial" w:hAnsi="Arial" w:cs="Arial"/>
          <w:sz w:val="20"/>
          <w:szCs w:val="20"/>
        </w:rPr>
        <w:t>181,583</w:t>
      </w:r>
      <w:r w:rsidR="00714BC2" w:rsidRPr="002C1A09">
        <w:rPr>
          <w:rFonts w:ascii="Arial" w:hAnsi="Arial" w:cs="Arial"/>
          <w:sz w:val="20"/>
          <w:szCs w:val="20"/>
        </w:rPr>
        <w:t xml:space="preserve"> </w:t>
      </w:r>
      <w:proofErr w:type="spellStart"/>
      <w:r w:rsidR="00D2082B" w:rsidRPr="002C1A09">
        <w:rPr>
          <w:rFonts w:ascii="Arial" w:hAnsi="Arial" w:cs="Arial"/>
          <w:sz w:val="20"/>
          <w:szCs w:val="20"/>
        </w:rPr>
        <w:t>tonnes</w:t>
      </w:r>
      <w:proofErr w:type="spellEnd"/>
      <w:r w:rsidR="00D2082B" w:rsidRPr="002C1A09">
        <w:rPr>
          <w:rFonts w:ascii="Arial" w:hAnsi="Arial" w:cs="Arial"/>
          <w:sz w:val="20"/>
          <w:szCs w:val="20"/>
        </w:rPr>
        <w:t xml:space="preserve"> </w:t>
      </w:r>
      <w:r w:rsidR="00E83866" w:rsidRPr="002C1A09">
        <w:rPr>
          <w:rFonts w:ascii="Arial" w:eastAsia="Times New Roman" w:hAnsi="Arial" w:cs="Arial"/>
          <w:color w:val="000000"/>
          <w:sz w:val="20"/>
          <w:szCs w:val="20"/>
          <w:lang w:eastAsia="uk-UA"/>
        </w:rPr>
        <w:t>(</w:t>
      </w:r>
      <w:r w:rsidR="00A12BD4" w:rsidRPr="002C1A09">
        <w:rPr>
          <w:rFonts w:ascii="Arial" w:eastAsia="Times New Roman" w:hAnsi="Arial" w:cs="Arial"/>
          <w:color w:val="000000"/>
          <w:sz w:val="20"/>
          <w:szCs w:val="20"/>
          <w:lang w:eastAsia="uk-UA"/>
        </w:rPr>
        <w:t>Q</w:t>
      </w:r>
      <w:r w:rsidR="00E152E5" w:rsidRPr="002C1A09">
        <w:rPr>
          <w:rFonts w:ascii="Arial" w:eastAsia="Times New Roman" w:hAnsi="Arial" w:cs="Arial"/>
          <w:color w:val="000000"/>
          <w:sz w:val="20"/>
          <w:szCs w:val="20"/>
          <w:lang w:eastAsia="uk-UA"/>
        </w:rPr>
        <w:t>4</w:t>
      </w:r>
      <w:r w:rsidR="00A12BD4" w:rsidRPr="002C1A09">
        <w:rPr>
          <w:rFonts w:ascii="Arial" w:eastAsia="Times New Roman" w:hAnsi="Arial" w:cs="Arial"/>
          <w:color w:val="000000"/>
          <w:sz w:val="20"/>
          <w:szCs w:val="20"/>
          <w:lang w:eastAsia="uk-UA"/>
        </w:rPr>
        <w:t xml:space="preserve"> </w:t>
      </w:r>
      <w:r w:rsidR="00E22622" w:rsidRPr="002C1A09">
        <w:rPr>
          <w:rFonts w:ascii="Arial" w:eastAsia="Times New Roman" w:hAnsi="Arial" w:cs="Arial"/>
          <w:color w:val="000000"/>
          <w:sz w:val="20"/>
          <w:szCs w:val="20"/>
          <w:lang w:eastAsia="uk-UA"/>
        </w:rPr>
        <w:t>202</w:t>
      </w:r>
      <w:r w:rsidR="00963DE3" w:rsidRPr="002C1A09">
        <w:rPr>
          <w:rFonts w:ascii="Arial" w:eastAsia="Times New Roman" w:hAnsi="Arial" w:cs="Arial"/>
          <w:color w:val="000000"/>
          <w:sz w:val="20"/>
          <w:szCs w:val="20"/>
          <w:lang w:eastAsia="uk-UA"/>
        </w:rPr>
        <w:t>1</w:t>
      </w:r>
      <w:r w:rsidR="00E83866" w:rsidRPr="002C1A09">
        <w:rPr>
          <w:rFonts w:ascii="Arial" w:eastAsia="Times New Roman" w:hAnsi="Arial" w:cs="Arial"/>
          <w:color w:val="000000"/>
          <w:sz w:val="20"/>
          <w:szCs w:val="20"/>
          <w:lang w:eastAsia="uk-UA"/>
        </w:rPr>
        <w:t>:</w:t>
      </w:r>
      <w:r w:rsidR="00285818" w:rsidRPr="002C1A09">
        <w:rPr>
          <w:rFonts w:ascii="Arial" w:eastAsia="Times New Roman" w:hAnsi="Arial" w:cs="Arial"/>
          <w:color w:val="000000"/>
          <w:sz w:val="20"/>
          <w:szCs w:val="20"/>
          <w:lang w:eastAsia="uk-UA"/>
        </w:rPr>
        <w:t xml:space="preserve"> </w:t>
      </w:r>
      <w:r w:rsidR="00DB5AAE" w:rsidRPr="000D120B">
        <w:rPr>
          <w:rFonts w:ascii="Arial" w:hAnsi="Arial" w:cs="Arial"/>
          <w:sz w:val="20"/>
          <w:szCs w:val="20"/>
        </w:rPr>
        <w:t>202,657</w:t>
      </w:r>
      <w:r w:rsidR="00F67C71" w:rsidRPr="002C1A09">
        <w:rPr>
          <w:rFonts w:ascii="Arial" w:eastAsia="Times New Roman" w:hAnsi="Arial" w:cs="Arial"/>
          <w:color w:val="000000"/>
          <w:sz w:val="20"/>
          <w:szCs w:val="20"/>
          <w:lang w:eastAsia="uk-UA"/>
        </w:rPr>
        <w:t xml:space="preserve"> </w:t>
      </w:r>
      <w:proofErr w:type="spellStart"/>
      <w:r w:rsidR="00E83866" w:rsidRPr="002C1A09">
        <w:rPr>
          <w:rFonts w:ascii="Arial" w:eastAsia="Times New Roman" w:hAnsi="Arial" w:cs="Arial"/>
          <w:color w:val="000000"/>
          <w:sz w:val="20"/>
          <w:szCs w:val="20"/>
          <w:lang w:eastAsia="uk-UA"/>
        </w:rPr>
        <w:t>tonnes</w:t>
      </w:r>
      <w:proofErr w:type="spellEnd"/>
      <w:r w:rsidR="00E83866" w:rsidRPr="002C1A09">
        <w:rPr>
          <w:rFonts w:ascii="Arial" w:eastAsia="Times New Roman" w:hAnsi="Arial" w:cs="Arial"/>
          <w:color w:val="000000"/>
          <w:sz w:val="20"/>
          <w:szCs w:val="20"/>
          <w:lang w:eastAsia="uk-UA"/>
        </w:rPr>
        <w:t>)</w:t>
      </w:r>
      <w:r w:rsidR="00D57721" w:rsidRPr="002C1A09">
        <w:rPr>
          <w:rFonts w:ascii="Arial" w:eastAsia="Times New Roman" w:hAnsi="Arial" w:cs="Arial"/>
          <w:color w:val="000000"/>
          <w:sz w:val="20"/>
          <w:szCs w:val="20"/>
          <w:lang w:eastAsia="uk-UA"/>
        </w:rPr>
        <w:t>.</w:t>
      </w:r>
      <w:r w:rsidR="00D57721" w:rsidRPr="00953194">
        <w:rPr>
          <w:rFonts w:ascii="Arial" w:eastAsia="Times New Roman" w:hAnsi="Arial" w:cs="Arial"/>
          <w:color w:val="000000"/>
          <w:sz w:val="20"/>
          <w:szCs w:val="20"/>
          <w:lang w:eastAsia="uk-UA"/>
        </w:rPr>
        <w:t xml:space="preserve"> </w:t>
      </w:r>
      <w:r w:rsidR="00D57721" w:rsidRPr="00D53811">
        <w:rPr>
          <w:rFonts w:ascii="Arial" w:eastAsia="Times New Roman" w:hAnsi="Arial" w:cs="Arial"/>
          <w:color w:val="000000"/>
          <w:sz w:val="20"/>
          <w:szCs w:val="20"/>
          <w:lang w:eastAsia="uk-UA"/>
        </w:rPr>
        <w:t xml:space="preserve">Poultry production volumes </w:t>
      </w:r>
      <w:r w:rsidR="001F70E2">
        <w:rPr>
          <w:rFonts w:ascii="Arial" w:eastAsia="Times New Roman" w:hAnsi="Arial" w:cs="Arial"/>
          <w:color w:val="000000"/>
          <w:sz w:val="20"/>
          <w:szCs w:val="20"/>
          <w:lang w:eastAsia="uk-UA"/>
        </w:rPr>
        <w:t>for</w:t>
      </w:r>
      <w:r w:rsidR="001F70E2" w:rsidRPr="00D53811">
        <w:rPr>
          <w:rFonts w:ascii="Arial" w:eastAsia="Times New Roman" w:hAnsi="Arial" w:cs="Arial"/>
          <w:color w:val="000000"/>
          <w:sz w:val="20"/>
          <w:szCs w:val="20"/>
          <w:lang w:eastAsia="uk-UA"/>
        </w:rPr>
        <w:t xml:space="preserve"> </w:t>
      </w:r>
      <w:r w:rsidR="00D57721" w:rsidRPr="00D53811">
        <w:rPr>
          <w:rFonts w:ascii="Arial" w:eastAsia="Times New Roman" w:hAnsi="Arial" w:cs="Arial"/>
          <w:color w:val="000000"/>
          <w:sz w:val="20"/>
          <w:szCs w:val="20"/>
          <w:lang w:eastAsia="uk-UA"/>
        </w:rPr>
        <w:t>the European Operating Segment (</w:t>
      </w:r>
      <w:proofErr w:type="spellStart"/>
      <w:r w:rsidR="001F70E2">
        <w:rPr>
          <w:rFonts w:ascii="Arial" w:eastAsia="Times New Roman" w:hAnsi="Arial" w:cs="Arial"/>
          <w:color w:val="000000"/>
          <w:sz w:val="20"/>
          <w:szCs w:val="20"/>
          <w:lang w:eastAsia="uk-UA"/>
        </w:rPr>
        <w:t>Perutnina</w:t>
      </w:r>
      <w:proofErr w:type="spellEnd"/>
      <w:r w:rsidR="001F70E2">
        <w:rPr>
          <w:rFonts w:ascii="Arial" w:eastAsia="Times New Roman" w:hAnsi="Arial" w:cs="Arial"/>
          <w:color w:val="000000"/>
          <w:sz w:val="20"/>
          <w:szCs w:val="20"/>
          <w:lang w:eastAsia="uk-UA"/>
        </w:rPr>
        <w:t xml:space="preserve"> </w:t>
      </w:r>
      <w:proofErr w:type="spellStart"/>
      <w:r w:rsidR="001F70E2">
        <w:rPr>
          <w:rFonts w:ascii="Arial" w:eastAsia="Times New Roman" w:hAnsi="Arial" w:cs="Arial"/>
          <w:color w:val="000000"/>
          <w:sz w:val="20"/>
          <w:szCs w:val="20"/>
          <w:lang w:eastAsia="uk-UA"/>
        </w:rPr>
        <w:t>Ptuj</w:t>
      </w:r>
      <w:proofErr w:type="spellEnd"/>
      <w:r w:rsidR="001F70E2">
        <w:rPr>
          <w:rFonts w:ascii="Arial" w:eastAsia="Times New Roman" w:hAnsi="Arial" w:cs="Arial"/>
          <w:color w:val="000000"/>
          <w:sz w:val="20"/>
          <w:szCs w:val="20"/>
          <w:lang w:eastAsia="uk-UA"/>
        </w:rPr>
        <w:t>, “</w:t>
      </w:r>
      <w:r w:rsidR="00D57721" w:rsidRPr="00D53811">
        <w:rPr>
          <w:rFonts w:ascii="Arial" w:eastAsia="Times New Roman" w:hAnsi="Arial" w:cs="Arial"/>
          <w:color w:val="000000"/>
          <w:sz w:val="20"/>
          <w:szCs w:val="20"/>
          <w:lang w:eastAsia="uk-UA"/>
        </w:rPr>
        <w:t>PP</w:t>
      </w:r>
      <w:r w:rsidR="001F70E2">
        <w:rPr>
          <w:rFonts w:ascii="Arial" w:eastAsia="Times New Roman" w:hAnsi="Arial" w:cs="Arial"/>
          <w:color w:val="000000"/>
          <w:sz w:val="20"/>
          <w:szCs w:val="20"/>
          <w:lang w:eastAsia="uk-UA"/>
        </w:rPr>
        <w:t>”</w:t>
      </w:r>
      <w:r w:rsidR="00D57721" w:rsidRPr="00D53811">
        <w:rPr>
          <w:rFonts w:ascii="Arial" w:eastAsia="Times New Roman" w:hAnsi="Arial" w:cs="Arial"/>
          <w:color w:val="000000"/>
          <w:sz w:val="20"/>
          <w:szCs w:val="20"/>
          <w:lang w:eastAsia="uk-UA"/>
        </w:rPr>
        <w:t>)</w:t>
      </w:r>
      <w:r w:rsidR="00953194" w:rsidRPr="00D53811">
        <w:rPr>
          <w:rFonts w:ascii="Arial" w:eastAsia="Times New Roman" w:hAnsi="Arial" w:cs="Arial"/>
          <w:color w:val="000000"/>
          <w:sz w:val="20"/>
          <w:szCs w:val="20"/>
          <w:lang w:eastAsia="uk-UA"/>
        </w:rPr>
        <w:t xml:space="preserve"> increased by </w:t>
      </w:r>
      <w:r w:rsidR="00DB5AAE" w:rsidRPr="000D120B">
        <w:rPr>
          <w:rFonts w:ascii="Arial" w:hAnsi="Arial" w:cs="Arial"/>
          <w:sz w:val="20"/>
          <w:szCs w:val="20"/>
        </w:rPr>
        <w:t>11%</w:t>
      </w:r>
      <w:r w:rsidR="00D57721" w:rsidRPr="00D53811">
        <w:rPr>
          <w:rFonts w:ascii="Arial" w:eastAsia="Times New Roman" w:hAnsi="Arial" w:cs="Arial"/>
          <w:color w:val="000000"/>
          <w:sz w:val="20"/>
          <w:szCs w:val="20"/>
          <w:lang w:eastAsia="uk-UA"/>
        </w:rPr>
        <w:t xml:space="preserve"> to</w:t>
      </w:r>
      <w:r w:rsidR="00227B97" w:rsidRPr="00D53811">
        <w:rPr>
          <w:rFonts w:ascii="Arial" w:eastAsia="Times New Roman" w:hAnsi="Arial" w:cs="Arial"/>
          <w:color w:val="000000"/>
          <w:sz w:val="20"/>
          <w:szCs w:val="20"/>
          <w:lang w:eastAsia="uk-UA"/>
        </w:rPr>
        <w:t xml:space="preserve"> </w:t>
      </w:r>
      <w:r w:rsidR="00DB5AAE" w:rsidRPr="000D120B">
        <w:rPr>
          <w:rFonts w:ascii="Arial" w:hAnsi="Arial" w:cs="Arial"/>
          <w:sz w:val="20"/>
          <w:szCs w:val="20"/>
        </w:rPr>
        <w:t>31,147</w:t>
      </w:r>
      <w:r w:rsidR="00714BC2" w:rsidRPr="00D53811">
        <w:rPr>
          <w:rFonts w:ascii="Arial" w:eastAsia="Times New Roman" w:hAnsi="Arial" w:cs="Arial"/>
          <w:color w:val="000000"/>
          <w:sz w:val="20"/>
          <w:szCs w:val="20"/>
          <w:lang w:eastAsia="uk-UA"/>
        </w:rPr>
        <w:t xml:space="preserve"> </w:t>
      </w:r>
      <w:proofErr w:type="spellStart"/>
      <w:r w:rsidR="00D57721" w:rsidRPr="00D53811">
        <w:rPr>
          <w:rFonts w:ascii="Arial" w:eastAsia="Times New Roman" w:hAnsi="Arial" w:cs="Arial"/>
          <w:color w:val="000000"/>
          <w:sz w:val="20"/>
          <w:szCs w:val="20"/>
          <w:lang w:eastAsia="uk-UA"/>
        </w:rPr>
        <w:t>tonnes</w:t>
      </w:r>
      <w:proofErr w:type="spellEnd"/>
      <w:r w:rsidR="00627654" w:rsidRPr="00D53811">
        <w:rPr>
          <w:rFonts w:ascii="Arial" w:eastAsia="Times New Roman" w:hAnsi="Arial" w:cs="Arial"/>
          <w:color w:val="000000"/>
          <w:sz w:val="20"/>
          <w:szCs w:val="20"/>
          <w:lang w:eastAsia="uk-UA"/>
        </w:rPr>
        <w:t xml:space="preserve"> (</w:t>
      </w:r>
      <w:r w:rsidR="00A12BD4" w:rsidRPr="00D53811">
        <w:rPr>
          <w:rFonts w:ascii="Arial" w:eastAsia="Times New Roman" w:hAnsi="Arial" w:cs="Arial"/>
          <w:color w:val="000000"/>
          <w:sz w:val="20"/>
          <w:szCs w:val="20"/>
          <w:lang w:eastAsia="uk-UA"/>
        </w:rPr>
        <w:t>Q</w:t>
      </w:r>
      <w:r w:rsidR="00E152E5" w:rsidRPr="00D53811">
        <w:rPr>
          <w:rFonts w:ascii="Arial" w:eastAsia="Times New Roman" w:hAnsi="Arial" w:cs="Arial"/>
          <w:color w:val="000000"/>
          <w:sz w:val="20"/>
          <w:szCs w:val="20"/>
          <w:lang w:eastAsia="uk-UA"/>
        </w:rPr>
        <w:t>4</w:t>
      </w:r>
      <w:r w:rsidR="00A12BD4" w:rsidRPr="00D53811">
        <w:rPr>
          <w:rFonts w:ascii="Arial" w:eastAsia="Times New Roman" w:hAnsi="Arial" w:cs="Arial"/>
          <w:color w:val="000000"/>
          <w:sz w:val="20"/>
          <w:szCs w:val="20"/>
          <w:lang w:eastAsia="uk-UA"/>
        </w:rPr>
        <w:t xml:space="preserve"> </w:t>
      </w:r>
      <w:r w:rsidR="00E22622" w:rsidRPr="00D53811">
        <w:rPr>
          <w:rFonts w:ascii="Arial" w:eastAsia="Times New Roman" w:hAnsi="Arial" w:cs="Arial"/>
          <w:color w:val="000000"/>
          <w:sz w:val="20"/>
          <w:szCs w:val="20"/>
          <w:lang w:eastAsia="uk-UA"/>
        </w:rPr>
        <w:t>2021</w:t>
      </w:r>
      <w:r w:rsidR="00627654" w:rsidRPr="00D53811">
        <w:rPr>
          <w:rFonts w:ascii="Arial" w:eastAsia="Times New Roman" w:hAnsi="Arial" w:cs="Arial"/>
          <w:color w:val="000000"/>
          <w:sz w:val="20"/>
          <w:szCs w:val="20"/>
          <w:lang w:eastAsia="uk-UA"/>
        </w:rPr>
        <w:t>:</w:t>
      </w:r>
      <w:r w:rsidR="00D53811" w:rsidRPr="00D53811">
        <w:rPr>
          <w:rFonts w:ascii="Arial" w:hAnsi="Arial" w:cs="Arial"/>
          <w:b/>
          <w:bCs/>
          <w:sz w:val="20"/>
          <w:szCs w:val="20"/>
        </w:rPr>
        <w:t xml:space="preserve"> </w:t>
      </w:r>
      <w:r w:rsidR="00DB5AAE" w:rsidRPr="000D120B">
        <w:rPr>
          <w:rFonts w:ascii="Arial" w:hAnsi="Arial" w:cs="Arial"/>
          <w:sz w:val="20"/>
          <w:szCs w:val="20"/>
        </w:rPr>
        <w:t>28,043</w:t>
      </w:r>
      <w:r w:rsidR="00D53811" w:rsidRPr="00D53811">
        <w:rPr>
          <w:rFonts w:ascii="Arial" w:eastAsia="Times New Roman" w:hAnsi="Arial" w:cs="Arial"/>
          <w:color w:val="000000"/>
          <w:sz w:val="20"/>
          <w:szCs w:val="20"/>
          <w:lang w:eastAsia="uk-UA"/>
        </w:rPr>
        <w:t xml:space="preserve"> </w:t>
      </w:r>
      <w:proofErr w:type="spellStart"/>
      <w:r w:rsidR="00627654" w:rsidRPr="00D53811">
        <w:rPr>
          <w:rFonts w:ascii="Arial" w:eastAsia="Times New Roman" w:hAnsi="Arial" w:cs="Arial"/>
          <w:color w:val="000000"/>
          <w:sz w:val="20"/>
          <w:szCs w:val="20"/>
          <w:lang w:eastAsia="uk-UA"/>
        </w:rPr>
        <w:t>tonnes</w:t>
      </w:r>
      <w:proofErr w:type="spellEnd"/>
      <w:r w:rsidR="00627654" w:rsidRPr="00D53811">
        <w:rPr>
          <w:rFonts w:ascii="Arial" w:eastAsia="Times New Roman" w:hAnsi="Arial" w:cs="Arial"/>
          <w:color w:val="000000"/>
          <w:sz w:val="20"/>
          <w:szCs w:val="20"/>
          <w:lang w:eastAsia="uk-UA"/>
        </w:rPr>
        <w:t>).</w:t>
      </w:r>
    </w:p>
    <w:p w14:paraId="6889F673" w14:textId="4EB59067" w:rsidR="0079094C" w:rsidRPr="00134234" w:rsidRDefault="00212A15"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134234">
        <w:rPr>
          <w:rFonts w:ascii="Arial" w:eastAsia="Times New Roman" w:hAnsi="Arial" w:cs="Arial"/>
          <w:color w:val="000000"/>
          <w:sz w:val="20"/>
          <w:szCs w:val="20"/>
          <w:lang w:eastAsia="uk-UA"/>
        </w:rPr>
        <w:t xml:space="preserve">MHP </w:t>
      </w:r>
      <w:r w:rsidR="00E83866" w:rsidRPr="00134234">
        <w:rPr>
          <w:rFonts w:ascii="Arial" w:eastAsia="Times New Roman" w:hAnsi="Arial" w:cs="Arial"/>
          <w:color w:val="000000"/>
          <w:sz w:val="20"/>
          <w:szCs w:val="20"/>
          <w:lang w:eastAsia="uk-UA"/>
        </w:rPr>
        <w:t xml:space="preserve">average chicken </w:t>
      </w:r>
      <w:r w:rsidR="009753B1" w:rsidRPr="00134234">
        <w:rPr>
          <w:rFonts w:ascii="Arial" w:eastAsia="Times New Roman" w:hAnsi="Arial" w:cs="Arial"/>
          <w:color w:val="000000"/>
          <w:sz w:val="20"/>
          <w:szCs w:val="20"/>
          <w:lang w:eastAsia="uk-UA"/>
        </w:rPr>
        <w:t xml:space="preserve">meat </w:t>
      </w:r>
      <w:r w:rsidR="00E83866" w:rsidRPr="00134234">
        <w:rPr>
          <w:rFonts w:ascii="Arial" w:eastAsia="Times New Roman" w:hAnsi="Arial" w:cs="Arial"/>
          <w:color w:val="000000"/>
          <w:sz w:val="20"/>
          <w:szCs w:val="20"/>
          <w:lang w:eastAsia="uk-UA"/>
        </w:rPr>
        <w:t xml:space="preserve">price </w:t>
      </w:r>
      <w:r w:rsidR="00A12BD4" w:rsidRPr="00134234">
        <w:rPr>
          <w:rFonts w:ascii="Arial" w:eastAsia="Times New Roman" w:hAnsi="Arial" w:cs="Arial"/>
          <w:color w:val="000000"/>
          <w:sz w:val="20"/>
          <w:szCs w:val="20"/>
          <w:lang w:eastAsia="uk-UA"/>
        </w:rPr>
        <w:t>in</w:t>
      </w:r>
      <w:r w:rsidR="009E2089" w:rsidRPr="00134234">
        <w:rPr>
          <w:rFonts w:ascii="Arial" w:eastAsia="Times New Roman" w:hAnsi="Arial" w:cs="Arial"/>
          <w:color w:val="000000"/>
          <w:sz w:val="20"/>
          <w:szCs w:val="20"/>
          <w:lang w:eastAsia="uk-UA"/>
        </w:rPr>
        <w:t xml:space="preserve">creased by </w:t>
      </w:r>
      <w:r w:rsidR="00DB5AAE" w:rsidRPr="000D120B">
        <w:rPr>
          <w:rFonts w:ascii="Arial" w:hAnsi="Arial" w:cs="Arial"/>
          <w:sz w:val="20"/>
          <w:szCs w:val="20"/>
        </w:rPr>
        <w:t>6%</w:t>
      </w:r>
      <w:r w:rsidR="009E2089" w:rsidRPr="00134234">
        <w:rPr>
          <w:rFonts w:ascii="Arial" w:eastAsia="Times New Roman" w:hAnsi="Arial" w:cs="Arial"/>
          <w:color w:val="000000"/>
          <w:sz w:val="20"/>
          <w:szCs w:val="20"/>
          <w:lang w:eastAsia="uk-UA"/>
        </w:rPr>
        <w:t xml:space="preserve"> </w:t>
      </w:r>
      <w:r w:rsidR="00EC0660" w:rsidRPr="00134234">
        <w:rPr>
          <w:rFonts w:ascii="Arial" w:eastAsia="Times New Roman" w:hAnsi="Arial" w:cs="Arial"/>
          <w:color w:val="000000"/>
          <w:sz w:val="20"/>
          <w:szCs w:val="20"/>
          <w:lang w:eastAsia="uk-UA"/>
        </w:rPr>
        <w:t>to</w:t>
      </w:r>
      <w:r w:rsidR="0058531D" w:rsidRPr="00134234">
        <w:rPr>
          <w:rFonts w:ascii="Arial" w:eastAsia="Times New Roman" w:hAnsi="Arial" w:cs="Arial"/>
          <w:color w:val="000000"/>
          <w:sz w:val="20"/>
          <w:szCs w:val="20"/>
          <w:lang w:eastAsia="uk-UA"/>
        </w:rPr>
        <w:t xml:space="preserve"> </w:t>
      </w:r>
      <w:r w:rsidR="009E2089" w:rsidRPr="00134234">
        <w:rPr>
          <w:rFonts w:ascii="Arial" w:eastAsia="Times New Roman" w:hAnsi="Arial" w:cs="Arial"/>
          <w:color w:val="000000"/>
          <w:sz w:val="20"/>
          <w:szCs w:val="20"/>
          <w:lang w:eastAsia="uk-UA"/>
        </w:rPr>
        <w:t>US</w:t>
      </w:r>
      <w:r w:rsidRPr="00134234">
        <w:rPr>
          <w:rFonts w:ascii="Arial" w:eastAsia="Times New Roman" w:hAnsi="Arial" w:cs="Arial"/>
          <w:color w:val="000000"/>
          <w:sz w:val="20"/>
          <w:szCs w:val="20"/>
          <w:lang w:eastAsia="uk-UA"/>
        </w:rPr>
        <w:t>$</w:t>
      </w:r>
      <w:r w:rsidR="007C0AAB" w:rsidRPr="00134234">
        <w:rPr>
          <w:rFonts w:ascii="Arial" w:eastAsia="Times New Roman" w:hAnsi="Arial" w:cs="Arial"/>
          <w:color w:val="000000"/>
          <w:sz w:val="20"/>
          <w:szCs w:val="20"/>
          <w:lang w:eastAsia="uk-UA"/>
        </w:rPr>
        <w:t xml:space="preserve"> </w:t>
      </w:r>
      <w:r w:rsidR="00DB5AAE" w:rsidRPr="000D120B">
        <w:rPr>
          <w:rFonts w:ascii="Arial" w:hAnsi="Arial" w:cs="Arial"/>
          <w:sz w:val="20"/>
          <w:szCs w:val="20"/>
        </w:rPr>
        <w:t>1.87</w:t>
      </w:r>
      <w:r w:rsidR="009E2089" w:rsidRPr="00134234">
        <w:rPr>
          <w:rFonts w:ascii="Arial" w:eastAsia="Times New Roman" w:hAnsi="Arial" w:cs="Arial"/>
          <w:color w:val="000000"/>
          <w:sz w:val="20"/>
          <w:szCs w:val="20"/>
          <w:lang w:eastAsia="uk-UA"/>
        </w:rPr>
        <w:t xml:space="preserve"> </w:t>
      </w:r>
      <w:r w:rsidR="00E83866" w:rsidRPr="00134234">
        <w:rPr>
          <w:rFonts w:ascii="Arial" w:eastAsia="Times New Roman" w:hAnsi="Arial" w:cs="Arial"/>
          <w:color w:val="000000"/>
          <w:sz w:val="20"/>
          <w:szCs w:val="20"/>
          <w:lang w:eastAsia="uk-UA"/>
        </w:rPr>
        <w:t>per kg</w:t>
      </w:r>
      <w:r w:rsidR="00834842" w:rsidRPr="00134234">
        <w:rPr>
          <w:rFonts w:ascii="Arial" w:eastAsia="Times New Roman" w:hAnsi="Arial" w:cs="Arial"/>
          <w:color w:val="000000"/>
          <w:sz w:val="20"/>
          <w:szCs w:val="20"/>
          <w:lang w:eastAsia="uk-UA"/>
        </w:rPr>
        <w:t xml:space="preserve"> (</w:t>
      </w:r>
      <w:r w:rsidR="00A12BD4" w:rsidRPr="00134234">
        <w:rPr>
          <w:rFonts w:ascii="Arial" w:eastAsia="Times New Roman" w:hAnsi="Arial" w:cs="Arial"/>
          <w:color w:val="000000"/>
          <w:sz w:val="20"/>
          <w:szCs w:val="20"/>
          <w:lang w:eastAsia="uk-UA"/>
        </w:rPr>
        <w:t>Q</w:t>
      </w:r>
      <w:r w:rsidR="00E152E5" w:rsidRPr="00134234">
        <w:rPr>
          <w:rFonts w:ascii="Arial" w:eastAsia="Times New Roman" w:hAnsi="Arial" w:cs="Arial"/>
          <w:color w:val="000000"/>
          <w:sz w:val="20"/>
          <w:szCs w:val="20"/>
          <w:lang w:eastAsia="uk-UA"/>
        </w:rPr>
        <w:t>4</w:t>
      </w:r>
      <w:r w:rsidR="00ED5EEF" w:rsidRPr="00134234">
        <w:rPr>
          <w:rFonts w:ascii="Arial" w:eastAsia="Times New Roman" w:hAnsi="Arial" w:cs="Arial"/>
          <w:color w:val="000000"/>
          <w:sz w:val="20"/>
          <w:szCs w:val="20"/>
          <w:lang w:eastAsia="uk-UA"/>
        </w:rPr>
        <w:t> </w:t>
      </w:r>
      <w:r w:rsidR="00E22622" w:rsidRPr="00134234">
        <w:rPr>
          <w:rFonts w:ascii="Arial" w:eastAsia="Times New Roman" w:hAnsi="Arial" w:cs="Arial"/>
          <w:color w:val="000000"/>
          <w:sz w:val="20"/>
          <w:szCs w:val="20"/>
          <w:lang w:eastAsia="uk-UA"/>
        </w:rPr>
        <w:t>2021</w:t>
      </w:r>
      <w:r w:rsidR="009E2089" w:rsidRPr="00134234">
        <w:rPr>
          <w:rFonts w:ascii="Arial" w:eastAsia="Times New Roman" w:hAnsi="Arial" w:cs="Arial"/>
          <w:color w:val="000000"/>
          <w:sz w:val="20"/>
          <w:szCs w:val="20"/>
          <w:lang w:eastAsia="uk-UA"/>
        </w:rPr>
        <w:t>:</w:t>
      </w:r>
      <w:r w:rsidR="00132D23" w:rsidRPr="00134234">
        <w:rPr>
          <w:rFonts w:ascii="Arial" w:eastAsia="Times New Roman" w:hAnsi="Arial" w:cs="Arial"/>
          <w:color w:val="000000"/>
          <w:sz w:val="20"/>
          <w:szCs w:val="20"/>
          <w:lang w:eastAsia="uk-UA"/>
        </w:rPr>
        <w:t xml:space="preserve"> </w:t>
      </w:r>
      <w:r w:rsidR="009E2089" w:rsidRPr="00134234">
        <w:rPr>
          <w:rFonts w:ascii="Arial" w:eastAsia="Times New Roman" w:hAnsi="Arial" w:cs="Arial"/>
          <w:color w:val="000000"/>
          <w:sz w:val="20"/>
          <w:szCs w:val="20"/>
          <w:lang w:eastAsia="uk-UA"/>
        </w:rPr>
        <w:t>US</w:t>
      </w:r>
      <w:r w:rsidRPr="00134234">
        <w:rPr>
          <w:rFonts w:ascii="Arial" w:eastAsia="Times New Roman" w:hAnsi="Arial" w:cs="Arial"/>
          <w:color w:val="000000"/>
          <w:sz w:val="20"/>
          <w:szCs w:val="20"/>
          <w:lang w:eastAsia="uk-UA"/>
        </w:rPr>
        <w:t>$</w:t>
      </w:r>
      <w:r w:rsidR="009E2089" w:rsidRPr="00134234">
        <w:rPr>
          <w:rFonts w:ascii="Arial" w:eastAsia="Times New Roman" w:hAnsi="Arial" w:cs="Arial"/>
          <w:color w:val="000000"/>
          <w:sz w:val="20"/>
          <w:szCs w:val="20"/>
          <w:lang w:eastAsia="uk-UA"/>
        </w:rPr>
        <w:t xml:space="preserve"> </w:t>
      </w:r>
      <w:r w:rsidR="00DB5AAE" w:rsidRPr="000D120B">
        <w:rPr>
          <w:rFonts w:ascii="Arial" w:hAnsi="Arial" w:cs="Arial"/>
          <w:sz w:val="20"/>
          <w:szCs w:val="20"/>
        </w:rPr>
        <w:t>1.77</w:t>
      </w:r>
      <w:r w:rsidR="009E2089" w:rsidRPr="00134234">
        <w:rPr>
          <w:rFonts w:ascii="Arial" w:eastAsia="Times New Roman" w:hAnsi="Arial" w:cs="Arial"/>
          <w:color w:val="000000"/>
          <w:sz w:val="20"/>
          <w:szCs w:val="20"/>
          <w:lang w:eastAsia="uk-UA"/>
        </w:rPr>
        <w:t xml:space="preserve"> </w:t>
      </w:r>
      <w:r w:rsidR="00834842" w:rsidRPr="00134234">
        <w:rPr>
          <w:rFonts w:ascii="Arial" w:eastAsia="Times New Roman" w:hAnsi="Arial" w:cs="Arial"/>
          <w:color w:val="000000"/>
          <w:sz w:val="20"/>
          <w:szCs w:val="20"/>
          <w:lang w:eastAsia="uk-UA"/>
        </w:rPr>
        <w:t>per kg)</w:t>
      </w:r>
      <w:r w:rsidR="00E83866" w:rsidRPr="00134234">
        <w:rPr>
          <w:rFonts w:ascii="Arial" w:eastAsia="Times New Roman" w:hAnsi="Arial" w:cs="Arial"/>
          <w:color w:val="000000"/>
          <w:sz w:val="20"/>
          <w:szCs w:val="20"/>
          <w:lang w:eastAsia="uk-UA"/>
        </w:rPr>
        <w:t xml:space="preserve"> excluding VAT</w:t>
      </w:r>
      <w:r w:rsidR="00CE5C15" w:rsidRPr="00134234">
        <w:rPr>
          <w:rFonts w:ascii="Arial" w:eastAsia="Times New Roman" w:hAnsi="Arial" w:cs="Arial"/>
          <w:color w:val="000000"/>
          <w:sz w:val="20"/>
          <w:szCs w:val="20"/>
          <w:lang w:eastAsia="uk-UA"/>
        </w:rPr>
        <w:t xml:space="preserve">. The average price of chicken meat produced by PP </w:t>
      </w:r>
      <w:r w:rsidR="001333A2" w:rsidRPr="00134234">
        <w:rPr>
          <w:rFonts w:ascii="Arial" w:eastAsia="Times New Roman" w:hAnsi="Arial" w:cs="Arial"/>
          <w:color w:val="000000"/>
          <w:sz w:val="20"/>
          <w:szCs w:val="20"/>
          <w:lang w:eastAsia="uk-UA"/>
        </w:rPr>
        <w:t xml:space="preserve">increased by </w:t>
      </w:r>
      <w:r w:rsidR="00DB5AAE" w:rsidRPr="000D120B">
        <w:rPr>
          <w:rFonts w:ascii="Arial" w:hAnsi="Arial" w:cs="Arial"/>
          <w:sz w:val="20"/>
          <w:szCs w:val="20"/>
        </w:rPr>
        <w:t>25%</w:t>
      </w:r>
      <w:r w:rsidR="001333A2" w:rsidRPr="00134234">
        <w:rPr>
          <w:rFonts w:ascii="Arial" w:eastAsia="Times New Roman" w:hAnsi="Arial" w:cs="Arial"/>
          <w:color w:val="000000"/>
          <w:sz w:val="20"/>
          <w:szCs w:val="20"/>
          <w:lang w:eastAsia="uk-UA"/>
        </w:rPr>
        <w:t xml:space="preserve"> to </w:t>
      </w:r>
      <w:r w:rsidR="00CE5C15" w:rsidRPr="00134234">
        <w:rPr>
          <w:rFonts w:ascii="Arial" w:eastAsia="Times New Roman" w:hAnsi="Arial" w:cs="Arial"/>
          <w:color w:val="000000"/>
          <w:sz w:val="20"/>
          <w:szCs w:val="20"/>
          <w:lang w:eastAsia="uk-UA"/>
        </w:rPr>
        <w:t>EU</w:t>
      </w:r>
      <w:r w:rsidR="00050C0A" w:rsidRPr="00134234">
        <w:rPr>
          <w:rFonts w:ascii="Arial" w:eastAsia="Times New Roman" w:hAnsi="Arial" w:cs="Arial"/>
          <w:color w:val="000000"/>
          <w:sz w:val="20"/>
          <w:szCs w:val="20"/>
          <w:lang w:eastAsia="uk-UA"/>
        </w:rPr>
        <w:t xml:space="preserve">R </w:t>
      </w:r>
      <w:r w:rsidR="00DB5AAE" w:rsidRPr="000D120B">
        <w:rPr>
          <w:rFonts w:ascii="Arial" w:hAnsi="Arial" w:cs="Arial"/>
          <w:sz w:val="20"/>
          <w:szCs w:val="20"/>
        </w:rPr>
        <w:t xml:space="preserve"> 3.38</w:t>
      </w:r>
      <w:r w:rsidR="00335B3D" w:rsidRPr="00134234">
        <w:rPr>
          <w:rFonts w:ascii="Arial" w:hAnsi="Arial" w:cs="Arial"/>
          <w:sz w:val="20"/>
          <w:szCs w:val="20"/>
        </w:rPr>
        <w:t xml:space="preserve"> </w:t>
      </w:r>
      <w:r w:rsidR="00CE5C15" w:rsidRPr="00134234">
        <w:rPr>
          <w:rFonts w:ascii="Arial" w:eastAsia="Times New Roman" w:hAnsi="Arial" w:cs="Arial"/>
          <w:color w:val="000000"/>
          <w:sz w:val="20"/>
          <w:szCs w:val="20"/>
          <w:lang w:eastAsia="uk-UA"/>
        </w:rPr>
        <w:t>per kg (</w:t>
      </w:r>
      <w:r w:rsidR="00A12BD4" w:rsidRPr="00134234">
        <w:rPr>
          <w:rFonts w:ascii="Arial" w:eastAsia="Times New Roman" w:hAnsi="Arial" w:cs="Arial"/>
          <w:color w:val="000000"/>
          <w:sz w:val="20"/>
          <w:szCs w:val="20"/>
          <w:lang w:eastAsia="uk-UA"/>
        </w:rPr>
        <w:t>Q</w:t>
      </w:r>
      <w:r w:rsidR="00E152E5" w:rsidRPr="00134234">
        <w:rPr>
          <w:rFonts w:ascii="Arial" w:eastAsia="Times New Roman" w:hAnsi="Arial" w:cs="Arial"/>
          <w:color w:val="000000"/>
          <w:sz w:val="20"/>
          <w:szCs w:val="20"/>
          <w:lang w:eastAsia="uk-UA"/>
        </w:rPr>
        <w:t>4</w:t>
      </w:r>
      <w:r w:rsidR="00050C0A" w:rsidRPr="00134234">
        <w:rPr>
          <w:rFonts w:ascii="Arial" w:eastAsia="Times New Roman" w:hAnsi="Arial" w:cs="Arial"/>
          <w:color w:val="000000"/>
          <w:sz w:val="20"/>
          <w:szCs w:val="20"/>
          <w:lang w:eastAsia="uk-UA"/>
        </w:rPr>
        <w:t> </w:t>
      </w:r>
      <w:r w:rsidR="00E22622" w:rsidRPr="00134234">
        <w:rPr>
          <w:rFonts w:ascii="Arial" w:eastAsia="Times New Roman" w:hAnsi="Arial" w:cs="Arial"/>
          <w:color w:val="000000"/>
          <w:sz w:val="20"/>
          <w:szCs w:val="20"/>
          <w:lang w:eastAsia="uk-UA"/>
        </w:rPr>
        <w:t>2021</w:t>
      </w:r>
      <w:r w:rsidR="00CE5C15" w:rsidRPr="00134234">
        <w:rPr>
          <w:rFonts w:ascii="Arial" w:eastAsia="Times New Roman" w:hAnsi="Arial" w:cs="Arial"/>
          <w:color w:val="000000"/>
          <w:sz w:val="20"/>
          <w:szCs w:val="20"/>
          <w:lang w:eastAsia="uk-UA"/>
        </w:rPr>
        <w:t>:</w:t>
      </w:r>
      <w:r w:rsidR="00E92E71" w:rsidRPr="00134234">
        <w:rPr>
          <w:rFonts w:ascii="Arial" w:eastAsia="Times New Roman" w:hAnsi="Arial" w:cs="Arial"/>
          <w:color w:val="000000"/>
          <w:sz w:val="20"/>
          <w:szCs w:val="20"/>
          <w:lang w:eastAsia="uk-UA"/>
        </w:rPr>
        <w:t xml:space="preserve"> </w:t>
      </w:r>
      <w:r w:rsidR="00CE5C15" w:rsidRPr="00134234">
        <w:rPr>
          <w:rFonts w:ascii="Arial" w:eastAsia="Times New Roman" w:hAnsi="Arial" w:cs="Arial"/>
          <w:color w:val="000000"/>
          <w:sz w:val="20"/>
          <w:szCs w:val="20"/>
          <w:lang w:eastAsia="uk-UA"/>
        </w:rPr>
        <w:t>EUR</w:t>
      </w:r>
      <w:r w:rsidR="00050C0A" w:rsidRPr="00134234">
        <w:rPr>
          <w:rFonts w:ascii="Arial" w:eastAsia="Times New Roman" w:hAnsi="Arial" w:cs="Arial"/>
          <w:color w:val="000000"/>
          <w:sz w:val="20"/>
          <w:szCs w:val="20"/>
          <w:lang w:eastAsia="uk-UA"/>
        </w:rPr>
        <w:t xml:space="preserve"> </w:t>
      </w:r>
      <w:r w:rsidR="00DB5AAE" w:rsidRPr="000D120B">
        <w:rPr>
          <w:rFonts w:ascii="Arial" w:hAnsi="Arial" w:cs="Arial"/>
          <w:sz w:val="20"/>
          <w:szCs w:val="20"/>
        </w:rPr>
        <w:t xml:space="preserve"> 2.70</w:t>
      </w:r>
      <w:r w:rsidR="00335B3D" w:rsidRPr="00134234">
        <w:rPr>
          <w:rFonts w:ascii="Arial" w:hAnsi="Arial" w:cs="Arial"/>
          <w:sz w:val="20"/>
          <w:szCs w:val="20"/>
        </w:rPr>
        <w:t xml:space="preserve"> </w:t>
      </w:r>
      <w:r w:rsidR="00CE5C15" w:rsidRPr="00134234">
        <w:rPr>
          <w:rFonts w:ascii="Arial" w:eastAsia="Times New Roman" w:hAnsi="Arial" w:cs="Arial"/>
          <w:color w:val="000000"/>
          <w:sz w:val="20"/>
          <w:szCs w:val="20"/>
          <w:lang w:eastAsia="uk-UA"/>
        </w:rPr>
        <w:t>per kg)</w:t>
      </w:r>
      <w:r w:rsidR="00A8765C" w:rsidRPr="00134234">
        <w:rPr>
          <w:rFonts w:ascii="Arial" w:eastAsia="Times New Roman" w:hAnsi="Arial" w:cs="Arial"/>
          <w:color w:val="000000"/>
          <w:sz w:val="20"/>
          <w:szCs w:val="20"/>
          <w:lang w:eastAsia="uk-UA"/>
        </w:rPr>
        <w:t>.</w:t>
      </w:r>
      <w:r w:rsidR="00A11B58">
        <w:rPr>
          <w:rFonts w:ascii="Arial" w:eastAsia="Times New Roman" w:hAnsi="Arial" w:cs="Arial"/>
          <w:color w:val="000000"/>
          <w:sz w:val="20"/>
          <w:szCs w:val="20"/>
          <w:lang w:eastAsia="uk-UA"/>
        </w:rPr>
        <w:t xml:space="preserve"> </w:t>
      </w:r>
    </w:p>
    <w:p w14:paraId="0FC07F02" w14:textId="4A73AC5C" w:rsidR="00BA0548" w:rsidRPr="002D535C" w:rsidRDefault="00882C28"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2D535C">
        <w:rPr>
          <w:rFonts w:ascii="Arial" w:eastAsia="Times New Roman" w:hAnsi="Arial" w:cs="Arial"/>
          <w:color w:val="000000"/>
          <w:sz w:val="20"/>
          <w:szCs w:val="20"/>
          <w:lang w:eastAsia="uk-UA"/>
        </w:rPr>
        <w:t>Chicken meat export</w:t>
      </w:r>
      <w:r w:rsidR="00A11B58">
        <w:rPr>
          <w:rFonts w:ascii="Arial" w:eastAsia="Times New Roman" w:hAnsi="Arial" w:cs="Arial"/>
          <w:color w:val="000000"/>
          <w:sz w:val="20"/>
          <w:szCs w:val="20"/>
          <w:lang w:eastAsia="uk-UA"/>
        </w:rPr>
        <w:t xml:space="preserve"> volumes</w:t>
      </w:r>
      <w:r w:rsidR="00212A15" w:rsidRPr="002D535C">
        <w:rPr>
          <w:rFonts w:ascii="Arial" w:eastAsia="Times New Roman" w:hAnsi="Arial" w:cs="Arial"/>
          <w:color w:val="000000"/>
          <w:sz w:val="20"/>
          <w:szCs w:val="20"/>
          <w:lang w:eastAsia="uk-UA"/>
        </w:rPr>
        <w:t xml:space="preserve"> from Ukraine</w:t>
      </w:r>
      <w:r w:rsidR="00A8765C" w:rsidRPr="002D535C">
        <w:rPr>
          <w:rFonts w:ascii="Arial" w:eastAsia="Times New Roman" w:hAnsi="Arial" w:cs="Arial"/>
          <w:color w:val="000000"/>
          <w:sz w:val="20"/>
          <w:szCs w:val="20"/>
          <w:lang w:eastAsia="uk-UA"/>
        </w:rPr>
        <w:t xml:space="preserve"> </w:t>
      </w:r>
      <w:r w:rsidR="002D535C" w:rsidRPr="002D535C">
        <w:rPr>
          <w:rFonts w:ascii="Arial" w:eastAsia="Times New Roman" w:hAnsi="Arial" w:cs="Arial"/>
          <w:color w:val="000000"/>
          <w:sz w:val="20"/>
          <w:szCs w:val="20"/>
          <w:lang w:eastAsia="uk-UA"/>
        </w:rPr>
        <w:t>increased</w:t>
      </w:r>
      <w:r w:rsidR="00621F5D" w:rsidRPr="002D535C">
        <w:rPr>
          <w:rFonts w:ascii="Arial" w:eastAsia="Times New Roman" w:hAnsi="Arial" w:cs="Arial"/>
          <w:color w:val="000000"/>
          <w:sz w:val="20"/>
          <w:szCs w:val="20"/>
          <w:lang w:eastAsia="uk-UA"/>
        </w:rPr>
        <w:t xml:space="preserve"> by </w:t>
      </w:r>
      <w:r w:rsidR="00DB5AAE" w:rsidRPr="000D120B">
        <w:rPr>
          <w:rFonts w:ascii="Arial" w:hAnsi="Arial" w:cs="Arial"/>
          <w:sz w:val="20"/>
          <w:szCs w:val="20"/>
        </w:rPr>
        <w:t>6%</w:t>
      </w:r>
      <w:r w:rsidR="00621F5D" w:rsidRPr="002D535C">
        <w:rPr>
          <w:rFonts w:ascii="Arial" w:eastAsia="Times New Roman" w:hAnsi="Arial" w:cs="Arial"/>
          <w:color w:val="000000"/>
          <w:sz w:val="20"/>
          <w:szCs w:val="20"/>
          <w:lang w:eastAsia="uk-UA"/>
        </w:rPr>
        <w:t xml:space="preserve"> </w:t>
      </w:r>
      <w:r w:rsidR="003F2C2D" w:rsidRPr="002D535C">
        <w:rPr>
          <w:rFonts w:ascii="Arial" w:eastAsia="Times New Roman" w:hAnsi="Arial" w:cs="Arial"/>
          <w:color w:val="000000"/>
          <w:sz w:val="20"/>
          <w:szCs w:val="20"/>
          <w:lang w:eastAsia="uk-UA"/>
        </w:rPr>
        <w:t>to</w:t>
      </w:r>
      <w:r w:rsidR="00050C0A" w:rsidRPr="002D535C">
        <w:rPr>
          <w:rFonts w:ascii="Arial" w:eastAsia="Times New Roman" w:hAnsi="Arial" w:cs="Arial"/>
          <w:color w:val="000000"/>
          <w:sz w:val="20"/>
          <w:szCs w:val="20"/>
          <w:lang w:eastAsia="uk-UA"/>
        </w:rPr>
        <w:t xml:space="preserve"> </w:t>
      </w:r>
      <w:r w:rsidR="00DB5AAE" w:rsidRPr="000D120B">
        <w:rPr>
          <w:rFonts w:ascii="Arial" w:hAnsi="Arial" w:cs="Arial"/>
          <w:sz w:val="20"/>
          <w:szCs w:val="20"/>
        </w:rPr>
        <w:t>111,130</w:t>
      </w:r>
      <w:r w:rsidR="00F45FD4" w:rsidRPr="002D535C">
        <w:rPr>
          <w:rFonts w:ascii="Arial" w:eastAsia="Times New Roman" w:hAnsi="Arial" w:cs="Arial"/>
          <w:color w:val="000000"/>
          <w:sz w:val="20"/>
          <w:szCs w:val="20"/>
          <w:lang w:eastAsia="uk-UA"/>
        </w:rPr>
        <w:t xml:space="preserve"> </w:t>
      </w:r>
      <w:proofErr w:type="spellStart"/>
      <w:r w:rsidRPr="002D535C">
        <w:rPr>
          <w:rFonts w:ascii="Arial" w:eastAsia="Times New Roman" w:hAnsi="Arial" w:cs="Arial"/>
          <w:color w:val="000000"/>
          <w:sz w:val="20"/>
          <w:szCs w:val="20"/>
          <w:lang w:eastAsia="uk-UA"/>
        </w:rPr>
        <w:t>tonnes</w:t>
      </w:r>
      <w:proofErr w:type="spellEnd"/>
      <w:r w:rsidR="006512A2" w:rsidRPr="002D535C">
        <w:rPr>
          <w:rFonts w:ascii="Arial" w:eastAsia="Times New Roman" w:hAnsi="Arial" w:cs="Arial"/>
          <w:color w:val="000000"/>
          <w:sz w:val="20"/>
          <w:szCs w:val="20"/>
          <w:lang w:eastAsia="uk-UA"/>
        </w:rPr>
        <w:t xml:space="preserve"> (</w:t>
      </w:r>
      <w:r w:rsidR="00A12BD4" w:rsidRPr="002D535C">
        <w:rPr>
          <w:rFonts w:ascii="Arial" w:eastAsia="Times New Roman" w:hAnsi="Arial" w:cs="Arial"/>
          <w:color w:val="000000"/>
          <w:sz w:val="20"/>
          <w:szCs w:val="20"/>
          <w:lang w:eastAsia="uk-UA"/>
        </w:rPr>
        <w:t>Q</w:t>
      </w:r>
      <w:r w:rsidR="00E152E5" w:rsidRPr="002D535C">
        <w:rPr>
          <w:rFonts w:ascii="Arial" w:eastAsia="Times New Roman" w:hAnsi="Arial" w:cs="Arial"/>
          <w:color w:val="000000"/>
          <w:sz w:val="20"/>
          <w:szCs w:val="20"/>
          <w:lang w:eastAsia="uk-UA"/>
        </w:rPr>
        <w:t>4</w:t>
      </w:r>
      <w:r w:rsidR="00A12BD4" w:rsidRPr="002D535C">
        <w:rPr>
          <w:rFonts w:ascii="Arial" w:eastAsia="Times New Roman" w:hAnsi="Arial" w:cs="Arial"/>
          <w:color w:val="000000"/>
          <w:sz w:val="20"/>
          <w:szCs w:val="20"/>
          <w:lang w:eastAsia="uk-UA"/>
        </w:rPr>
        <w:t xml:space="preserve"> </w:t>
      </w:r>
      <w:r w:rsidR="00E22622" w:rsidRPr="002D535C">
        <w:rPr>
          <w:rFonts w:ascii="Arial" w:eastAsia="Times New Roman" w:hAnsi="Arial" w:cs="Arial"/>
          <w:color w:val="000000"/>
          <w:sz w:val="20"/>
          <w:szCs w:val="20"/>
          <w:lang w:eastAsia="uk-UA"/>
        </w:rPr>
        <w:t>2021</w:t>
      </w:r>
      <w:r w:rsidR="000D7693">
        <w:rPr>
          <w:rFonts w:ascii="Arial" w:eastAsia="Times New Roman" w:hAnsi="Arial" w:cs="Arial"/>
          <w:color w:val="000000"/>
          <w:sz w:val="20"/>
          <w:szCs w:val="20"/>
          <w:lang w:val="uk-UA" w:eastAsia="uk-UA"/>
        </w:rPr>
        <w:t>:</w:t>
      </w:r>
      <w:r w:rsidR="000B2933">
        <w:rPr>
          <w:rFonts w:ascii="Arial" w:eastAsia="Times New Roman" w:hAnsi="Arial" w:cs="Arial"/>
          <w:color w:val="000000"/>
          <w:sz w:val="20"/>
          <w:szCs w:val="20"/>
          <w:lang w:val="uk-UA" w:eastAsia="uk-UA"/>
        </w:rPr>
        <w:t xml:space="preserve"> </w:t>
      </w:r>
      <w:r w:rsidR="00DB5AAE" w:rsidRPr="000D120B">
        <w:rPr>
          <w:rFonts w:ascii="Arial" w:hAnsi="Arial" w:cs="Arial"/>
          <w:sz w:val="20"/>
          <w:szCs w:val="20"/>
        </w:rPr>
        <w:t>104,841</w:t>
      </w:r>
      <w:r w:rsidR="002D535C" w:rsidRPr="002D535C">
        <w:rPr>
          <w:rFonts w:ascii="Arial" w:eastAsia="Times New Roman" w:hAnsi="Arial" w:cs="Arial"/>
          <w:color w:val="000000"/>
          <w:sz w:val="20"/>
          <w:szCs w:val="20"/>
          <w:lang w:eastAsia="uk-UA"/>
        </w:rPr>
        <w:t xml:space="preserve"> </w:t>
      </w:r>
      <w:proofErr w:type="spellStart"/>
      <w:r w:rsidRPr="002D535C">
        <w:rPr>
          <w:rFonts w:ascii="Arial" w:eastAsia="Times New Roman" w:hAnsi="Arial" w:cs="Arial"/>
          <w:color w:val="000000"/>
          <w:sz w:val="20"/>
          <w:szCs w:val="20"/>
          <w:lang w:eastAsia="uk-UA"/>
        </w:rPr>
        <w:t>tonnes</w:t>
      </w:r>
      <w:proofErr w:type="spellEnd"/>
      <w:r w:rsidR="006512A2" w:rsidRPr="002D535C">
        <w:rPr>
          <w:rFonts w:ascii="Arial" w:eastAsia="Times New Roman" w:hAnsi="Arial" w:cs="Arial"/>
          <w:color w:val="000000"/>
          <w:sz w:val="20"/>
          <w:szCs w:val="20"/>
          <w:lang w:eastAsia="uk-UA"/>
        </w:rPr>
        <w:t>)</w:t>
      </w:r>
      <w:r w:rsidR="00A8765C" w:rsidRPr="002D535C">
        <w:rPr>
          <w:rFonts w:ascii="Arial" w:eastAsia="Times New Roman" w:hAnsi="Arial" w:cs="Arial"/>
          <w:color w:val="000000"/>
          <w:sz w:val="20"/>
          <w:szCs w:val="20"/>
          <w:lang w:eastAsia="uk-UA"/>
        </w:rPr>
        <w:t>.</w:t>
      </w:r>
    </w:p>
    <w:p w14:paraId="3728073C" w14:textId="4F61E10B" w:rsidR="005D5AED" w:rsidRDefault="00E152E5" w:rsidP="005D5AED">
      <w:pPr>
        <w:spacing w:before="120" w:after="120" w:line="240" w:lineRule="auto"/>
        <w:jc w:val="both"/>
        <w:rPr>
          <w:rFonts w:ascii="Arial" w:eastAsia="Times New Roman" w:hAnsi="Arial" w:cs="Arial"/>
          <w:b/>
          <w:i/>
          <w:color w:val="000000"/>
          <w:sz w:val="20"/>
          <w:szCs w:val="20"/>
          <w:lang w:eastAsia="uk-UA"/>
        </w:rPr>
      </w:pPr>
      <w:r>
        <w:rPr>
          <w:rFonts w:ascii="Arial" w:eastAsia="Times New Roman" w:hAnsi="Arial" w:cs="Arial"/>
          <w:b/>
          <w:i/>
          <w:color w:val="000000"/>
          <w:sz w:val="20"/>
          <w:szCs w:val="20"/>
          <w:lang w:eastAsia="uk-UA"/>
        </w:rPr>
        <w:t>12</w:t>
      </w:r>
      <w:r w:rsidR="00670D1E">
        <w:rPr>
          <w:rFonts w:ascii="Arial" w:eastAsia="Times New Roman" w:hAnsi="Arial" w:cs="Arial"/>
          <w:b/>
          <w:i/>
          <w:color w:val="000000"/>
          <w:sz w:val="20"/>
          <w:szCs w:val="20"/>
          <w:lang w:eastAsia="uk-UA"/>
        </w:rPr>
        <w:t>M</w:t>
      </w:r>
      <w:r w:rsidR="005D5AED" w:rsidRPr="005D5AED">
        <w:rPr>
          <w:rFonts w:ascii="Arial" w:eastAsia="Times New Roman" w:hAnsi="Arial" w:cs="Arial"/>
          <w:b/>
          <w:i/>
          <w:color w:val="000000"/>
          <w:sz w:val="20"/>
          <w:szCs w:val="20"/>
          <w:lang w:eastAsia="uk-UA"/>
        </w:rPr>
        <w:t xml:space="preserve"> 202</w:t>
      </w:r>
      <w:r w:rsidR="005D5AED">
        <w:rPr>
          <w:rFonts w:ascii="Arial" w:eastAsia="Times New Roman" w:hAnsi="Arial" w:cs="Arial"/>
          <w:b/>
          <w:i/>
          <w:color w:val="000000"/>
          <w:sz w:val="20"/>
          <w:szCs w:val="20"/>
          <w:lang w:eastAsia="uk-UA"/>
        </w:rPr>
        <w:t>2</w:t>
      </w:r>
    </w:p>
    <w:p w14:paraId="2F60EAD7" w14:textId="0E7E81AA" w:rsidR="005D5AED" w:rsidRPr="00EF6048" w:rsidRDefault="005D5AED"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EF6048">
        <w:rPr>
          <w:rFonts w:ascii="Arial" w:eastAsia="Times New Roman" w:hAnsi="Arial" w:cs="Arial"/>
          <w:color w:val="000000"/>
          <w:sz w:val="20"/>
          <w:szCs w:val="20"/>
          <w:lang w:eastAsia="uk-UA"/>
        </w:rPr>
        <w:t xml:space="preserve">Poultry production volume </w:t>
      </w:r>
      <w:r w:rsidR="003F2C2D" w:rsidRPr="00EF6048">
        <w:rPr>
          <w:rFonts w:ascii="Arial" w:eastAsia="Times New Roman" w:hAnsi="Arial" w:cs="Arial"/>
          <w:color w:val="000000"/>
          <w:sz w:val="20"/>
          <w:szCs w:val="20"/>
          <w:lang w:eastAsia="uk-UA"/>
        </w:rPr>
        <w:t>in Ukraine</w:t>
      </w:r>
      <w:r w:rsidRPr="00EF6048">
        <w:rPr>
          <w:rFonts w:ascii="Arial" w:eastAsia="Times New Roman" w:hAnsi="Arial" w:cs="Arial"/>
          <w:color w:val="000000"/>
          <w:sz w:val="20"/>
          <w:szCs w:val="20"/>
          <w:lang w:eastAsia="uk-UA"/>
        </w:rPr>
        <w:t xml:space="preserve"> decreased</w:t>
      </w:r>
      <w:r w:rsidR="00CD0C20" w:rsidRPr="00EF6048">
        <w:rPr>
          <w:rFonts w:ascii="Arial" w:eastAsia="Times New Roman" w:hAnsi="Arial" w:cs="Arial"/>
          <w:color w:val="000000"/>
          <w:sz w:val="20"/>
          <w:szCs w:val="20"/>
          <w:lang w:eastAsia="uk-UA"/>
        </w:rPr>
        <w:t xml:space="preserve"> by </w:t>
      </w:r>
      <w:r w:rsidR="00DB5AAE" w:rsidRPr="000D120B">
        <w:rPr>
          <w:rFonts w:ascii="Arial" w:hAnsi="Arial" w:cs="Arial"/>
          <w:sz w:val="20"/>
          <w:szCs w:val="20"/>
        </w:rPr>
        <w:t>8%</w:t>
      </w:r>
      <w:r w:rsidR="002D543F" w:rsidRPr="00EF6048">
        <w:rPr>
          <w:rFonts w:ascii="Arial" w:hAnsi="Arial" w:cs="Arial"/>
          <w:sz w:val="20"/>
          <w:szCs w:val="20"/>
        </w:rPr>
        <w:t xml:space="preserve"> y/y</w:t>
      </w:r>
      <w:r w:rsidRPr="00EF6048">
        <w:rPr>
          <w:rFonts w:ascii="Arial" w:eastAsia="Times New Roman" w:hAnsi="Arial" w:cs="Arial"/>
          <w:color w:val="000000"/>
          <w:sz w:val="20"/>
          <w:szCs w:val="20"/>
          <w:lang w:eastAsia="uk-UA"/>
        </w:rPr>
        <w:t xml:space="preserve"> to </w:t>
      </w:r>
      <w:r w:rsidR="00DB5AAE" w:rsidRPr="000D120B">
        <w:rPr>
          <w:rFonts w:ascii="Arial" w:hAnsi="Arial" w:cs="Arial"/>
          <w:sz w:val="20"/>
          <w:szCs w:val="20"/>
        </w:rPr>
        <w:t>697,071</w:t>
      </w:r>
      <w:r w:rsidR="008B5BDC" w:rsidRPr="00EF6048">
        <w:rPr>
          <w:rFonts w:ascii="Arial" w:hAnsi="Arial" w:cs="Arial"/>
          <w:sz w:val="20"/>
          <w:szCs w:val="20"/>
        </w:rPr>
        <w:t xml:space="preserve"> </w:t>
      </w:r>
      <w:proofErr w:type="spellStart"/>
      <w:r w:rsidRPr="00EF6048">
        <w:rPr>
          <w:rFonts w:ascii="Arial" w:eastAsia="Times New Roman" w:hAnsi="Arial" w:cs="Arial"/>
          <w:color w:val="000000"/>
          <w:sz w:val="20"/>
          <w:szCs w:val="20"/>
          <w:lang w:eastAsia="uk-UA"/>
        </w:rPr>
        <w:t>tonnes</w:t>
      </w:r>
      <w:proofErr w:type="spellEnd"/>
      <w:r w:rsidRPr="00EF6048">
        <w:rPr>
          <w:rFonts w:ascii="Arial" w:eastAsia="Times New Roman" w:hAnsi="Arial" w:cs="Arial"/>
          <w:color w:val="000000"/>
          <w:sz w:val="20"/>
          <w:szCs w:val="20"/>
          <w:lang w:eastAsia="uk-UA"/>
        </w:rPr>
        <w:t xml:space="preserve"> (</w:t>
      </w:r>
      <w:r w:rsidR="00E152E5" w:rsidRPr="00EF6048">
        <w:rPr>
          <w:rFonts w:ascii="Arial" w:eastAsia="Times New Roman" w:hAnsi="Arial" w:cs="Arial"/>
          <w:color w:val="000000"/>
          <w:sz w:val="20"/>
          <w:szCs w:val="20"/>
          <w:lang w:eastAsia="uk-UA"/>
        </w:rPr>
        <w:t>12</w:t>
      </w:r>
      <w:r w:rsidR="00212B45" w:rsidRPr="00EF6048">
        <w:rPr>
          <w:rFonts w:ascii="Arial" w:eastAsia="Times New Roman" w:hAnsi="Arial" w:cs="Arial"/>
          <w:color w:val="000000"/>
          <w:sz w:val="20"/>
          <w:szCs w:val="20"/>
          <w:lang w:eastAsia="uk-UA"/>
        </w:rPr>
        <w:t>M</w:t>
      </w:r>
      <w:r w:rsidRPr="00EF6048">
        <w:rPr>
          <w:rFonts w:ascii="Arial" w:eastAsia="Times New Roman" w:hAnsi="Arial" w:cs="Arial"/>
          <w:color w:val="000000"/>
          <w:sz w:val="20"/>
          <w:szCs w:val="20"/>
          <w:lang w:eastAsia="uk-UA"/>
        </w:rPr>
        <w:t xml:space="preserve"> 202</w:t>
      </w:r>
      <w:r w:rsidR="00D4427A" w:rsidRPr="00EF6048">
        <w:rPr>
          <w:rFonts w:ascii="Arial" w:eastAsia="Times New Roman" w:hAnsi="Arial" w:cs="Arial"/>
          <w:color w:val="000000"/>
          <w:sz w:val="20"/>
          <w:szCs w:val="20"/>
          <w:lang w:eastAsia="uk-UA"/>
        </w:rPr>
        <w:t>1</w:t>
      </w:r>
      <w:r w:rsidRPr="00EF6048">
        <w:rPr>
          <w:rFonts w:ascii="Arial" w:eastAsia="Times New Roman" w:hAnsi="Arial" w:cs="Arial"/>
          <w:color w:val="000000"/>
          <w:sz w:val="20"/>
          <w:szCs w:val="20"/>
          <w:lang w:eastAsia="uk-UA"/>
        </w:rPr>
        <w:t xml:space="preserve">: </w:t>
      </w:r>
      <w:r w:rsidR="00DB5AAE" w:rsidRPr="000D120B">
        <w:rPr>
          <w:rFonts w:ascii="Arial" w:hAnsi="Arial" w:cs="Arial"/>
          <w:sz w:val="20"/>
          <w:szCs w:val="20"/>
        </w:rPr>
        <w:t>754,387</w:t>
      </w:r>
      <w:r w:rsidR="008B5BDC" w:rsidRPr="00EF6048">
        <w:rPr>
          <w:rFonts w:ascii="Arial" w:hAnsi="Arial" w:cs="Arial"/>
          <w:sz w:val="20"/>
          <w:szCs w:val="20"/>
        </w:rPr>
        <w:t xml:space="preserve"> </w:t>
      </w:r>
      <w:proofErr w:type="spellStart"/>
      <w:r w:rsidRPr="00EF6048">
        <w:rPr>
          <w:rFonts w:ascii="Arial" w:eastAsia="Times New Roman" w:hAnsi="Arial" w:cs="Arial"/>
          <w:color w:val="000000"/>
          <w:sz w:val="20"/>
          <w:szCs w:val="20"/>
          <w:lang w:eastAsia="uk-UA"/>
        </w:rPr>
        <w:t>tonnes</w:t>
      </w:r>
      <w:proofErr w:type="spellEnd"/>
      <w:r w:rsidRPr="00EF6048">
        <w:rPr>
          <w:rFonts w:ascii="Arial" w:eastAsia="Times New Roman" w:hAnsi="Arial" w:cs="Arial"/>
          <w:color w:val="000000"/>
          <w:sz w:val="20"/>
          <w:szCs w:val="20"/>
          <w:lang w:eastAsia="uk-UA"/>
        </w:rPr>
        <w:t xml:space="preserve">). Poultry production volumes </w:t>
      </w:r>
      <w:r w:rsidR="002D543F" w:rsidRPr="00EF6048">
        <w:rPr>
          <w:rFonts w:ascii="Arial" w:eastAsia="Times New Roman" w:hAnsi="Arial" w:cs="Arial"/>
          <w:color w:val="000000"/>
          <w:sz w:val="20"/>
          <w:szCs w:val="20"/>
          <w:lang w:eastAsia="uk-UA"/>
        </w:rPr>
        <w:t>for</w:t>
      </w:r>
      <w:r w:rsidRPr="00EF6048">
        <w:rPr>
          <w:rFonts w:ascii="Arial" w:eastAsia="Times New Roman" w:hAnsi="Arial" w:cs="Arial"/>
          <w:color w:val="000000"/>
          <w:sz w:val="20"/>
          <w:szCs w:val="20"/>
          <w:lang w:eastAsia="uk-UA"/>
        </w:rPr>
        <w:t xml:space="preserve"> PP</w:t>
      </w:r>
      <w:r w:rsidR="00CD0C20" w:rsidRPr="00EF6048">
        <w:rPr>
          <w:rFonts w:ascii="Arial" w:eastAsia="Times New Roman" w:hAnsi="Arial" w:cs="Arial"/>
          <w:color w:val="000000"/>
          <w:sz w:val="20"/>
          <w:szCs w:val="20"/>
          <w:lang w:eastAsia="uk-UA"/>
        </w:rPr>
        <w:t xml:space="preserve"> increased by </w:t>
      </w:r>
      <w:r w:rsidR="00DB5AAE" w:rsidRPr="000D120B">
        <w:rPr>
          <w:rFonts w:ascii="Arial" w:hAnsi="Arial" w:cs="Arial"/>
          <w:sz w:val="20"/>
          <w:szCs w:val="20"/>
        </w:rPr>
        <w:t>11%</w:t>
      </w:r>
      <w:r w:rsidRPr="00EF6048">
        <w:rPr>
          <w:rFonts w:ascii="Arial" w:eastAsia="Times New Roman" w:hAnsi="Arial" w:cs="Arial"/>
          <w:color w:val="000000"/>
          <w:sz w:val="20"/>
          <w:szCs w:val="20"/>
          <w:lang w:eastAsia="uk-UA"/>
        </w:rPr>
        <w:t xml:space="preserve"> to</w:t>
      </w:r>
      <w:r w:rsidR="008B5BDC" w:rsidRPr="00EF6048">
        <w:rPr>
          <w:rFonts w:ascii="Arial" w:hAnsi="Arial" w:cs="Arial"/>
          <w:sz w:val="20"/>
          <w:szCs w:val="20"/>
        </w:rPr>
        <w:t xml:space="preserve"> </w:t>
      </w:r>
      <w:r w:rsidR="00DB5AAE" w:rsidRPr="000D120B">
        <w:rPr>
          <w:rFonts w:ascii="Arial" w:hAnsi="Arial" w:cs="Arial"/>
          <w:sz w:val="20"/>
          <w:szCs w:val="20"/>
        </w:rPr>
        <w:t>124,040</w:t>
      </w:r>
      <w:r w:rsidR="008B5BDC" w:rsidRPr="00EF6048">
        <w:rPr>
          <w:rFonts w:ascii="Arial" w:hAnsi="Arial" w:cs="Arial"/>
          <w:sz w:val="20"/>
          <w:szCs w:val="20"/>
        </w:rPr>
        <w:t xml:space="preserve"> </w:t>
      </w:r>
      <w:proofErr w:type="spellStart"/>
      <w:r w:rsidRPr="00EF6048">
        <w:rPr>
          <w:rFonts w:ascii="Arial" w:eastAsia="Times New Roman" w:hAnsi="Arial" w:cs="Arial"/>
          <w:color w:val="000000"/>
          <w:sz w:val="20"/>
          <w:szCs w:val="20"/>
          <w:lang w:eastAsia="uk-UA"/>
        </w:rPr>
        <w:t>tonnes</w:t>
      </w:r>
      <w:proofErr w:type="spellEnd"/>
      <w:r w:rsidRPr="00EF6048">
        <w:rPr>
          <w:rFonts w:ascii="Arial" w:eastAsia="Times New Roman" w:hAnsi="Arial" w:cs="Arial"/>
          <w:color w:val="000000"/>
          <w:sz w:val="20"/>
          <w:szCs w:val="20"/>
          <w:lang w:eastAsia="uk-UA"/>
        </w:rPr>
        <w:t xml:space="preserve"> (</w:t>
      </w:r>
      <w:r w:rsidR="00E152E5" w:rsidRPr="00EF6048">
        <w:rPr>
          <w:rFonts w:ascii="Arial" w:eastAsia="Times New Roman" w:hAnsi="Arial" w:cs="Arial"/>
          <w:color w:val="000000"/>
          <w:sz w:val="20"/>
          <w:szCs w:val="20"/>
          <w:lang w:eastAsia="uk-UA"/>
        </w:rPr>
        <w:t>12</w:t>
      </w:r>
      <w:r w:rsidR="00212B45" w:rsidRPr="00EF6048">
        <w:rPr>
          <w:rFonts w:ascii="Arial" w:eastAsia="Times New Roman" w:hAnsi="Arial" w:cs="Arial"/>
          <w:color w:val="000000"/>
          <w:sz w:val="20"/>
          <w:szCs w:val="20"/>
          <w:lang w:eastAsia="uk-UA"/>
        </w:rPr>
        <w:t>M</w:t>
      </w:r>
      <w:r w:rsidRPr="00EF6048">
        <w:rPr>
          <w:rFonts w:ascii="Arial" w:eastAsia="Times New Roman" w:hAnsi="Arial" w:cs="Arial"/>
          <w:color w:val="000000"/>
          <w:sz w:val="20"/>
          <w:szCs w:val="20"/>
          <w:lang w:eastAsia="uk-UA"/>
        </w:rPr>
        <w:t xml:space="preserve"> 202</w:t>
      </w:r>
      <w:r w:rsidR="005E6A12" w:rsidRPr="00EF6048">
        <w:rPr>
          <w:rFonts w:ascii="Arial" w:eastAsia="Times New Roman" w:hAnsi="Arial" w:cs="Arial"/>
          <w:color w:val="000000"/>
          <w:sz w:val="20"/>
          <w:szCs w:val="20"/>
          <w:lang w:eastAsia="uk-UA"/>
        </w:rPr>
        <w:t>1</w:t>
      </w:r>
      <w:r w:rsidRPr="00EF6048">
        <w:rPr>
          <w:rFonts w:ascii="Arial" w:eastAsia="Times New Roman" w:hAnsi="Arial" w:cs="Arial"/>
          <w:color w:val="000000"/>
          <w:sz w:val="20"/>
          <w:szCs w:val="20"/>
          <w:lang w:eastAsia="uk-UA"/>
        </w:rPr>
        <w:t>:</w:t>
      </w:r>
      <w:r w:rsidR="00E743FD" w:rsidRPr="00EF6048">
        <w:rPr>
          <w:rFonts w:ascii="Arial" w:eastAsia="Times New Roman" w:hAnsi="Arial" w:cs="Arial"/>
          <w:b/>
          <w:bCs/>
          <w:color w:val="000000"/>
          <w:sz w:val="20"/>
          <w:szCs w:val="20"/>
          <w:lang w:eastAsia="uk-UA"/>
        </w:rPr>
        <w:t xml:space="preserve"> </w:t>
      </w:r>
      <w:r w:rsidR="00DB5AAE" w:rsidRPr="000D120B">
        <w:rPr>
          <w:rFonts w:ascii="Arial" w:hAnsi="Arial" w:cs="Arial"/>
          <w:sz w:val="20"/>
          <w:szCs w:val="20"/>
        </w:rPr>
        <w:t>111,973</w:t>
      </w:r>
      <w:r w:rsidR="00E743FD" w:rsidRPr="00EF6048">
        <w:rPr>
          <w:rFonts w:ascii="Arial" w:eastAsia="Times New Roman" w:hAnsi="Arial" w:cs="Arial"/>
          <w:color w:val="000000"/>
          <w:sz w:val="20"/>
          <w:szCs w:val="20"/>
          <w:lang w:eastAsia="uk-UA"/>
        </w:rPr>
        <w:t xml:space="preserve"> </w:t>
      </w:r>
      <w:proofErr w:type="spellStart"/>
      <w:r w:rsidRPr="00EF6048">
        <w:rPr>
          <w:rFonts w:ascii="Arial" w:eastAsia="Times New Roman" w:hAnsi="Arial" w:cs="Arial"/>
          <w:color w:val="000000"/>
          <w:sz w:val="20"/>
          <w:szCs w:val="20"/>
          <w:lang w:eastAsia="uk-UA"/>
        </w:rPr>
        <w:t>tonnes</w:t>
      </w:r>
      <w:proofErr w:type="spellEnd"/>
      <w:r w:rsidRPr="00EF6048">
        <w:rPr>
          <w:rFonts w:ascii="Arial" w:eastAsia="Times New Roman" w:hAnsi="Arial" w:cs="Arial"/>
          <w:color w:val="000000"/>
          <w:sz w:val="20"/>
          <w:szCs w:val="20"/>
          <w:lang w:eastAsia="uk-UA"/>
        </w:rPr>
        <w:t>).</w:t>
      </w:r>
    </w:p>
    <w:p w14:paraId="341E14FF" w14:textId="16F9D317" w:rsidR="005D5AED" w:rsidRPr="00EF6048" w:rsidRDefault="003F2C2D"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EF6048">
        <w:rPr>
          <w:rFonts w:ascii="Arial" w:eastAsia="Times New Roman" w:hAnsi="Arial" w:cs="Arial"/>
          <w:color w:val="000000"/>
          <w:sz w:val="20"/>
          <w:szCs w:val="20"/>
          <w:lang w:eastAsia="uk-UA"/>
        </w:rPr>
        <w:t xml:space="preserve">MHP </w:t>
      </w:r>
      <w:r w:rsidR="005D5AED" w:rsidRPr="00EF6048">
        <w:rPr>
          <w:rFonts w:ascii="Arial" w:eastAsia="Times New Roman" w:hAnsi="Arial" w:cs="Arial"/>
          <w:color w:val="000000"/>
          <w:sz w:val="20"/>
          <w:szCs w:val="20"/>
          <w:lang w:eastAsia="uk-UA"/>
        </w:rPr>
        <w:t xml:space="preserve">average chicken meat price increased by </w:t>
      </w:r>
      <w:r w:rsidR="00DB5AAE" w:rsidRPr="000D120B">
        <w:rPr>
          <w:rFonts w:ascii="Arial" w:hAnsi="Arial" w:cs="Arial"/>
          <w:sz w:val="20"/>
          <w:szCs w:val="20"/>
        </w:rPr>
        <w:t>17%</w:t>
      </w:r>
      <w:r w:rsidR="005D5AED" w:rsidRPr="00EF6048">
        <w:rPr>
          <w:rFonts w:ascii="Arial" w:eastAsia="Times New Roman" w:hAnsi="Arial" w:cs="Arial"/>
          <w:color w:val="000000"/>
          <w:sz w:val="20"/>
          <w:szCs w:val="20"/>
          <w:lang w:eastAsia="uk-UA"/>
        </w:rPr>
        <w:t xml:space="preserve"> </w:t>
      </w:r>
      <w:r w:rsidRPr="00EF6048">
        <w:rPr>
          <w:rFonts w:ascii="Arial" w:eastAsia="Times New Roman" w:hAnsi="Arial" w:cs="Arial"/>
          <w:color w:val="000000"/>
          <w:sz w:val="20"/>
          <w:szCs w:val="20"/>
          <w:lang w:eastAsia="uk-UA"/>
        </w:rPr>
        <w:t>y/y</w:t>
      </w:r>
      <w:r w:rsidR="005D5AED" w:rsidRPr="00EF6048">
        <w:rPr>
          <w:rFonts w:ascii="Arial" w:eastAsia="Times New Roman" w:hAnsi="Arial" w:cs="Arial"/>
          <w:color w:val="000000"/>
          <w:sz w:val="20"/>
          <w:szCs w:val="20"/>
          <w:lang w:eastAsia="uk-UA"/>
        </w:rPr>
        <w:t xml:space="preserve"> to US$ </w:t>
      </w:r>
      <w:r w:rsidR="00DB5AAE" w:rsidRPr="000D120B">
        <w:rPr>
          <w:rFonts w:ascii="Arial" w:hAnsi="Arial" w:cs="Arial"/>
          <w:sz w:val="20"/>
          <w:szCs w:val="20"/>
        </w:rPr>
        <w:t>1.95</w:t>
      </w:r>
      <w:r w:rsidR="005D5AED" w:rsidRPr="00EF6048">
        <w:rPr>
          <w:rFonts w:ascii="Arial" w:eastAsia="Times New Roman" w:hAnsi="Arial" w:cs="Arial"/>
          <w:color w:val="000000"/>
          <w:sz w:val="20"/>
          <w:szCs w:val="20"/>
          <w:lang w:eastAsia="uk-UA"/>
        </w:rPr>
        <w:t xml:space="preserve"> per kg (</w:t>
      </w:r>
      <w:r w:rsidR="00E152E5" w:rsidRPr="00EF6048">
        <w:rPr>
          <w:rFonts w:ascii="Arial" w:eastAsia="Times New Roman" w:hAnsi="Arial" w:cs="Arial"/>
          <w:color w:val="000000"/>
          <w:sz w:val="20"/>
          <w:szCs w:val="20"/>
          <w:lang w:eastAsia="uk-UA"/>
        </w:rPr>
        <w:t>12</w:t>
      </w:r>
      <w:r w:rsidR="00212B45" w:rsidRPr="00EF6048">
        <w:rPr>
          <w:rFonts w:ascii="Arial" w:eastAsia="Times New Roman" w:hAnsi="Arial" w:cs="Arial"/>
          <w:color w:val="000000"/>
          <w:sz w:val="20"/>
          <w:szCs w:val="20"/>
          <w:lang w:eastAsia="uk-UA"/>
        </w:rPr>
        <w:t>M</w:t>
      </w:r>
      <w:r w:rsidR="005D5AED" w:rsidRPr="00EF6048">
        <w:rPr>
          <w:rFonts w:ascii="Arial" w:eastAsia="Times New Roman" w:hAnsi="Arial" w:cs="Arial"/>
          <w:color w:val="000000"/>
          <w:sz w:val="20"/>
          <w:szCs w:val="20"/>
          <w:lang w:eastAsia="uk-UA"/>
        </w:rPr>
        <w:t xml:space="preserve"> 202</w:t>
      </w:r>
      <w:r w:rsidR="00A60CE6" w:rsidRPr="00EF6048">
        <w:rPr>
          <w:rFonts w:ascii="Arial" w:eastAsia="Times New Roman" w:hAnsi="Arial" w:cs="Arial"/>
          <w:color w:val="000000"/>
          <w:sz w:val="20"/>
          <w:szCs w:val="20"/>
          <w:lang w:eastAsia="uk-UA"/>
        </w:rPr>
        <w:t>1</w:t>
      </w:r>
      <w:r w:rsidR="005D5AED" w:rsidRPr="00EF6048">
        <w:rPr>
          <w:rFonts w:ascii="Arial" w:eastAsia="Times New Roman" w:hAnsi="Arial" w:cs="Arial"/>
          <w:color w:val="000000"/>
          <w:sz w:val="20"/>
          <w:szCs w:val="20"/>
          <w:lang w:eastAsia="uk-UA"/>
        </w:rPr>
        <w:t xml:space="preserve">: US$ </w:t>
      </w:r>
      <w:r w:rsidR="00DB5AAE" w:rsidRPr="000D120B">
        <w:rPr>
          <w:rFonts w:ascii="Arial" w:hAnsi="Arial" w:cs="Arial"/>
          <w:sz w:val="20"/>
          <w:szCs w:val="20"/>
        </w:rPr>
        <w:t>1.67</w:t>
      </w:r>
      <w:r w:rsidR="005D5AED" w:rsidRPr="00EF6048">
        <w:rPr>
          <w:rFonts w:ascii="Arial" w:eastAsia="Times New Roman" w:hAnsi="Arial" w:cs="Arial"/>
          <w:color w:val="000000"/>
          <w:sz w:val="20"/>
          <w:szCs w:val="20"/>
          <w:lang w:eastAsia="uk-UA"/>
        </w:rPr>
        <w:t xml:space="preserve"> per kg) excluding VAT. The average price of poultry meat produced by PP</w:t>
      </w:r>
      <w:r w:rsidR="00177E7D" w:rsidRPr="00EF6048">
        <w:rPr>
          <w:rFonts w:ascii="Arial" w:eastAsia="Times New Roman" w:hAnsi="Arial" w:cs="Arial"/>
          <w:color w:val="000000"/>
          <w:sz w:val="20"/>
          <w:szCs w:val="20"/>
          <w:lang w:eastAsia="uk-UA"/>
        </w:rPr>
        <w:t xml:space="preserve"> also increased by </w:t>
      </w:r>
      <w:r w:rsidR="00DB5AAE" w:rsidRPr="000D120B">
        <w:rPr>
          <w:rFonts w:ascii="Arial" w:hAnsi="Arial" w:cs="Arial"/>
          <w:sz w:val="20"/>
          <w:szCs w:val="20"/>
        </w:rPr>
        <w:t>25%</w:t>
      </w:r>
      <w:r w:rsidR="005D5AED" w:rsidRPr="00EF6048">
        <w:rPr>
          <w:rFonts w:ascii="Arial" w:eastAsia="Times New Roman" w:hAnsi="Arial" w:cs="Arial"/>
          <w:color w:val="000000"/>
          <w:sz w:val="20"/>
          <w:szCs w:val="20"/>
          <w:lang w:eastAsia="uk-UA"/>
        </w:rPr>
        <w:t xml:space="preserve"> </w:t>
      </w:r>
      <w:r w:rsidR="00177E7D" w:rsidRPr="00EF6048">
        <w:rPr>
          <w:rFonts w:ascii="Arial" w:eastAsia="Times New Roman" w:hAnsi="Arial" w:cs="Arial"/>
          <w:color w:val="000000"/>
          <w:sz w:val="20"/>
          <w:szCs w:val="20"/>
          <w:lang w:eastAsia="uk-UA"/>
        </w:rPr>
        <w:t xml:space="preserve">to </w:t>
      </w:r>
      <w:r w:rsidR="005D5AED" w:rsidRPr="00EF6048">
        <w:rPr>
          <w:rFonts w:ascii="Arial" w:eastAsia="Times New Roman" w:hAnsi="Arial" w:cs="Arial"/>
          <w:color w:val="000000"/>
          <w:sz w:val="20"/>
          <w:szCs w:val="20"/>
          <w:lang w:eastAsia="uk-UA"/>
        </w:rPr>
        <w:t xml:space="preserve">EUR </w:t>
      </w:r>
      <w:r w:rsidR="00DB5AAE" w:rsidRPr="000D120B">
        <w:rPr>
          <w:rFonts w:ascii="Arial" w:hAnsi="Arial" w:cs="Arial"/>
          <w:sz w:val="20"/>
          <w:szCs w:val="20"/>
        </w:rPr>
        <w:t>3.24</w:t>
      </w:r>
      <w:r w:rsidR="005D5AED" w:rsidRPr="00EF6048">
        <w:rPr>
          <w:rFonts w:ascii="Arial" w:eastAsia="Times New Roman" w:hAnsi="Arial" w:cs="Arial"/>
          <w:color w:val="000000"/>
          <w:sz w:val="20"/>
          <w:szCs w:val="20"/>
          <w:lang w:eastAsia="uk-UA"/>
        </w:rPr>
        <w:t xml:space="preserve"> per kg (</w:t>
      </w:r>
      <w:r w:rsidR="00E152E5" w:rsidRPr="00EF6048">
        <w:rPr>
          <w:rFonts w:ascii="Arial" w:eastAsia="Times New Roman" w:hAnsi="Arial" w:cs="Arial"/>
          <w:color w:val="000000"/>
          <w:sz w:val="20"/>
          <w:szCs w:val="20"/>
          <w:lang w:eastAsia="uk-UA"/>
        </w:rPr>
        <w:t>12</w:t>
      </w:r>
      <w:r w:rsidR="00212B45" w:rsidRPr="00EF6048">
        <w:rPr>
          <w:rFonts w:ascii="Arial" w:eastAsia="Times New Roman" w:hAnsi="Arial" w:cs="Arial"/>
          <w:color w:val="000000"/>
          <w:sz w:val="20"/>
          <w:szCs w:val="20"/>
          <w:lang w:eastAsia="uk-UA"/>
        </w:rPr>
        <w:t>M</w:t>
      </w:r>
      <w:r w:rsidR="005D5AED" w:rsidRPr="00EF6048">
        <w:rPr>
          <w:rFonts w:ascii="Arial" w:eastAsia="Times New Roman" w:hAnsi="Arial" w:cs="Arial"/>
          <w:color w:val="000000"/>
          <w:sz w:val="20"/>
          <w:szCs w:val="20"/>
          <w:lang w:eastAsia="uk-UA"/>
        </w:rPr>
        <w:t xml:space="preserve"> 202</w:t>
      </w:r>
      <w:r w:rsidR="00A60CE6" w:rsidRPr="00EF6048">
        <w:rPr>
          <w:rFonts w:ascii="Arial" w:eastAsia="Times New Roman" w:hAnsi="Arial" w:cs="Arial"/>
          <w:color w:val="000000"/>
          <w:sz w:val="20"/>
          <w:szCs w:val="20"/>
          <w:lang w:eastAsia="uk-UA"/>
        </w:rPr>
        <w:t>1</w:t>
      </w:r>
      <w:r w:rsidR="005D5AED" w:rsidRPr="00EF6048">
        <w:rPr>
          <w:rFonts w:ascii="Arial" w:eastAsia="Times New Roman" w:hAnsi="Arial" w:cs="Arial"/>
          <w:color w:val="000000"/>
          <w:sz w:val="20"/>
          <w:szCs w:val="20"/>
          <w:lang w:eastAsia="uk-UA"/>
        </w:rPr>
        <w:t xml:space="preserve">: EUR </w:t>
      </w:r>
      <w:r w:rsidR="00DB5AAE" w:rsidRPr="000D120B">
        <w:rPr>
          <w:rFonts w:ascii="Arial" w:hAnsi="Arial" w:cs="Arial"/>
          <w:sz w:val="20"/>
          <w:szCs w:val="20"/>
        </w:rPr>
        <w:t>2.59</w:t>
      </w:r>
      <w:r w:rsidR="005D5AED" w:rsidRPr="00EF6048">
        <w:rPr>
          <w:rFonts w:ascii="Arial" w:eastAsia="Times New Roman" w:hAnsi="Arial" w:cs="Arial"/>
          <w:color w:val="000000"/>
          <w:sz w:val="20"/>
          <w:szCs w:val="20"/>
          <w:lang w:eastAsia="uk-UA"/>
        </w:rPr>
        <w:t xml:space="preserve"> per kg).</w:t>
      </w:r>
    </w:p>
    <w:p w14:paraId="03FF26AE" w14:textId="2291F10D" w:rsidR="005D5AED" w:rsidRPr="00EF6048" w:rsidRDefault="005D5AED"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EF6048">
        <w:rPr>
          <w:rFonts w:ascii="Arial" w:eastAsia="Times New Roman" w:hAnsi="Arial" w:cs="Arial"/>
          <w:color w:val="000000"/>
          <w:sz w:val="20"/>
          <w:szCs w:val="20"/>
          <w:lang w:eastAsia="uk-UA"/>
        </w:rPr>
        <w:t>Chicken meat export</w:t>
      </w:r>
      <w:r w:rsidR="002D543F" w:rsidRPr="00EF6048">
        <w:rPr>
          <w:rFonts w:ascii="Arial" w:eastAsia="Times New Roman" w:hAnsi="Arial" w:cs="Arial"/>
          <w:color w:val="000000"/>
          <w:sz w:val="20"/>
          <w:szCs w:val="20"/>
          <w:lang w:eastAsia="uk-UA"/>
        </w:rPr>
        <w:t xml:space="preserve"> volumes</w:t>
      </w:r>
      <w:r w:rsidR="003F2C2D" w:rsidRPr="00EF6048">
        <w:rPr>
          <w:rFonts w:ascii="Arial" w:eastAsia="Times New Roman" w:hAnsi="Arial" w:cs="Arial"/>
          <w:color w:val="000000"/>
          <w:sz w:val="20"/>
          <w:szCs w:val="20"/>
          <w:lang w:eastAsia="uk-UA"/>
        </w:rPr>
        <w:t xml:space="preserve"> from Ukraine</w:t>
      </w:r>
      <w:r w:rsidRPr="00EF6048">
        <w:rPr>
          <w:rFonts w:ascii="Arial" w:eastAsia="Times New Roman" w:hAnsi="Arial" w:cs="Arial"/>
          <w:color w:val="000000"/>
          <w:sz w:val="20"/>
          <w:szCs w:val="20"/>
          <w:lang w:eastAsia="uk-UA"/>
        </w:rPr>
        <w:t xml:space="preserve"> </w:t>
      </w:r>
      <w:r w:rsidR="00BE2527" w:rsidRPr="00EF6048">
        <w:rPr>
          <w:rFonts w:ascii="Arial" w:eastAsia="Times New Roman" w:hAnsi="Arial" w:cs="Arial"/>
          <w:color w:val="000000"/>
          <w:sz w:val="20"/>
          <w:szCs w:val="20"/>
          <w:lang w:eastAsia="uk-UA"/>
        </w:rPr>
        <w:t xml:space="preserve">declined </w:t>
      </w:r>
      <w:r w:rsidRPr="00EF6048">
        <w:rPr>
          <w:rFonts w:ascii="Arial" w:eastAsia="Times New Roman" w:hAnsi="Arial" w:cs="Arial"/>
          <w:color w:val="000000"/>
          <w:sz w:val="20"/>
          <w:szCs w:val="20"/>
          <w:lang w:eastAsia="uk-UA"/>
        </w:rPr>
        <w:t xml:space="preserve">by </w:t>
      </w:r>
      <w:r w:rsidR="00DB5AAE" w:rsidRPr="000D120B">
        <w:rPr>
          <w:rFonts w:ascii="Arial" w:hAnsi="Arial" w:cs="Arial"/>
          <w:sz w:val="20"/>
          <w:szCs w:val="20"/>
        </w:rPr>
        <w:t>8%</w:t>
      </w:r>
      <w:r w:rsidR="002D543F" w:rsidRPr="00EF6048">
        <w:rPr>
          <w:rFonts w:ascii="Arial" w:hAnsi="Arial" w:cs="Arial"/>
          <w:sz w:val="20"/>
          <w:szCs w:val="20"/>
        </w:rPr>
        <w:t xml:space="preserve"> y/y</w:t>
      </w:r>
      <w:r w:rsidRPr="00EF6048">
        <w:rPr>
          <w:rFonts w:ascii="Arial" w:eastAsia="Times New Roman" w:hAnsi="Arial" w:cs="Arial"/>
          <w:color w:val="000000"/>
          <w:sz w:val="20"/>
          <w:szCs w:val="20"/>
          <w:lang w:eastAsia="uk-UA"/>
        </w:rPr>
        <w:t xml:space="preserve"> to </w:t>
      </w:r>
      <w:r w:rsidR="00DB5AAE" w:rsidRPr="000D120B">
        <w:rPr>
          <w:rFonts w:ascii="Arial" w:hAnsi="Arial" w:cs="Arial"/>
          <w:sz w:val="20"/>
          <w:szCs w:val="20"/>
        </w:rPr>
        <w:t>368,379</w:t>
      </w:r>
      <w:r w:rsidRPr="00EF6048">
        <w:rPr>
          <w:rFonts w:ascii="Arial" w:eastAsia="Times New Roman" w:hAnsi="Arial" w:cs="Arial"/>
          <w:color w:val="000000"/>
          <w:sz w:val="20"/>
          <w:szCs w:val="20"/>
          <w:lang w:eastAsia="uk-UA"/>
        </w:rPr>
        <w:t xml:space="preserve"> </w:t>
      </w:r>
      <w:proofErr w:type="spellStart"/>
      <w:r w:rsidRPr="00EF6048">
        <w:rPr>
          <w:rFonts w:ascii="Arial" w:eastAsia="Times New Roman" w:hAnsi="Arial" w:cs="Arial"/>
          <w:color w:val="000000"/>
          <w:sz w:val="20"/>
          <w:szCs w:val="20"/>
          <w:lang w:eastAsia="uk-UA"/>
        </w:rPr>
        <w:t>tonnes</w:t>
      </w:r>
      <w:proofErr w:type="spellEnd"/>
      <w:r w:rsidRPr="00EF6048">
        <w:rPr>
          <w:rFonts w:ascii="Arial" w:eastAsia="Times New Roman" w:hAnsi="Arial" w:cs="Arial"/>
          <w:color w:val="000000"/>
          <w:sz w:val="20"/>
          <w:szCs w:val="20"/>
          <w:lang w:eastAsia="uk-UA"/>
        </w:rPr>
        <w:t xml:space="preserve"> </w:t>
      </w:r>
      <w:r w:rsidR="003F2C2D" w:rsidRPr="00EF6048">
        <w:rPr>
          <w:rFonts w:ascii="Arial" w:eastAsia="Times New Roman" w:hAnsi="Arial" w:cs="Arial"/>
          <w:color w:val="000000"/>
          <w:sz w:val="20"/>
          <w:szCs w:val="20"/>
          <w:lang w:eastAsia="uk-UA"/>
        </w:rPr>
        <w:t>(</w:t>
      </w:r>
      <w:r w:rsidR="00E152E5" w:rsidRPr="00EF6048">
        <w:rPr>
          <w:rFonts w:ascii="Arial" w:eastAsia="Times New Roman" w:hAnsi="Arial" w:cs="Arial"/>
          <w:color w:val="000000"/>
          <w:sz w:val="20"/>
          <w:szCs w:val="20"/>
          <w:lang w:eastAsia="uk-UA"/>
        </w:rPr>
        <w:t>12</w:t>
      </w:r>
      <w:r w:rsidR="00212B45" w:rsidRPr="00EF6048">
        <w:rPr>
          <w:rFonts w:ascii="Arial" w:eastAsia="Times New Roman" w:hAnsi="Arial" w:cs="Arial"/>
          <w:color w:val="000000"/>
          <w:sz w:val="20"/>
          <w:szCs w:val="20"/>
          <w:lang w:eastAsia="uk-UA"/>
        </w:rPr>
        <w:t>M</w:t>
      </w:r>
      <w:r w:rsidR="003F2C2D" w:rsidRPr="00EF6048">
        <w:rPr>
          <w:rFonts w:ascii="Arial" w:eastAsia="Times New Roman" w:hAnsi="Arial" w:cs="Arial"/>
          <w:color w:val="000000"/>
          <w:sz w:val="20"/>
          <w:szCs w:val="20"/>
          <w:lang w:eastAsia="uk-UA"/>
        </w:rPr>
        <w:t xml:space="preserve"> 2021: </w:t>
      </w:r>
      <w:r w:rsidR="00DB5AAE" w:rsidRPr="000D120B">
        <w:rPr>
          <w:rFonts w:ascii="Arial" w:hAnsi="Arial" w:cs="Arial"/>
          <w:sz w:val="20"/>
          <w:szCs w:val="20"/>
        </w:rPr>
        <w:t>402,388</w:t>
      </w:r>
      <w:r w:rsidRPr="00EF6048">
        <w:rPr>
          <w:rFonts w:ascii="Arial" w:eastAsia="Times New Roman" w:hAnsi="Arial" w:cs="Arial"/>
          <w:color w:val="000000"/>
          <w:sz w:val="20"/>
          <w:szCs w:val="20"/>
          <w:lang w:eastAsia="uk-UA"/>
        </w:rPr>
        <w:t xml:space="preserve"> </w:t>
      </w:r>
      <w:proofErr w:type="spellStart"/>
      <w:r w:rsidRPr="00EF6048">
        <w:rPr>
          <w:rFonts w:ascii="Arial" w:eastAsia="Times New Roman" w:hAnsi="Arial" w:cs="Arial"/>
          <w:color w:val="000000"/>
          <w:sz w:val="20"/>
          <w:szCs w:val="20"/>
          <w:lang w:eastAsia="uk-UA"/>
        </w:rPr>
        <w:t>tonnes</w:t>
      </w:r>
      <w:proofErr w:type="spellEnd"/>
      <w:r w:rsidR="003F2C2D" w:rsidRPr="00EF6048">
        <w:rPr>
          <w:rFonts w:ascii="Arial" w:eastAsia="Times New Roman" w:hAnsi="Arial" w:cs="Arial"/>
          <w:color w:val="000000"/>
          <w:sz w:val="20"/>
          <w:szCs w:val="20"/>
          <w:lang w:eastAsia="uk-UA"/>
        </w:rPr>
        <w:t>)</w:t>
      </w:r>
      <w:r w:rsidRPr="00EF6048">
        <w:rPr>
          <w:rFonts w:ascii="Arial" w:eastAsia="Times New Roman" w:hAnsi="Arial" w:cs="Arial"/>
          <w:color w:val="000000"/>
          <w:sz w:val="20"/>
          <w:szCs w:val="20"/>
          <w:lang w:eastAsia="uk-UA"/>
        </w:rPr>
        <w:t>.</w:t>
      </w:r>
    </w:p>
    <w:p w14:paraId="1C1A2782" w14:textId="66482372" w:rsidR="005D5AED" w:rsidRDefault="005D5AED" w:rsidP="005D5AED">
      <w:pPr>
        <w:pStyle w:val="a5"/>
        <w:spacing w:before="120" w:after="120"/>
        <w:ind w:left="0"/>
        <w:jc w:val="both"/>
        <w:rPr>
          <w:rFonts w:ascii="Arial" w:eastAsia="Times New Roman" w:hAnsi="Arial" w:cs="Arial"/>
          <w:color w:val="000000"/>
          <w:sz w:val="20"/>
          <w:szCs w:val="20"/>
          <w:highlight w:val="yellow"/>
          <w:lang w:eastAsia="uk-UA"/>
        </w:rPr>
      </w:pPr>
    </w:p>
    <w:p w14:paraId="20F6CA4E" w14:textId="667539E3" w:rsidR="007F1C0C" w:rsidRPr="00767C54" w:rsidRDefault="007F1C0C" w:rsidP="000C1D3E">
      <w:pPr>
        <w:spacing w:before="240" w:after="120" w:line="240" w:lineRule="auto"/>
        <w:jc w:val="both"/>
        <w:rPr>
          <w:rFonts w:ascii="Arial" w:eastAsia="Times New Roman" w:hAnsi="Arial" w:cs="Arial"/>
          <w:b/>
          <w:color w:val="000000"/>
          <w:sz w:val="20"/>
          <w:szCs w:val="20"/>
          <w:lang w:eastAsia="uk-UA"/>
        </w:rPr>
      </w:pPr>
      <w:r w:rsidRPr="00767C54">
        <w:rPr>
          <w:rFonts w:ascii="Arial" w:eastAsia="Times New Roman" w:hAnsi="Arial" w:cs="Arial"/>
          <w:b/>
          <w:color w:val="000000"/>
          <w:sz w:val="20"/>
          <w:szCs w:val="20"/>
          <w:lang w:eastAsia="uk-UA"/>
        </w:rPr>
        <w:t>FINANCIAL HIGHLIGHTS</w:t>
      </w:r>
    </w:p>
    <w:p w14:paraId="5EE0A12F" w14:textId="2FA5C805" w:rsidR="00CB1414" w:rsidRPr="00767C54" w:rsidRDefault="00CB1414" w:rsidP="00CB1414">
      <w:pPr>
        <w:spacing w:before="80" w:after="80" w:line="240" w:lineRule="auto"/>
        <w:jc w:val="both"/>
        <w:rPr>
          <w:rFonts w:ascii="Arial" w:eastAsia="Times New Roman" w:hAnsi="Arial" w:cs="Arial"/>
          <w:b/>
          <w:i/>
          <w:color w:val="000000"/>
          <w:sz w:val="20"/>
          <w:szCs w:val="20"/>
          <w:lang w:eastAsia="uk-UA"/>
        </w:rPr>
      </w:pPr>
      <w:r w:rsidRPr="00767C54">
        <w:rPr>
          <w:rFonts w:ascii="Arial" w:eastAsia="Times New Roman" w:hAnsi="Arial" w:cs="Arial"/>
          <w:b/>
          <w:i/>
          <w:color w:val="000000"/>
          <w:sz w:val="20"/>
          <w:szCs w:val="20"/>
          <w:lang w:eastAsia="uk-UA"/>
        </w:rPr>
        <w:t>Q</w:t>
      </w:r>
      <w:r w:rsidR="00E152E5" w:rsidRPr="00767C54">
        <w:rPr>
          <w:rFonts w:ascii="Arial" w:eastAsia="Times New Roman" w:hAnsi="Arial" w:cs="Arial"/>
          <w:b/>
          <w:i/>
          <w:color w:val="000000"/>
          <w:sz w:val="20"/>
          <w:szCs w:val="20"/>
          <w:lang w:eastAsia="uk-UA"/>
        </w:rPr>
        <w:t>4</w:t>
      </w:r>
      <w:r w:rsidRPr="00767C54">
        <w:rPr>
          <w:rFonts w:ascii="Arial" w:eastAsia="Times New Roman" w:hAnsi="Arial" w:cs="Arial"/>
          <w:b/>
          <w:i/>
          <w:color w:val="000000"/>
          <w:sz w:val="20"/>
          <w:szCs w:val="20"/>
          <w:lang w:eastAsia="uk-UA"/>
        </w:rPr>
        <w:t xml:space="preserve"> 2022</w:t>
      </w:r>
    </w:p>
    <w:p w14:paraId="5F46EFB6" w14:textId="1BCBEBB3" w:rsidR="007A08B5" w:rsidRPr="00EF6048" w:rsidRDefault="009137E9"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EF6048">
        <w:rPr>
          <w:rFonts w:ascii="Arial" w:eastAsia="Times New Roman" w:hAnsi="Arial" w:cs="Arial"/>
          <w:color w:val="000000"/>
          <w:sz w:val="20"/>
          <w:szCs w:val="20"/>
          <w:lang w:eastAsia="uk-UA"/>
        </w:rPr>
        <w:t xml:space="preserve">Revenue </w:t>
      </w:r>
      <w:r w:rsidR="00D14236" w:rsidRPr="00EF6048">
        <w:rPr>
          <w:rFonts w:ascii="Arial" w:eastAsia="Times New Roman" w:hAnsi="Arial" w:cs="Arial"/>
          <w:color w:val="000000"/>
          <w:sz w:val="20"/>
          <w:szCs w:val="20"/>
          <w:lang w:eastAsia="uk-UA"/>
        </w:rPr>
        <w:t>in</w:t>
      </w:r>
      <w:r w:rsidR="00C931DA" w:rsidRPr="00EF6048">
        <w:rPr>
          <w:rFonts w:ascii="Arial" w:eastAsia="Times New Roman" w:hAnsi="Arial" w:cs="Arial"/>
          <w:color w:val="000000"/>
          <w:sz w:val="20"/>
          <w:szCs w:val="20"/>
          <w:lang w:eastAsia="uk-UA"/>
        </w:rPr>
        <w:t>crease</w:t>
      </w:r>
      <w:r w:rsidR="00D14236" w:rsidRPr="00EF6048">
        <w:rPr>
          <w:rFonts w:ascii="Arial" w:eastAsia="Times New Roman" w:hAnsi="Arial" w:cs="Arial"/>
          <w:color w:val="000000"/>
          <w:sz w:val="20"/>
          <w:szCs w:val="20"/>
          <w:lang w:eastAsia="uk-UA"/>
        </w:rPr>
        <w:t>d</w:t>
      </w:r>
      <w:r w:rsidR="00C931DA" w:rsidRPr="00EF6048">
        <w:rPr>
          <w:rFonts w:ascii="Arial" w:eastAsia="Times New Roman" w:hAnsi="Arial" w:cs="Arial"/>
          <w:color w:val="000000"/>
          <w:sz w:val="20"/>
          <w:szCs w:val="20"/>
          <w:lang w:eastAsia="uk-UA"/>
        </w:rPr>
        <w:t xml:space="preserve"> </w:t>
      </w:r>
      <w:r w:rsidR="00834842" w:rsidRPr="00EF6048">
        <w:rPr>
          <w:rFonts w:ascii="Arial" w:eastAsia="Times New Roman" w:hAnsi="Arial" w:cs="Arial"/>
          <w:color w:val="000000"/>
          <w:sz w:val="20"/>
          <w:szCs w:val="20"/>
          <w:lang w:eastAsia="uk-UA"/>
        </w:rPr>
        <w:t>by</w:t>
      </w:r>
      <w:r w:rsidRPr="00EF6048">
        <w:rPr>
          <w:rFonts w:ascii="Arial" w:eastAsia="Times New Roman" w:hAnsi="Arial" w:cs="Arial"/>
          <w:color w:val="000000"/>
          <w:sz w:val="20"/>
          <w:szCs w:val="20"/>
          <w:lang w:eastAsia="uk-UA"/>
        </w:rPr>
        <w:t xml:space="preserve"> </w:t>
      </w:r>
      <w:r w:rsidR="00DB5AAE" w:rsidRPr="000D120B">
        <w:rPr>
          <w:rFonts w:ascii="Arial" w:eastAsia="Times New Roman" w:hAnsi="Arial" w:cs="Arial"/>
          <w:color w:val="000000"/>
          <w:sz w:val="20"/>
          <w:szCs w:val="20"/>
          <w:lang w:eastAsia="uk-UA"/>
        </w:rPr>
        <w:t>6%</w:t>
      </w:r>
      <w:r w:rsidR="000E07AF" w:rsidRPr="00EF6048">
        <w:rPr>
          <w:rFonts w:ascii="Arial" w:eastAsia="Times New Roman" w:hAnsi="Arial" w:cs="Arial"/>
          <w:color w:val="000000"/>
          <w:sz w:val="20"/>
          <w:szCs w:val="20"/>
          <w:lang w:eastAsia="uk-UA"/>
        </w:rPr>
        <w:t xml:space="preserve"> </w:t>
      </w:r>
      <w:r w:rsidR="00290811" w:rsidRPr="00EF6048">
        <w:rPr>
          <w:rFonts w:ascii="Arial" w:eastAsia="Times New Roman" w:hAnsi="Arial" w:cs="Arial"/>
          <w:color w:val="000000"/>
          <w:sz w:val="20"/>
          <w:szCs w:val="20"/>
          <w:lang w:eastAsia="uk-UA"/>
        </w:rPr>
        <w:t>y/y</w:t>
      </w:r>
      <w:r w:rsidR="00321F08" w:rsidRPr="00EF6048">
        <w:rPr>
          <w:rFonts w:ascii="Arial" w:eastAsia="Times New Roman" w:hAnsi="Arial" w:cs="Arial"/>
          <w:color w:val="000000"/>
          <w:sz w:val="20"/>
          <w:szCs w:val="20"/>
          <w:lang w:eastAsia="uk-UA"/>
        </w:rPr>
        <w:t xml:space="preserve"> to US$</w:t>
      </w:r>
      <w:r w:rsidR="00321F08" w:rsidRPr="00EF6048">
        <w:rPr>
          <w:rFonts w:ascii="Arial" w:eastAsia="Times New Roman" w:hAnsi="Arial" w:cs="Arial"/>
          <w:color w:val="000000"/>
          <w:sz w:val="20"/>
          <w:szCs w:val="20"/>
          <w:lang w:val="uk-UA" w:eastAsia="uk-UA"/>
        </w:rPr>
        <w:t xml:space="preserve"> </w:t>
      </w:r>
      <w:r w:rsidR="00DB5AAE" w:rsidRPr="000D120B">
        <w:rPr>
          <w:rFonts w:ascii="Arial" w:hAnsi="Arial" w:cs="Arial"/>
          <w:sz w:val="20"/>
          <w:szCs w:val="20"/>
        </w:rPr>
        <w:t>766</w:t>
      </w:r>
      <w:r w:rsidR="00321F08" w:rsidRPr="00EF6048">
        <w:rPr>
          <w:rFonts w:ascii="Arial" w:eastAsia="Times New Roman" w:hAnsi="Arial" w:cs="Arial"/>
          <w:color w:val="000000"/>
          <w:sz w:val="20"/>
          <w:szCs w:val="20"/>
          <w:lang w:eastAsia="uk-UA"/>
        </w:rPr>
        <w:t xml:space="preserve"> million,</w:t>
      </w:r>
      <w:r w:rsidR="00C931DA" w:rsidRPr="00EF6048">
        <w:rPr>
          <w:rFonts w:ascii="Arial" w:eastAsia="Times New Roman" w:hAnsi="Arial" w:cs="Arial"/>
          <w:color w:val="000000"/>
          <w:sz w:val="20"/>
          <w:szCs w:val="20"/>
          <w:lang w:eastAsia="uk-UA"/>
        </w:rPr>
        <w:t xml:space="preserve"> (</w:t>
      </w:r>
      <w:r w:rsidR="00A12BD4" w:rsidRPr="00EF6048">
        <w:rPr>
          <w:rFonts w:ascii="Arial" w:eastAsia="Times New Roman" w:hAnsi="Arial" w:cs="Arial"/>
          <w:color w:val="000000"/>
          <w:sz w:val="20"/>
          <w:szCs w:val="20"/>
          <w:lang w:eastAsia="uk-UA"/>
        </w:rPr>
        <w:t>Q</w:t>
      </w:r>
      <w:r w:rsidR="00E152E5" w:rsidRPr="00EF6048">
        <w:rPr>
          <w:rFonts w:ascii="Arial" w:eastAsia="Times New Roman" w:hAnsi="Arial" w:cs="Arial"/>
          <w:color w:val="000000"/>
          <w:sz w:val="20"/>
          <w:szCs w:val="20"/>
          <w:lang w:eastAsia="uk-UA"/>
        </w:rPr>
        <w:t>4</w:t>
      </w:r>
      <w:r w:rsidR="00A12BD4" w:rsidRPr="00EF6048">
        <w:rPr>
          <w:rFonts w:ascii="Arial" w:eastAsia="Times New Roman" w:hAnsi="Arial" w:cs="Arial"/>
          <w:color w:val="000000"/>
          <w:sz w:val="20"/>
          <w:szCs w:val="20"/>
          <w:lang w:eastAsia="uk-UA"/>
        </w:rPr>
        <w:t xml:space="preserve"> </w:t>
      </w:r>
      <w:r w:rsidR="00E22622" w:rsidRPr="00EF6048">
        <w:rPr>
          <w:rFonts w:ascii="Arial" w:eastAsia="Times New Roman" w:hAnsi="Arial" w:cs="Arial"/>
          <w:color w:val="000000"/>
          <w:sz w:val="20"/>
          <w:szCs w:val="20"/>
          <w:lang w:eastAsia="uk-UA"/>
        </w:rPr>
        <w:t>202</w:t>
      </w:r>
      <w:r w:rsidR="00B922BF" w:rsidRPr="00EF6048">
        <w:rPr>
          <w:rFonts w:ascii="Arial" w:eastAsia="Times New Roman" w:hAnsi="Arial" w:cs="Arial"/>
          <w:color w:val="000000"/>
          <w:sz w:val="20"/>
          <w:szCs w:val="20"/>
          <w:lang w:eastAsia="uk-UA"/>
        </w:rPr>
        <w:t>1</w:t>
      </w:r>
      <w:r w:rsidR="00C931DA" w:rsidRPr="00EF6048">
        <w:rPr>
          <w:rFonts w:ascii="Arial" w:eastAsia="Times New Roman" w:hAnsi="Arial" w:cs="Arial"/>
          <w:color w:val="000000"/>
          <w:sz w:val="20"/>
          <w:szCs w:val="20"/>
          <w:lang w:eastAsia="uk-UA"/>
        </w:rPr>
        <w:t>:</w:t>
      </w:r>
      <w:r w:rsidR="00476E5C" w:rsidRPr="00EF6048">
        <w:rPr>
          <w:rFonts w:ascii="Arial" w:eastAsia="Times New Roman" w:hAnsi="Arial" w:cs="Arial"/>
          <w:color w:val="000000"/>
          <w:sz w:val="20"/>
          <w:szCs w:val="20"/>
          <w:lang w:eastAsia="uk-UA"/>
        </w:rPr>
        <w:t xml:space="preserve"> US$</w:t>
      </w:r>
      <w:r w:rsidR="00767C54" w:rsidRPr="00EF6048">
        <w:rPr>
          <w:rFonts w:ascii="Arial" w:eastAsia="Times New Roman" w:hAnsi="Arial" w:cs="Arial"/>
          <w:color w:val="000000"/>
          <w:sz w:val="20"/>
          <w:szCs w:val="20"/>
          <w:lang w:eastAsia="uk-UA"/>
        </w:rPr>
        <w:t xml:space="preserve"> </w:t>
      </w:r>
      <w:r w:rsidR="00DB5AAE" w:rsidRPr="000D120B">
        <w:rPr>
          <w:rFonts w:ascii="Arial" w:hAnsi="Arial" w:cs="Arial"/>
          <w:sz w:val="20"/>
          <w:szCs w:val="20"/>
        </w:rPr>
        <w:t xml:space="preserve"> 725</w:t>
      </w:r>
      <w:r w:rsidR="00424382" w:rsidRPr="00EF6048">
        <w:rPr>
          <w:rFonts w:ascii="Arial" w:eastAsia="Times New Roman" w:hAnsi="Arial" w:cs="Arial"/>
          <w:color w:val="000000"/>
          <w:sz w:val="20"/>
          <w:szCs w:val="20"/>
          <w:lang w:eastAsia="uk-UA"/>
        </w:rPr>
        <w:t xml:space="preserve"> </w:t>
      </w:r>
      <w:r w:rsidR="00C931DA" w:rsidRPr="00EF6048">
        <w:rPr>
          <w:rFonts w:ascii="Arial" w:eastAsia="Times New Roman" w:hAnsi="Arial" w:cs="Arial"/>
          <w:color w:val="000000"/>
          <w:sz w:val="20"/>
          <w:szCs w:val="20"/>
          <w:lang w:eastAsia="uk-UA"/>
        </w:rPr>
        <w:t>million)</w:t>
      </w:r>
      <w:r w:rsidR="00775A7F" w:rsidRPr="00EF6048">
        <w:rPr>
          <w:rFonts w:ascii="Arial" w:eastAsia="Times New Roman" w:hAnsi="Arial" w:cs="Arial"/>
          <w:color w:val="000000"/>
          <w:sz w:val="20"/>
          <w:szCs w:val="20"/>
          <w:lang w:eastAsia="uk-UA"/>
        </w:rPr>
        <w:t>.</w:t>
      </w:r>
    </w:p>
    <w:p w14:paraId="3F670B62" w14:textId="4C4F3920" w:rsidR="009137E9" w:rsidRPr="00EF6048" w:rsidRDefault="007A08B5"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EF6048">
        <w:rPr>
          <w:rFonts w:ascii="Arial" w:eastAsia="Times New Roman" w:hAnsi="Arial" w:cs="Arial"/>
          <w:color w:val="000000"/>
          <w:sz w:val="20"/>
          <w:szCs w:val="20"/>
          <w:lang w:eastAsia="uk-UA"/>
        </w:rPr>
        <w:t xml:space="preserve">Export </w:t>
      </w:r>
      <w:r w:rsidR="001858A9" w:rsidRPr="00EF6048">
        <w:rPr>
          <w:rFonts w:ascii="Arial" w:eastAsia="Times New Roman" w:hAnsi="Arial" w:cs="Arial"/>
          <w:color w:val="000000"/>
          <w:sz w:val="20"/>
          <w:szCs w:val="20"/>
          <w:lang w:eastAsia="uk-UA"/>
        </w:rPr>
        <w:t>revenue</w:t>
      </w:r>
      <w:r w:rsidR="00A9617A" w:rsidRPr="00EF6048">
        <w:rPr>
          <w:rFonts w:ascii="Arial" w:eastAsia="Times New Roman" w:hAnsi="Arial" w:cs="Arial"/>
          <w:color w:val="000000"/>
          <w:sz w:val="20"/>
          <w:szCs w:val="20"/>
          <w:lang w:val="uk-UA" w:eastAsia="uk-UA"/>
        </w:rPr>
        <w:t xml:space="preserve"> </w:t>
      </w:r>
      <w:r w:rsidR="00A9617A" w:rsidRPr="00EF6048">
        <w:rPr>
          <w:rFonts w:ascii="Arial" w:eastAsia="Times New Roman" w:hAnsi="Arial" w:cs="Arial"/>
          <w:color w:val="000000"/>
          <w:sz w:val="20"/>
          <w:szCs w:val="20"/>
          <w:lang w:eastAsia="uk-UA"/>
        </w:rPr>
        <w:t>of</w:t>
      </w:r>
      <w:r w:rsidR="001858A9" w:rsidRPr="00EF6048">
        <w:rPr>
          <w:rFonts w:ascii="Arial" w:eastAsia="Times New Roman" w:hAnsi="Arial" w:cs="Arial"/>
          <w:color w:val="000000"/>
          <w:sz w:val="20"/>
          <w:szCs w:val="20"/>
          <w:lang w:eastAsia="uk-UA"/>
        </w:rPr>
        <w:t xml:space="preserve"> </w:t>
      </w:r>
      <w:r w:rsidR="00D73CBB" w:rsidRPr="00EF6048">
        <w:rPr>
          <w:rFonts w:ascii="Arial" w:eastAsia="Times New Roman" w:hAnsi="Arial" w:cs="Arial"/>
          <w:color w:val="000000"/>
          <w:sz w:val="20"/>
          <w:szCs w:val="20"/>
          <w:lang w:eastAsia="uk-UA"/>
        </w:rPr>
        <w:t>US$</w:t>
      </w:r>
      <w:r w:rsidR="003C0E32" w:rsidRPr="00EF6048">
        <w:rPr>
          <w:rFonts w:ascii="Arial" w:eastAsia="Times New Roman" w:hAnsi="Arial" w:cs="Arial"/>
          <w:color w:val="000000"/>
          <w:sz w:val="20"/>
          <w:szCs w:val="20"/>
          <w:lang w:eastAsia="uk-UA"/>
        </w:rPr>
        <w:t xml:space="preserve"> </w:t>
      </w:r>
      <w:r w:rsidR="00DB5AAE" w:rsidRPr="000D120B">
        <w:rPr>
          <w:rFonts w:ascii="Arial" w:hAnsi="Arial" w:cs="Arial"/>
          <w:sz w:val="20"/>
          <w:szCs w:val="20"/>
        </w:rPr>
        <w:t>491</w:t>
      </w:r>
      <w:r w:rsidR="003C0E32" w:rsidRPr="00EF6048">
        <w:rPr>
          <w:rFonts w:ascii="Arial" w:eastAsia="Times New Roman" w:hAnsi="Arial" w:cs="Arial"/>
          <w:color w:val="000000"/>
          <w:sz w:val="20"/>
          <w:szCs w:val="20"/>
          <w:lang w:eastAsia="uk-UA"/>
        </w:rPr>
        <w:t xml:space="preserve"> </w:t>
      </w:r>
      <w:r w:rsidR="00D73CBB" w:rsidRPr="00EF6048">
        <w:rPr>
          <w:rFonts w:ascii="Arial" w:eastAsia="Times New Roman" w:hAnsi="Arial" w:cs="Arial"/>
          <w:color w:val="000000"/>
          <w:sz w:val="20"/>
          <w:szCs w:val="20"/>
          <w:lang w:eastAsia="uk-UA"/>
        </w:rPr>
        <w:t>million</w:t>
      </w:r>
      <w:r w:rsidRPr="00EF6048">
        <w:rPr>
          <w:rFonts w:ascii="Arial" w:eastAsia="Times New Roman" w:hAnsi="Arial" w:cs="Arial"/>
          <w:color w:val="000000"/>
          <w:sz w:val="20"/>
          <w:szCs w:val="20"/>
          <w:lang w:eastAsia="uk-UA"/>
        </w:rPr>
        <w:t>,</w:t>
      </w:r>
      <w:r w:rsidR="00A87232" w:rsidRPr="00EF6048">
        <w:rPr>
          <w:rFonts w:ascii="Arial" w:eastAsia="Times New Roman" w:hAnsi="Arial" w:cs="Arial"/>
          <w:color w:val="000000"/>
          <w:sz w:val="20"/>
          <w:szCs w:val="20"/>
          <w:lang w:eastAsia="uk-UA"/>
        </w:rPr>
        <w:t xml:space="preserve"> representing</w:t>
      </w:r>
      <w:r w:rsidR="00F034B1" w:rsidRPr="00EF6048">
        <w:rPr>
          <w:rFonts w:ascii="Arial" w:eastAsia="Times New Roman" w:hAnsi="Arial" w:cs="Arial"/>
          <w:color w:val="000000"/>
          <w:sz w:val="20"/>
          <w:szCs w:val="20"/>
          <w:lang w:eastAsia="uk-UA"/>
        </w:rPr>
        <w:t xml:space="preserve"> </w:t>
      </w:r>
      <w:r w:rsidR="00DB5AAE" w:rsidRPr="000D120B">
        <w:rPr>
          <w:rFonts w:ascii="Arial" w:hAnsi="Arial" w:cs="Arial"/>
          <w:sz w:val="20"/>
          <w:szCs w:val="20"/>
        </w:rPr>
        <w:t>64%</w:t>
      </w:r>
      <w:r w:rsidR="00030548" w:rsidRPr="00EF6048">
        <w:rPr>
          <w:rFonts w:ascii="Arial" w:eastAsia="Times New Roman" w:hAnsi="Arial" w:cs="Arial"/>
          <w:color w:val="000000"/>
          <w:sz w:val="20"/>
          <w:szCs w:val="20"/>
          <w:lang w:eastAsia="uk-UA"/>
        </w:rPr>
        <w:t xml:space="preserve"> </w:t>
      </w:r>
      <w:r w:rsidRPr="00EF6048">
        <w:rPr>
          <w:rFonts w:ascii="Arial" w:eastAsia="Times New Roman" w:hAnsi="Arial" w:cs="Arial"/>
          <w:color w:val="000000"/>
          <w:sz w:val="20"/>
          <w:szCs w:val="20"/>
          <w:lang w:eastAsia="uk-UA"/>
        </w:rPr>
        <w:t>of total</w:t>
      </w:r>
      <w:r w:rsidR="00A87232" w:rsidRPr="00EF6048">
        <w:rPr>
          <w:rFonts w:ascii="Arial" w:eastAsia="Times New Roman" w:hAnsi="Arial" w:cs="Arial"/>
          <w:color w:val="000000"/>
          <w:sz w:val="20"/>
          <w:szCs w:val="20"/>
          <w:lang w:eastAsia="uk-UA"/>
        </w:rPr>
        <w:t xml:space="preserve"> Group</w:t>
      </w:r>
      <w:r w:rsidRPr="00EF6048">
        <w:rPr>
          <w:rFonts w:ascii="Arial" w:eastAsia="Times New Roman" w:hAnsi="Arial" w:cs="Arial"/>
          <w:color w:val="000000"/>
          <w:sz w:val="20"/>
          <w:szCs w:val="20"/>
          <w:lang w:eastAsia="uk-UA"/>
        </w:rPr>
        <w:t xml:space="preserve"> revenue</w:t>
      </w:r>
      <w:r w:rsidR="00D73CBB" w:rsidRPr="00EF6048">
        <w:rPr>
          <w:rFonts w:ascii="Arial" w:eastAsia="Times New Roman" w:hAnsi="Arial" w:cs="Arial"/>
          <w:color w:val="000000"/>
          <w:sz w:val="20"/>
          <w:szCs w:val="20"/>
          <w:lang w:eastAsia="uk-UA"/>
        </w:rPr>
        <w:t xml:space="preserve"> (</w:t>
      </w:r>
      <w:r w:rsidR="00A12BD4" w:rsidRPr="00EF6048">
        <w:rPr>
          <w:rFonts w:ascii="Arial" w:eastAsia="Times New Roman" w:hAnsi="Arial" w:cs="Arial"/>
          <w:color w:val="000000"/>
          <w:sz w:val="20"/>
          <w:szCs w:val="20"/>
          <w:lang w:eastAsia="uk-UA"/>
        </w:rPr>
        <w:t>Q</w:t>
      </w:r>
      <w:r w:rsidR="00E152E5" w:rsidRPr="00EF6048">
        <w:rPr>
          <w:rFonts w:ascii="Arial" w:eastAsia="Times New Roman" w:hAnsi="Arial" w:cs="Arial"/>
          <w:color w:val="000000"/>
          <w:sz w:val="20"/>
          <w:szCs w:val="20"/>
          <w:lang w:eastAsia="uk-UA"/>
        </w:rPr>
        <w:t>4</w:t>
      </w:r>
      <w:r w:rsidR="00A12BD4" w:rsidRPr="00EF6048">
        <w:rPr>
          <w:rFonts w:ascii="Arial" w:eastAsia="Times New Roman" w:hAnsi="Arial" w:cs="Arial"/>
          <w:color w:val="000000"/>
          <w:sz w:val="20"/>
          <w:szCs w:val="20"/>
          <w:lang w:eastAsia="uk-UA"/>
        </w:rPr>
        <w:t xml:space="preserve"> </w:t>
      </w:r>
      <w:r w:rsidR="00E22622" w:rsidRPr="00EF6048">
        <w:rPr>
          <w:rFonts w:ascii="Arial" w:eastAsia="Times New Roman" w:hAnsi="Arial" w:cs="Arial"/>
          <w:color w:val="000000"/>
          <w:sz w:val="20"/>
          <w:szCs w:val="20"/>
          <w:lang w:eastAsia="uk-UA"/>
        </w:rPr>
        <w:t>202</w:t>
      </w:r>
      <w:r w:rsidR="00335E6A" w:rsidRPr="00EF6048">
        <w:rPr>
          <w:rFonts w:ascii="Arial" w:eastAsia="Times New Roman" w:hAnsi="Arial" w:cs="Arial"/>
          <w:color w:val="000000"/>
          <w:sz w:val="20"/>
          <w:szCs w:val="20"/>
          <w:lang w:eastAsia="uk-UA"/>
        </w:rPr>
        <w:t>1</w:t>
      </w:r>
      <w:r w:rsidR="00D73CBB" w:rsidRPr="00EF6048">
        <w:rPr>
          <w:rFonts w:ascii="Arial" w:eastAsia="Times New Roman" w:hAnsi="Arial" w:cs="Arial"/>
          <w:color w:val="000000"/>
          <w:sz w:val="20"/>
          <w:szCs w:val="20"/>
          <w:lang w:eastAsia="uk-UA"/>
        </w:rPr>
        <w:t>: US$</w:t>
      </w:r>
      <w:r w:rsidR="00775A7F" w:rsidRPr="00EF6048">
        <w:rPr>
          <w:rFonts w:ascii="Arial" w:eastAsia="Times New Roman" w:hAnsi="Arial" w:cs="Arial"/>
          <w:color w:val="000000"/>
          <w:sz w:val="20"/>
          <w:szCs w:val="20"/>
          <w:lang w:eastAsia="uk-UA"/>
        </w:rPr>
        <w:t xml:space="preserve"> </w:t>
      </w:r>
      <w:r w:rsidR="00DB5AAE" w:rsidRPr="000D120B">
        <w:rPr>
          <w:rFonts w:ascii="Arial" w:hAnsi="Arial" w:cs="Arial"/>
          <w:sz w:val="20"/>
          <w:szCs w:val="20"/>
        </w:rPr>
        <w:t>422</w:t>
      </w:r>
      <w:r w:rsidR="003C0E32" w:rsidRPr="00EF6048">
        <w:rPr>
          <w:rFonts w:ascii="Arial" w:hAnsi="Arial" w:cs="Arial"/>
          <w:sz w:val="20"/>
          <w:szCs w:val="20"/>
        </w:rPr>
        <w:t xml:space="preserve"> </w:t>
      </w:r>
      <w:r w:rsidR="00D73CBB" w:rsidRPr="00EF6048">
        <w:rPr>
          <w:rFonts w:ascii="Arial" w:eastAsia="Times New Roman" w:hAnsi="Arial" w:cs="Arial"/>
          <w:color w:val="000000"/>
          <w:sz w:val="20"/>
          <w:szCs w:val="20"/>
          <w:lang w:eastAsia="uk-UA"/>
        </w:rPr>
        <w:t>million</w:t>
      </w:r>
      <w:r w:rsidRPr="00EF6048">
        <w:rPr>
          <w:rFonts w:ascii="Arial" w:eastAsia="Times New Roman" w:hAnsi="Arial" w:cs="Arial"/>
          <w:color w:val="000000"/>
          <w:sz w:val="20"/>
          <w:szCs w:val="20"/>
          <w:lang w:eastAsia="uk-UA"/>
        </w:rPr>
        <w:t xml:space="preserve">, </w:t>
      </w:r>
      <w:r w:rsidR="00DB5AAE" w:rsidRPr="000D120B">
        <w:rPr>
          <w:rFonts w:ascii="Arial" w:hAnsi="Arial" w:cs="Arial"/>
          <w:sz w:val="20"/>
          <w:szCs w:val="20"/>
        </w:rPr>
        <w:t>58%</w:t>
      </w:r>
      <w:r w:rsidR="00767C54" w:rsidRPr="00EF6048">
        <w:rPr>
          <w:rFonts w:ascii="Arial" w:hAnsi="Arial" w:cs="Arial"/>
          <w:sz w:val="20"/>
          <w:szCs w:val="20"/>
        </w:rPr>
        <w:t xml:space="preserve"> </w:t>
      </w:r>
      <w:r w:rsidRPr="00EF6048">
        <w:rPr>
          <w:rFonts w:ascii="Arial" w:eastAsia="Times New Roman" w:hAnsi="Arial" w:cs="Arial"/>
          <w:color w:val="000000"/>
          <w:sz w:val="20"/>
          <w:szCs w:val="20"/>
          <w:lang w:eastAsia="uk-UA"/>
        </w:rPr>
        <w:t>of total</w:t>
      </w:r>
      <w:r w:rsidR="00A87232" w:rsidRPr="00EF6048">
        <w:rPr>
          <w:rFonts w:ascii="Arial" w:eastAsia="Times New Roman" w:hAnsi="Arial" w:cs="Arial"/>
          <w:color w:val="000000"/>
          <w:sz w:val="20"/>
          <w:szCs w:val="20"/>
          <w:lang w:eastAsia="uk-UA"/>
        </w:rPr>
        <w:t xml:space="preserve"> Group</w:t>
      </w:r>
      <w:r w:rsidRPr="00EF6048">
        <w:rPr>
          <w:rFonts w:ascii="Arial" w:eastAsia="Times New Roman" w:hAnsi="Arial" w:cs="Arial"/>
          <w:color w:val="000000"/>
          <w:sz w:val="20"/>
          <w:szCs w:val="20"/>
          <w:lang w:eastAsia="uk-UA"/>
        </w:rPr>
        <w:t xml:space="preserve"> revenue</w:t>
      </w:r>
      <w:r w:rsidR="00D73CBB" w:rsidRPr="00EF6048">
        <w:rPr>
          <w:rFonts w:ascii="Arial" w:eastAsia="Times New Roman" w:hAnsi="Arial" w:cs="Arial"/>
          <w:color w:val="000000"/>
          <w:sz w:val="20"/>
          <w:szCs w:val="20"/>
          <w:lang w:eastAsia="uk-UA"/>
        </w:rPr>
        <w:t>)</w:t>
      </w:r>
      <w:r w:rsidR="002B3DFB" w:rsidRPr="00EF6048">
        <w:rPr>
          <w:rFonts w:ascii="Arial" w:eastAsia="Times New Roman" w:hAnsi="Arial" w:cs="Arial"/>
          <w:color w:val="000000"/>
          <w:sz w:val="20"/>
          <w:szCs w:val="20"/>
          <w:lang w:eastAsia="uk-UA"/>
        </w:rPr>
        <w:t>.</w:t>
      </w:r>
    </w:p>
    <w:p w14:paraId="6F2C8883" w14:textId="60E4B2F5" w:rsidR="009137E9" w:rsidRPr="00EF6048" w:rsidRDefault="009137E9"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EF6048">
        <w:rPr>
          <w:rFonts w:ascii="Arial" w:eastAsia="Times New Roman" w:hAnsi="Arial" w:cs="Arial"/>
          <w:color w:val="000000"/>
          <w:sz w:val="20"/>
          <w:szCs w:val="20"/>
          <w:lang w:eastAsia="uk-UA"/>
        </w:rPr>
        <w:t>Operating profit</w:t>
      </w:r>
      <w:r w:rsidR="00A9617A" w:rsidRPr="00EF6048">
        <w:rPr>
          <w:rFonts w:ascii="Arial" w:eastAsia="Times New Roman" w:hAnsi="Arial" w:cs="Arial"/>
          <w:color w:val="000000"/>
          <w:sz w:val="20"/>
          <w:szCs w:val="20"/>
          <w:lang w:eastAsia="uk-UA"/>
        </w:rPr>
        <w:t xml:space="preserve"> of</w:t>
      </w:r>
      <w:r w:rsidRPr="00EF6048">
        <w:rPr>
          <w:rFonts w:ascii="Arial" w:eastAsia="Times New Roman" w:hAnsi="Arial" w:cs="Arial"/>
          <w:color w:val="000000"/>
          <w:sz w:val="20"/>
          <w:szCs w:val="20"/>
          <w:lang w:eastAsia="uk-UA"/>
        </w:rPr>
        <w:t xml:space="preserve"> US$</w:t>
      </w:r>
      <w:r w:rsidR="00EF6048">
        <w:rPr>
          <w:rFonts w:ascii="Arial" w:eastAsia="Times New Roman" w:hAnsi="Arial" w:cs="Arial"/>
          <w:color w:val="000000"/>
          <w:sz w:val="20"/>
          <w:szCs w:val="20"/>
          <w:lang w:val="uk-UA" w:eastAsia="uk-UA"/>
        </w:rPr>
        <w:t xml:space="preserve"> </w:t>
      </w:r>
      <w:r w:rsidR="00DB5AAE" w:rsidRPr="000D120B">
        <w:rPr>
          <w:rFonts w:ascii="Arial" w:eastAsia="Times New Roman" w:hAnsi="Arial" w:cs="Arial"/>
          <w:color w:val="000000"/>
          <w:sz w:val="20"/>
          <w:szCs w:val="20"/>
          <w:lang w:eastAsia="uk-UA"/>
        </w:rPr>
        <w:t>79</w:t>
      </w:r>
      <w:r w:rsidR="002258BA" w:rsidRPr="00EF6048">
        <w:rPr>
          <w:rFonts w:ascii="Arial" w:eastAsia="Times New Roman" w:hAnsi="Arial" w:cs="Arial"/>
          <w:color w:val="000000"/>
          <w:sz w:val="20"/>
          <w:szCs w:val="20"/>
          <w:lang w:eastAsia="uk-UA"/>
        </w:rPr>
        <w:t xml:space="preserve"> </w:t>
      </w:r>
      <w:r w:rsidRPr="00EF6048">
        <w:rPr>
          <w:rFonts w:ascii="Arial" w:eastAsia="Times New Roman" w:hAnsi="Arial" w:cs="Arial"/>
          <w:color w:val="000000"/>
          <w:sz w:val="20"/>
          <w:szCs w:val="20"/>
          <w:lang w:eastAsia="uk-UA"/>
        </w:rPr>
        <w:t>million</w:t>
      </w:r>
      <w:r w:rsidR="006B16FB" w:rsidRPr="00EF6048">
        <w:rPr>
          <w:rFonts w:ascii="Arial" w:eastAsia="Times New Roman" w:hAnsi="Arial" w:cs="Arial"/>
          <w:color w:val="000000"/>
          <w:sz w:val="20"/>
          <w:szCs w:val="20"/>
          <w:lang w:eastAsia="uk-UA"/>
        </w:rPr>
        <w:t>,</w:t>
      </w:r>
      <w:r w:rsidR="00F6461D" w:rsidRPr="00EF6048">
        <w:rPr>
          <w:rFonts w:ascii="Arial" w:eastAsia="Times New Roman" w:hAnsi="Arial" w:cs="Arial"/>
          <w:color w:val="000000"/>
          <w:sz w:val="20"/>
          <w:szCs w:val="20"/>
          <w:lang w:eastAsia="uk-UA"/>
        </w:rPr>
        <w:t xml:space="preserve"> an</w:t>
      </w:r>
      <w:r w:rsidR="00AF78DF" w:rsidRPr="00EF6048">
        <w:rPr>
          <w:rFonts w:ascii="Arial" w:eastAsia="Times New Roman" w:hAnsi="Arial" w:cs="Arial"/>
          <w:color w:val="000000"/>
          <w:sz w:val="20"/>
          <w:szCs w:val="20"/>
          <w:lang w:eastAsia="uk-UA"/>
        </w:rPr>
        <w:t xml:space="preserve"> </w:t>
      </w:r>
      <w:r w:rsidR="009432C8">
        <w:rPr>
          <w:rFonts w:ascii="Arial" w:eastAsia="Times New Roman" w:hAnsi="Arial" w:cs="Arial"/>
          <w:color w:val="000000"/>
          <w:sz w:val="20"/>
          <w:szCs w:val="20"/>
          <w:lang w:eastAsia="uk-UA"/>
        </w:rPr>
        <w:t>de</w:t>
      </w:r>
      <w:r w:rsidR="00B239F4" w:rsidRPr="00EF6048">
        <w:rPr>
          <w:rFonts w:ascii="Arial" w:eastAsia="Times New Roman" w:hAnsi="Arial" w:cs="Arial"/>
          <w:color w:val="000000"/>
          <w:sz w:val="20"/>
          <w:szCs w:val="20"/>
          <w:lang w:eastAsia="uk-UA"/>
        </w:rPr>
        <w:t>c</w:t>
      </w:r>
      <w:r w:rsidR="00AF78DF" w:rsidRPr="00EF6048">
        <w:rPr>
          <w:rFonts w:ascii="Arial" w:eastAsia="Times New Roman" w:hAnsi="Arial" w:cs="Arial"/>
          <w:color w:val="000000"/>
          <w:sz w:val="20"/>
          <w:szCs w:val="20"/>
          <w:lang w:eastAsia="uk-UA"/>
        </w:rPr>
        <w:t xml:space="preserve">rease </w:t>
      </w:r>
      <w:r w:rsidR="00F6461D" w:rsidRPr="00EF6048">
        <w:rPr>
          <w:rFonts w:ascii="Arial" w:eastAsia="Times New Roman" w:hAnsi="Arial" w:cs="Arial"/>
          <w:color w:val="000000"/>
          <w:sz w:val="20"/>
          <w:szCs w:val="20"/>
          <w:lang w:eastAsia="uk-UA"/>
        </w:rPr>
        <w:t>of</w:t>
      </w:r>
      <w:r w:rsidR="00F6461D" w:rsidRPr="00EF6048" w:rsidDel="00AF78DF">
        <w:rPr>
          <w:rFonts w:ascii="Arial" w:eastAsia="Times New Roman" w:hAnsi="Arial" w:cs="Arial"/>
          <w:color w:val="000000"/>
          <w:sz w:val="20"/>
          <w:szCs w:val="20"/>
          <w:lang w:eastAsia="uk-UA"/>
        </w:rPr>
        <w:t xml:space="preserve"> </w:t>
      </w:r>
      <w:r w:rsidR="00DB5AAE" w:rsidRPr="000D120B">
        <w:rPr>
          <w:rFonts w:ascii="Arial" w:eastAsia="Times New Roman" w:hAnsi="Arial" w:cs="Arial"/>
          <w:color w:val="000000"/>
          <w:sz w:val="20"/>
          <w:szCs w:val="20"/>
          <w:lang w:eastAsia="uk-UA"/>
        </w:rPr>
        <w:t>12%</w:t>
      </w:r>
      <w:r w:rsidR="00AF78DF" w:rsidRPr="00EF6048">
        <w:rPr>
          <w:rFonts w:ascii="Arial" w:eastAsia="Times New Roman" w:hAnsi="Arial" w:cs="Arial"/>
          <w:color w:val="000000"/>
          <w:sz w:val="20"/>
          <w:szCs w:val="20"/>
          <w:lang w:eastAsia="uk-UA"/>
        </w:rPr>
        <w:t xml:space="preserve"> </w:t>
      </w:r>
      <w:r w:rsidR="00290811" w:rsidRPr="00EF6048">
        <w:rPr>
          <w:rFonts w:ascii="Arial" w:eastAsia="Times New Roman" w:hAnsi="Arial" w:cs="Arial"/>
          <w:color w:val="000000"/>
          <w:sz w:val="20"/>
          <w:szCs w:val="20"/>
          <w:lang w:eastAsia="uk-UA"/>
        </w:rPr>
        <w:t>y/y</w:t>
      </w:r>
      <w:r w:rsidR="00F6461D" w:rsidRPr="00EF6048">
        <w:rPr>
          <w:rFonts w:ascii="Arial" w:eastAsia="Times New Roman" w:hAnsi="Arial" w:cs="Arial"/>
          <w:color w:val="000000"/>
          <w:sz w:val="20"/>
          <w:szCs w:val="20"/>
          <w:lang w:eastAsia="uk-UA"/>
        </w:rPr>
        <w:t xml:space="preserve"> (Q4</w:t>
      </w:r>
      <w:r w:rsidR="006E3A9C" w:rsidRPr="00EF6048">
        <w:rPr>
          <w:rFonts w:ascii="Arial" w:eastAsia="Times New Roman" w:hAnsi="Arial" w:cs="Arial"/>
          <w:color w:val="000000"/>
          <w:sz w:val="20"/>
          <w:szCs w:val="20"/>
          <w:lang w:eastAsia="uk-UA"/>
        </w:rPr>
        <w:t xml:space="preserve"> 2021</w:t>
      </w:r>
      <w:r w:rsidR="00F6461D" w:rsidRPr="00EF6048">
        <w:rPr>
          <w:rFonts w:ascii="Arial" w:eastAsia="Times New Roman" w:hAnsi="Arial" w:cs="Arial"/>
          <w:color w:val="000000"/>
          <w:sz w:val="20"/>
          <w:szCs w:val="20"/>
          <w:lang w:eastAsia="uk-UA"/>
        </w:rPr>
        <w:t xml:space="preserve">: US$ </w:t>
      </w:r>
      <w:r w:rsidR="00DB5AAE" w:rsidRPr="000D120B">
        <w:rPr>
          <w:rFonts w:ascii="Arial" w:eastAsia="Times New Roman" w:hAnsi="Arial" w:cs="Arial"/>
          <w:color w:val="000000"/>
          <w:sz w:val="20"/>
          <w:szCs w:val="20"/>
          <w:lang w:eastAsia="uk-UA"/>
        </w:rPr>
        <w:t>90</w:t>
      </w:r>
      <w:r w:rsidR="00F6461D" w:rsidRPr="00EF6048">
        <w:rPr>
          <w:rFonts w:ascii="Arial" w:eastAsia="Times New Roman" w:hAnsi="Arial" w:cs="Arial"/>
          <w:color w:val="000000"/>
          <w:sz w:val="20"/>
          <w:szCs w:val="20"/>
          <w:lang w:eastAsia="uk-UA"/>
        </w:rPr>
        <w:t>)</w:t>
      </w:r>
      <w:r w:rsidR="00B77BEE" w:rsidRPr="00EF6048">
        <w:rPr>
          <w:rFonts w:ascii="Arial" w:eastAsia="Times New Roman" w:hAnsi="Arial" w:cs="Arial"/>
          <w:color w:val="000000"/>
          <w:sz w:val="20"/>
          <w:szCs w:val="20"/>
          <w:lang w:eastAsia="uk-UA"/>
        </w:rPr>
        <w:t xml:space="preserve">; </w:t>
      </w:r>
      <w:r w:rsidRPr="00EF6048">
        <w:rPr>
          <w:rFonts w:ascii="Arial" w:eastAsia="Times New Roman" w:hAnsi="Arial" w:cs="Arial"/>
          <w:color w:val="000000"/>
          <w:sz w:val="20"/>
          <w:szCs w:val="20"/>
          <w:lang w:eastAsia="uk-UA"/>
        </w:rPr>
        <w:t xml:space="preserve">operating margin </w:t>
      </w:r>
      <w:r w:rsidR="009432C8">
        <w:rPr>
          <w:rFonts w:ascii="Arial" w:eastAsia="Times New Roman" w:hAnsi="Arial" w:cs="Arial"/>
          <w:color w:val="000000"/>
          <w:sz w:val="20"/>
          <w:szCs w:val="20"/>
          <w:lang w:eastAsia="uk-UA"/>
        </w:rPr>
        <w:t>de</w:t>
      </w:r>
      <w:r w:rsidR="009432C8" w:rsidRPr="00EF6048">
        <w:rPr>
          <w:rFonts w:ascii="Arial" w:eastAsia="Times New Roman" w:hAnsi="Arial" w:cs="Arial"/>
          <w:color w:val="000000"/>
          <w:sz w:val="20"/>
          <w:szCs w:val="20"/>
          <w:lang w:eastAsia="uk-UA"/>
        </w:rPr>
        <w:t xml:space="preserve">creased </w:t>
      </w:r>
      <w:r w:rsidR="00335E6A" w:rsidRPr="00EF6048">
        <w:rPr>
          <w:rFonts w:ascii="Arial" w:eastAsia="Times New Roman" w:hAnsi="Arial" w:cs="Arial"/>
          <w:color w:val="000000"/>
          <w:sz w:val="20"/>
          <w:szCs w:val="20"/>
          <w:lang w:eastAsia="uk-UA"/>
        </w:rPr>
        <w:t>to</w:t>
      </w:r>
      <w:r w:rsidRPr="00EF6048">
        <w:rPr>
          <w:rFonts w:ascii="Arial" w:eastAsia="Times New Roman" w:hAnsi="Arial" w:cs="Arial"/>
          <w:color w:val="000000"/>
          <w:sz w:val="20"/>
          <w:szCs w:val="20"/>
          <w:lang w:eastAsia="uk-UA"/>
        </w:rPr>
        <w:t xml:space="preserve"> </w:t>
      </w:r>
      <w:r w:rsidR="00DB5AAE" w:rsidRPr="000D120B">
        <w:rPr>
          <w:rFonts w:ascii="Arial" w:eastAsia="Times New Roman" w:hAnsi="Arial" w:cs="Arial"/>
          <w:color w:val="000000"/>
          <w:sz w:val="20"/>
          <w:szCs w:val="20"/>
          <w:lang w:eastAsia="uk-UA"/>
        </w:rPr>
        <w:t>10%</w:t>
      </w:r>
      <w:r w:rsidR="00335E6A" w:rsidRPr="00EF6048">
        <w:rPr>
          <w:rFonts w:ascii="Arial" w:eastAsia="Times New Roman" w:hAnsi="Arial" w:cs="Arial"/>
          <w:color w:val="000000"/>
          <w:sz w:val="20"/>
          <w:szCs w:val="20"/>
          <w:lang w:eastAsia="uk-UA"/>
        </w:rPr>
        <w:t xml:space="preserve"> (Q</w:t>
      </w:r>
      <w:r w:rsidR="00E152E5" w:rsidRPr="00EF6048">
        <w:rPr>
          <w:rFonts w:ascii="Arial" w:eastAsia="Times New Roman" w:hAnsi="Arial" w:cs="Arial"/>
          <w:color w:val="000000"/>
          <w:sz w:val="20"/>
          <w:szCs w:val="20"/>
          <w:lang w:eastAsia="uk-UA"/>
        </w:rPr>
        <w:t>4</w:t>
      </w:r>
      <w:r w:rsidR="00335E6A" w:rsidRPr="00EF6048">
        <w:rPr>
          <w:rFonts w:ascii="Arial" w:eastAsia="Times New Roman" w:hAnsi="Arial" w:cs="Arial"/>
          <w:color w:val="000000"/>
          <w:sz w:val="20"/>
          <w:szCs w:val="20"/>
          <w:lang w:eastAsia="uk-UA"/>
        </w:rPr>
        <w:t xml:space="preserve"> 2021: </w:t>
      </w:r>
      <w:r w:rsidR="00DB5AAE" w:rsidRPr="000D120B">
        <w:rPr>
          <w:rFonts w:ascii="Arial" w:eastAsia="Times New Roman" w:hAnsi="Arial" w:cs="Arial"/>
          <w:color w:val="000000"/>
          <w:sz w:val="20"/>
          <w:szCs w:val="20"/>
          <w:lang w:eastAsia="uk-UA"/>
        </w:rPr>
        <w:t>12%</w:t>
      </w:r>
      <w:r w:rsidR="00335E6A" w:rsidRPr="00EF6048">
        <w:rPr>
          <w:rFonts w:ascii="Arial" w:eastAsia="Times New Roman" w:hAnsi="Arial" w:cs="Arial"/>
          <w:color w:val="000000"/>
          <w:sz w:val="20"/>
          <w:szCs w:val="20"/>
          <w:lang w:eastAsia="uk-UA"/>
        </w:rPr>
        <w:t>)</w:t>
      </w:r>
      <w:r w:rsidR="00132D23" w:rsidRPr="00EF6048">
        <w:rPr>
          <w:rFonts w:ascii="Arial" w:eastAsia="Times New Roman" w:hAnsi="Arial" w:cs="Arial"/>
          <w:color w:val="000000"/>
          <w:sz w:val="20"/>
          <w:szCs w:val="20"/>
          <w:lang w:eastAsia="uk-UA"/>
        </w:rPr>
        <w:t>.</w:t>
      </w:r>
    </w:p>
    <w:p w14:paraId="1A7E0899" w14:textId="453A2849" w:rsidR="009137E9" w:rsidRPr="00EF6048" w:rsidRDefault="00D176BA"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EF6048">
        <w:rPr>
          <w:rFonts w:ascii="Arial" w:eastAsia="Times New Roman" w:hAnsi="Arial" w:cs="Arial"/>
          <w:color w:val="000000"/>
          <w:sz w:val="20"/>
          <w:szCs w:val="20"/>
          <w:lang w:eastAsia="uk-UA"/>
        </w:rPr>
        <w:t xml:space="preserve">Adjusted </w:t>
      </w:r>
      <w:r w:rsidR="009137E9" w:rsidRPr="00EF6048">
        <w:rPr>
          <w:rFonts w:ascii="Arial" w:eastAsia="Times New Roman" w:hAnsi="Arial" w:cs="Arial"/>
          <w:color w:val="000000"/>
          <w:sz w:val="20"/>
          <w:szCs w:val="20"/>
          <w:lang w:eastAsia="uk-UA"/>
        </w:rPr>
        <w:t xml:space="preserve">EBITDA </w:t>
      </w:r>
      <w:r w:rsidR="00BE6966" w:rsidRPr="00EF6048">
        <w:rPr>
          <w:rFonts w:ascii="Arial" w:eastAsia="Times New Roman" w:hAnsi="Arial" w:cs="Arial"/>
          <w:color w:val="000000"/>
          <w:sz w:val="20"/>
          <w:szCs w:val="20"/>
          <w:lang w:eastAsia="uk-UA"/>
        </w:rPr>
        <w:t>(net of IFRS 16)</w:t>
      </w:r>
      <w:r w:rsidR="009137E9" w:rsidRPr="00EF6048">
        <w:rPr>
          <w:rFonts w:ascii="Arial" w:eastAsia="Times New Roman" w:hAnsi="Arial" w:cs="Arial"/>
          <w:color w:val="000000"/>
          <w:sz w:val="20"/>
          <w:szCs w:val="20"/>
          <w:lang w:eastAsia="uk-UA"/>
        </w:rPr>
        <w:t xml:space="preserve"> </w:t>
      </w:r>
      <w:r w:rsidR="00B239F4" w:rsidRPr="00EF6048">
        <w:rPr>
          <w:rFonts w:ascii="Arial" w:eastAsia="Times New Roman" w:hAnsi="Arial" w:cs="Arial"/>
          <w:color w:val="000000"/>
          <w:sz w:val="20"/>
          <w:szCs w:val="20"/>
          <w:lang w:eastAsia="uk-UA"/>
        </w:rPr>
        <w:t>de</w:t>
      </w:r>
      <w:r w:rsidR="005203A3" w:rsidRPr="00EF6048">
        <w:rPr>
          <w:rFonts w:ascii="Arial" w:eastAsia="Times New Roman" w:hAnsi="Arial" w:cs="Arial"/>
          <w:color w:val="000000"/>
          <w:sz w:val="20"/>
          <w:szCs w:val="20"/>
          <w:lang w:eastAsia="uk-UA"/>
        </w:rPr>
        <w:t>creased</w:t>
      </w:r>
      <w:r w:rsidR="006E3A9C" w:rsidRPr="00EF6048">
        <w:rPr>
          <w:rFonts w:ascii="Arial" w:eastAsia="Times New Roman" w:hAnsi="Arial" w:cs="Arial"/>
          <w:color w:val="000000"/>
          <w:sz w:val="20"/>
          <w:szCs w:val="20"/>
          <w:lang w:eastAsia="uk-UA"/>
        </w:rPr>
        <w:t xml:space="preserve"> </w:t>
      </w:r>
      <w:r w:rsidR="00DB5AAE" w:rsidRPr="000D120B">
        <w:rPr>
          <w:rFonts w:ascii="Arial" w:eastAsia="Times New Roman" w:hAnsi="Arial" w:cs="Arial"/>
          <w:color w:val="000000"/>
          <w:sz w:val="20"/>
          <w:szCs w:val="20"/>
          <w:lang w:eastAsia="uk-UA"/>
        </w:rPr>
        <w:t>16%</w:t>
      </w:r>
      <w:r w:rsidR="006E3A9C" w:rsidRPr="00EF6048">
        <w:rPr>
          <w:rFonts w:ascii="Arial" w:eastAsia="Times New Roman" w:hAnsi="Arial" w:cs="Arial"/>
          <w:color w:val="000000"/>
          <w:sz w:val="20"/>
          <w:szCs w:val="20"/>
          <w:lang w:eastAsia="uk-UA"/>
        </w:rPr>
        <w:t xml:space="preserve"> y/y</w:t>
      </w:r>
      <w:r w:rsidR="00F517C2" w:rsidRPr="00EF6048">
        <w:rPr>
          <w:rFonts w:ascii="Arial" w:eastAsia="Times New Roman" w:hAnsi="Arial" w:cs="Arial"/>
          <w:color w:val="000000"/>
          <w:sz w:val="20"/>
          <w:szCs w:val="20"/>
          <w:lang w:eastAsia="uk-UA"/>
        </w:rPr>
        <w:t xml:space="preserve"> </w:t>
      </w:r>
      <w:r w:rsidR="009137E9" w:rsidRPr="00EF6048">
        <w:rPr>
          <w:rFonts w:ascii="Arial" w:eastAsia="Times New Roman" w:hAnsi="Arial" w:cs="Arial"/>
          <w:color w:val="000000"/>
          <w:sz w:val="20"/>
          <w:szCs w:val="20"/>
          <w:lang w:eastAsia="uk-UA"/>
        </w:rPr>
        <w:t>to</w:t>
      </w:r>
      <w:r w:rsidR="00775A7F" w:rsidRPr="00EF6048">
        <w:rPr>
          <w:rFonts w:ascii="Arial" w:eastAsia="Times New Roman" w:hAnsi="Arial" w:cs="Arial"/>
          <w:color w:val="000000"/>
          <w:sz w:val="20"/>
          <w:szCs w:val="20"/>
          <w:lang w:eastAsia="uk-UA"/>
        </w:rPr>
        <w:t xml:space="preserve"> US$</w:t>
      </w:r>
      <w:r w:rsidR="00CD01E1" w:rsidRPr="00EF6048">
        <w:rPr>
          <w:rFonts w:ascii="Arial" w:eastAsia="Times New Roman" w:hAnsi="Arial" w:cs="Arial"/>
          <w:color w:val="000000"/>
          <w:sz w:val="20"/>
          <w:szCs w:val="20"/>
          <w:lang w:eastAsia="uk-UA"/>
        </w:rPr>
        <w:t xml:space="preserve"> </w:t>
      </w:r>
      <w:r w:rsidR="00DB5AAE" w:rsidRPr="000D120B">
        <w:rPr>
          <w:rFonts w:ascii="Arial" w:eastAsia="Times New Roman" w:hAnsi="Arial" w:cs="Arial"/>
          <w:color w:val="000000"/>
          <w:sz w:val="20"/>
          <w:szCs w:val="20"/>
          <w:lang w:eastAsia="uk-UA"/>
        </w:rPr>
        <w:t>109</w:t>
      </w:r>
      <w:r w:rsidR="00E5373E" w:rsidRPr="00EF6048">
        <w:rPr>
          <w:rFonts w:ascii="Arial" w:eastAsia="Times New Roman" w:hAnsi="Arial" w:cs="Arial"/>
          <w:color w:val="000000"/>
          <w:sz w:val="20"/>
          <w:szCs w:val="20"/>
          <w:lang w:eastAsia="uk-UA"/>
        </w:rPr>
        <w:t xml:space="preserve"> </w:t>
      </w:r>
      <w:r w:rsidR="00775A7F" w:rsidRPr="00EF6048">
        <w:rPr>
          <w:rFonts w:ascii="Arial" w:eastAsia="Times New Roman" w:hAnsi="Arial" w:cs="Arial"/>
          <w:color w:val="000000"/>
          <w:sz w:val="20"/>
          <w:szCs w:val="20"/>
          <w:lang w:eastAsia="uk-UA"/>
        </w:rPr>
        <w:t xml:space="preserve">million </w:t>
      </w:r>
      <w:r w:rsidR="006E3A9C" w:rsidRPr="00EF6048">
        <w:rPr>
          <w:rFonts w:ascii="Arial" w:eastAsia="Times New Roman" w:hAnsi="Arial" w:cs="Arial"/>
          <w:color w:val="000000"/>
          <w:sz w:val="20"/>
          <w:szCs w:val="20"/>
          <w:lang w:eastAsia="uk-UA"/>
        </w:rPr>
        <w:t xml:space="preserve">(Q4 2021: </w:t>
      </w:r>
      <w:r w:rsidR="00775A7F" w:rsidRPr="00EF6048">
        <w:rPr>
          <w:rFonts w:ascii="Arial" w:eastAsia="Times New Roman" w:hAnsi="Arial" w:cs="Arial"/>
          <w:color w:val="000000"/>
          <w:sz w:val="20"/>
          <w:szCs w:val="20"/>
          <w:lang w:eastAsia="uk-UA"/>
        </w:rPr>
        <w:t>US$</w:t>
      </w:r>
      <w:r w:rsidR="003C0E32" w:rsidRPr="00EF6048">
        <w:rPr>
          <w:rFonts w:ascii="Arial" w:eastAsia="Times New Roman" w:hAnsi="Arial" w:cs="Arial"/>
          <w:color w:val="000000"/>
          <w:sz w:val="20"/>
          <w:szCs w:val="20"/>
          <w:lang w:eastAsia="uk-UA"/>
        </w:rPr>
        <w:t xml:space="preserve"> </w:t>
      </w:r>
      <w:r w:rsidR="00DB5AAE" w:rsidRPr="000D120B">
        <w:rPr>
          <w:rFonts w:ascii="Arial" w:eastAsia="Times New Roman" w:hAnsi="Arial" w:cs="Arial"/>
          <w:color w:val="000000"/>
          <w:sz w:val="20"/>
          <w:szCs w:val="20"/>
          <w:lang w:eastAsia="uk-UA"/>
        </w:rPr>
        <w:t>129</w:t>
      </w:r>
      <w:r w:rsidR="00775A7F" w:rsidRPr="00EF6048">
        <w:rPr>
          <w:rFonts w:ascii="Arial" w:eastAsia="Times New Roman" w:hAnsi="Arial" w:cs="Arial"/>
          <w:color w:val="000000"/>
          <w:sz w:val="20"/>
          <w:szCs w:val="20"/>
          <w:lang w:eastAsia="uk-UA"/>
        </w:rPr>
        <w:t xml:space="preserve"> million</w:t>
      </w:r>
      <w:r w:rsidR="006E3A9C" w:rsidRPr="00EF6048">
        <w:rPr>
          <w:rFonts w:ascii="Arial" w:eastAsia="Times New Roman" w:hAnsi="Arial" w:cs="Arial"/>
          <w:color w:val="000000"/>
          <w:sz w:val="20"/>
          <w:szCs w:val="20"/>
          <w:lang w:eastAsia="uk-UA"/>
        </w:rPr>
        <w:t>)</w:t>
      </w:r>
      <w:r w:rsidR="00266237" w:rsidRPr="00EF6048">
        <w:rPr>
          <w:rFonts w:ascii="Arial" w:eastAsia="Times New Roman" w:hAnsi="Arial" w:cs="Arial"/>
          <w:color w:val="000000"/>
          <w:sz w:val="20"/>
          <w:szCs w:val="20"/>
          <w:lang w:eastAsia="uk-UA"/>
        </w:rPr>
        <w:t xml:space="preserve">; </w:t>
      </w:r>
      <w:r w:rsidRPr="00EF6048">
        <w:rPr>
          <w:rFonts w:ascii="Arial" w:eastAsia="Times New Roman" w:hAnsi="Arial" w:cs="Arial"/>
          <w:color w:val="000000"/>
          <w:sz w:val="20"/>
          <w:szCs w:val="20"/>
          <w:lang w:eastAsia="uk-UA"/>
        </w:rPr>
        <w:t xml:space="preserve">adjusted </w:t>
      </w:r>
      <w:r w:rsidR="00266237" w:rsidRPr="00EF6048">
        <w:rPr>
          <w:rFonts w:ascii="Arial" w:eastAsia="Times New Roman" w:hAnsi="Arial" w:cs="Arial"/>
          <w:color w:val="000000"/>
          <w:sz w:val="20"/>
          <w:szCs w:val="20"/>
          <w:lang w:eastAsia="uk-UA"/>
        </w:rPr>
        <w:t>EBITDA</w:t>
      </w:r>
      <w:r w:rsidR="00775A7F" w:rsidRPr="00EF6048">
        <w:rPr>
          <w:rFonts w:ascii="Arial" w:eastAsia="Times New Roman" w:hAnsi="Arial" w:cs="Arial"/>
          <w:color w:val="000000"/>
          <w:sz w:val="20"/>
          <w:szCs w:val="20"/>
          <w:lang w:eastAsia="uk-UA"/>
        </w:rPr>
        <w:t xml:space="preserve"> margin</w:t>
      </w:r>
      <w:r w:rsidR="00266237" w:rsidRPr="00EF6048">
        <w:rPr>
          <w:rFonts w:ascii="Arial" w:eastAsia="Times New Roman" w:hAnsi="Arial" w:cs="Arial"/>
          <w:color w:val="000000"/>
          <w:sz w:val="20"/>
          <w:szCs w:val="20"/>
          <w:lang w:eastAsia="uk-UA"/>
        </w:rPr>
        <w:t xml:space="preserve"> </w:t>
      </w:r>
      <w:r w:rsidR="00BE6966" w:rsidRPr="00EF6048">
        <w:rPr>
          <w:rFonts w:ascii="Arial" w:eastAsia="Times New Roman" w:hAnsi="Arial" w:cs="Arial"/>
          <w:color w:val="000000"/>
          <w:sz w:val="20"/>
          <w:szCs w:val="20"/>
          <w:lang w:eastAsia="uk-UA"/>
        </w:rPr>
        <w:t xml:space="preserve">(net of IFRS 16) </w:t>
      </w:r>
      <w:r w:rsidR="00274398" w:rsidRPr="00EF6048">
        <w:rPr>
          <w:rFonts w:ascii="Arial" w:eastAsia="Times New Roman" w:hAnsi="Arial" w:cs="Arial"/>
          <w:color w:val="000000"/>
          <w:sz w:val="20"/>
          <w:szCs w:val="20"/>
          <w:lang w:eastAsia="uk-UA"/>
        </w:rPr>
        <w:t>de</w:t>
      </w:r>
      <w:r w:rsidR="00266237" w:rsidRPr="00EF6048">
        <w:rPr>
          <w:rFonts w:ascii="Arial" w:eastAsia="Times New Roman" w:hAnsi="Arial" w:cs="Arial"/>
          <w:color w:val="000000"/>
          <w:sz w:val="20"/>
          <w:szCs w:val="20"/>
          <w:lang w:eastAsia="uk-UA"/>
        </w:rPr>
        <w:t xml:space="preserve">creased </w:t>
      </w:r>
      <w:r w:rsidR="009C6895" w:rsidRPr="00EF6048">
        <w:rPr>
          <w:rFonts w:ascii="Arial" w:eastAsia="Times New Roman" w:hAnsi="Arial" w:cs="Arial"/>
          <w:color w:val="000000"/>
          <w:sz w:val="20"/>
          <w:szCs w:val="20"/>
          <w:lang w:eastAsia="uk-UA"/>
        </w:rPr>
        <w:t>to</w:t>
      </w:r>
      <w:r w:rsidR="005D6320" w:rsidRPr="00EF6048">
        <w:rPr>
          <w:rFonts w:ascii="Arial" w:eastAsia="Times New Roman" w:hAnsi="Arial" w:cs="Arial"/>
          <w:color w:val="000000"/>
          <w:sz w:val="20"/>
          <w:szCs w:val="20"/>
          <w:lang w:eastAsia="uk-UA"/>
        </w:rPr>
        <w:t xml:space="preserve"> </w:t>
      </w:r>
      <w:r w:rsidR="00DB5AAE" w:rsidRPr="000D120B">
        <w:rPr>
          <w:rFonts w:ascii="Arial" w:eastAsia="Times New Roman" w:hAnsi="Arial" w:cs="Arial"/>
          <w:color w:val="000000"/>
          <w:sz w:val="20"/>
          <w:szCs w:val="20"/>
          <w:lang w:eastAsia="uk-UA"/>
        </w:rPr>
        <w:t>14%</w:t>
      </w:r>
      <w:r w:rsidR="00775A7F" w:rsidRPr="00EF6048">
        <w:rPr>
          <w:rFonts w:ascii="Arial" w:eastAsia="Times New Roman" w:hAnsi="Arial" w:cs="Arial"/>
          <w:color w:val="000000"/>
          <w:sz w:val="20"/>
          <w:szCs w:val="20"/>
          <w:lang w:eastAsia="uk-UA"/>
        </w:rPr>
        <w:t xml:space="preserve"> </w:t>
      </w:r>
      <w:r w:rsidR="006E3A9C" w:rsidRPr="00EF6048">
        <w:rPr>
          <w:rFonts w:ascii="Arial" w:eastAsia="Times New Roman" w:hAnsi="Arial" w:cs="Arial"/>
          <w:color w:val="000000"/>
          <w:sz w:val="20"/>
          <w:szCs w:val="20"/>
          <w:lang w:eastAsia="uk-UA"/>
        </w:rPr>
        <w:t xml:space="preserve">(Q4 2021: </w:t>
      </w:r>
      <w:r w:rsidR="00DB5AAE" w:rsidRPr="000D120B">
        <w:rPr>
          <w:rFonts w:ascii="Arial" w:eastAsia="Times New Roman" w:hAnsi="Arial" w:cs="Arial"/>
          <w:color w:val="000000"/>
          <w:sz w:val="20"/>
          <w:szCs w:val="20"/>
          <w:lang w:eastAsia="uk-UA"/>
        </w:rPr>
        <w:t>18%</w:t>
      </w:r>
      <w:r w:rsidR="006E3A9C" w:rsidRPr="00EF6048">
        <w:rPr>
          <w:rFonts w:ascii="Arial" w:eastAsia="Times New Roman" w:hAnsi="Arial" w:cs="Arial"/>
          <w:color w:val="000000"/>
          <w:sz w:val="20"/>
          <w:szCs w:val="20"/>
          <w:lang w:eastAsia="uk-UA"/>
        </w:rPr>
        <w:t>)</w:t>
      </w:r>
      <w:r w:rsidR="00775A7F" w:rsidRPr="00EF6048">
        <w:rPr>
          <w:rFonts w:ascii="Arial" w:eastAsia="Times New Roman" w:hAnsi="Arial" w:cs="Arial"/>
          <w:color w:val="000000"/>
          <w:sz w:val="20"/>
          <w:szCs w:val="20"/>
          <w:lang w:eastAsia="uk-UA"/>
        </w:rPr>
        <w:t>.</w:t>
      </w:r>
    </w:p>
    <w:p w14:paraId="5ED1CA28" w14:textId="3FA82810" w:rsidR="00CB1414" w:rsidRPr="00EF6048" w:rsidRDefault="00537A04"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EF6048">
        <w:rPr>
          <w:rFonts w:ascii="Arial" w:eastAsia="Times New Roman" w:hAnsi="Arial" w:cs="Arial"/>
          <w:color w:val="000000"/>
          <w:sz w:val="20"/>
          <w:szCs w:val="20"/>
          <w:lang w:eastAsia="uk-UA"/>
        </w:rPr>
        <w:t xml:space="preserve">Net </w:t>
      </w:r>
      <w:r w:rsidR="00D43A49" w:rsidRPr="00EF6048">
        <w:rPr>
          <w:rFonts w:ascii="Arial" w:eastAsia="Times New Roman" w:hAnsi="Arial" w:cs="Arial"/>
          <w:color w:val="000000"/>
          <w:sz w:val="20"/>
          <w:szCs w:val="20"/>
          <w:lang w:eastAsia="uk-UA"/>
        </w:rPr>
        <w:t>profit</w:t>
      </w:r>
      <w:r w:rsidR="00FB6549" w:rsidRPr="00EF6048">
        <w:rPr>
          <w:rFonts w:ascii="Arial" w:eastAsia="Times New Roman" w:hAnsi="Arial" w:cs="Arial"/>
          <w:color w:val="000000"/>
          <w:sz w:val="20"/>
          <w:szCs w:val="20"/>
          <w:lang w:eastAsia="uk-UA"/>
        </w:rPr>
        <w:t xml:space="preserve"> </w:t>
      </w:r>
      <w:r w:rsidR="001907C7" w:rsidRPr="00EF6048">
        <w:rPr>
          <w:rFonts w:ascii="Arial" w:eastAsia="Times New Roman" w:hAnsi="Arial" w:cs="Arial"/>
          <w:color w:val="000000"/>
          <w:sz w:val="20"/>
          <w:szCs w:val="20"/>
          <w:lang w:eastAsia="uk-UA"/>
        </w:rPr>
        <w:t>of</w:t>
      </w:r>
      <w:r w:rsidR="00F5447C" w:rsidRPr="00EF6048">
        <w:rPr>
          <w:rFonts w:ascii="Arial" w:eastAsia="Times New Roman" w:hAnsi="Arial" w:cs="Arial"/>
          <w:color w:val="000000"/>
          <w:sz w:val="20"/>
          <w:szCs w:val="20"/>
          <w:lang w:eastAsia="uk-UA"/>
        </w:rPr>
        <w:t xml:space="preserve"> </w:t>
      </w:r>
      <w:r w:rsidR="005D6320" w:rsidRPr="00EF6048">
        <w:rPr>
          <w:rFonts w:ascii="Arial" w:eastAsia="Times New Roman" w:hAnsi="Arial" w:cs="Arial"/>
          <w:color w:val="000000"/>
          <w:sz w:val="20"/>
          <w:szCs w:val="20"/>
          <w:lang w:eastAsia="uk-UA"/>
        </w:rPr>
        <w:t>US$</w:t>
      </w:r>
      <w:r w:rsidR="00676347" w:rsidRPr="00EF6048">
        <w:rPr>
          <w:rFonts w:ascii="Arial" w:eastAsia="Times New Roman" w:hAnsi="Arial" w:cs="Arial"/>
          <w:color w:val="000000"/>
          <w:sz w:val="20"/>
          <w:szCs w:val="20"/>
          <w:lang w:eastAsia="uk-UA"/>
        </w:rPr>
        <w:t xml:space="preserve"> </w:t>
      </w:r>
      <w:r w:rsidR="00BA054D" w:rsidRPr="000D120B">
        <w:rPr>
          <w:rFonts w:ascii="Arial" w:eastAsia="Times New Roman" w:hAnsi="Arial" w:cs="Arial"/>
          <w:color w:val="000000"/>
          <w:sz w:val="20"/>
          <w:szCs w:val="20"/>
          <w:lang w:eastAsia="uk-UA"/>
        </w:rPr>
        <w:t>38</w:t>
      </w:r>
      <w:r w:rsidR="00D43A49" w:rsidRPr="00EF6048">
        <w:rPr>
          <w:rFonts w:ascii="Arial" w:eastAsia="Times New Roman" w:hAnsi="Arial" w:cs="Arial"/>
          <w:color w:val="000000"/>
          <w:sz w:val="20"/>
          <w:szCs w:val="20"/>
          <w:lang w:eastAsia="uk-UA"/>
        </w:rPr>
        <w:t xml:space="preserve"> </w:t>
      </w:r>
      <w:r w:rsidRPr="00EF6048">
        <w:rPr>
          <w:rFonts w:ascii="Arial" w:eastAsia="Times New Roman" w:hAnsi="Arial" w:cs="Arial"/>
          <w:color w:val="000000"/>
          <w:sz w:val="20"/>
          <w:szCs w:val="20"/>
          <w:lang w:eastAsia="uk-UA"/>
        </w:rPr>
        <w:t>million</w:t>
      </w:r>
      <w:r w:rsidR="00E8229A" w:rsidRPr="00EF6048">
        <w:rPr>
          <w:rFonts w:ascii="Arial" w:eastAsia="Times New Roman" w:hAnsi="Arial" w:cs="Arial"/>
          <w:color w:val="000000"/>
          <w:sz w:val="20"/>
          <w:szCs w:val="20"/>
          <w:lang w:eastAsia="uk-UA"/>
        </w:rPr>
        <w:t xml:space="preserve"> </w:t>
      </w:r>
      <w:r w:rsidR="001907C7" w:rsidRPr="00EF6048">
        <w:rPr>
          <w:rFonts w:ascii="Arial" w:eastAsia="Times New Roman" w:hAnsi="Arial" w:cs="Arial"/>
          <w:color w:val="000000"/>
          <w:sz w:val="20"/>
          <w:szCs w:val="20"/>
          <w:lang w:eastAsia="uk-UA"/>
        </w:rPr>
        <w:t xml:space="preserve">(Q4 2021: </w:t>
      </w:r>
      <w:r w:rsidR="0077417B" w:rsidRPr="00EF6048">
        <w:rPr>
          <w:rFonts w:ascii="Arial" w:eastAsia="Times New Roman" w:hAnsi="Arial" w:cs="Arial"/>
          <w:color w:val="000000"/>
          <w:sz w:val="20"/>
          <w:szCs w:val="20"/>
          <w:lang w:eastAsia="uk-UA"/>
        </w:rPr>
        <w:t>US$</w:t>
      </w:r>
      <w:r w:rsidR="00EF6048">
        <w:rPr>
          <w:rFonts w:ascii="Arial" w:eastAsia="Times New Roman" w:hAnsi="Arial" w:cs="Arial"/>
          <w:color w:val="000000"/>
          <w:sz w:val="20"/>
          <w:szCs w:val="20"/>
          <w:lang w:val="uk-UA" w:eastAsia="uk-UA"/>
        </w:rPr>
        <w:t xml:space="preserve"> </w:t>
      </w:r>
      <w:r w:rsidR="00BA054D" w:rsidRPr="000D120B">
        <w:rPr>
          <w:rFonts w:ascii="Arial" w:eastAsia="Times New Roman" w:hAnsi="Arial" w:cs="Arial"/>
          <w:color w:val="000000"/>
          <w:sz w:val="20"/>
          <w:szCs w:val="20"/>
          <w:lang w:eastAsia="uk-UA"/>
        </w:rPr>
        <w:t>16</w:t>
      </w:r>
      <w:r w:rsidR="00885E61" w:rsidRPr="00EF6048">
        <w:rPr>
          <w:rFonts w:ascii="Arial" w:eastAsia="Times New Roman" w:hAnsi="Arial" w:cs="Arial"/>
          <w:color w:val="000000"/>
          <w:sz w:val="20"/>
          <w:szCs w:val="20"/>
          <w:lang w:eastAsia="uk-UA"/>
        </w:rPr>
        <w:t xml:space="preserve"> </w:t>
      </w:r>
      <w:r w:rsidR="009C6895" w:rsidRPr="00EF6048">
        <w:rPr>
          <w:rFonts w:ascii="Arial" w:eastAsia="Times New Roman" w:hAnsi="Arial" w:cs="Arial"/>
          <w:color w:val="000000"/>
          <w:sz w:val="20"/>
          <w:szCs w:val="20"/>
          <w:lang w:eastAsia="uk-UA"/>
        </w:rPr>
        <w:t>million</w:t>
      </w:r>
      <w:r w:rsidR="001907C7" w:rsidRPr="00EF6048">
        <w:rPr>
          <w:rFonts w:ascii="Arial" w:eastAsia="Times New Roman" w:hAnsi="Arial" w:cs="Arial"/>
          <w:color w:val="000000"/>
          <w:sz w:val="20"/>
          <w:szCs w:val="20"/>
          <w:lang w:eastAsia="uk-UA"/>
        </w:rPr>
        <w:t>)</w:t>
      </w:r>
      <w:r w:rsidR="009E2089" w:rsidRPr="00EF6048">
        <w:rPr>
          <w:rFonts w:ascii="Arial" w:eastAsia="Times New Roman" w:hAnsi="Arial" w:cs="Arial"/>
          <w:color w:val="000000"/>
          <w:sz w:val="20"/>
          <w:szCs w:val="20"/>
          <w:lang w:eastAsia="uk-UA"/>
        </w:rPr>
        <w:t>.</w:t>
      </w:r>
    </w:p>
    <w:p w14:paraId="69807F2B" w14:textId="7ECED1AD" w:rsidR="00CB1414" w:rsidRPr="00D43A49" w:rsidRDefault="00E152E5" w:rsidP="00CB1414">
      <w:pPr>
        <w:spacing w:before="120" w:after="120" w:line="240" w:lineRule="auto"/>
        <w:jc w:val="both"/>
        <w:rPr>
          <w:rFonts w:ascii="Arial" w:eastAsia="Times New Roman" w:hAnsi="Arial" w:cs="Arial"/>
          <w:b/>
          <w:i/>
          <w:color w:val="000000"/>
          <w:sz w:val="20"/>
          <w:szCs w:val="20"/>
          <w:lang w:eastAsia="uk-UA"/>
        </w:rPr>
      </w:pPr>
      <w:r w:rsidRPr="00D43A49">
        <w:rPr>
          <w:rFonts w:ascii="Arial" w:eastAsia="Times New Roman" w:hAnsi="Arial" w:cs="Arial"/>
          <w:b/>
          <w:i/>
          <w:color w:val="000000"/>
          <w:sz w:val="20"/>
          <w:szCs w:val="20"/>
          <w:lang w:eastAsia="uk-UA"/>
        </w:rPr>
        <w:t>12</w:t>
      </w:r>
      <w:r w:rsidR="00212B45" w:rsidRPr="00D43A49">
        <w:rPr>
          <w:rFonts w:ascii="Arial" w:eastAsia="Times New Roman" w:hAnsi="Arial" w:cs="Arial"/>
          <w:b/>
          <w:i/>
          <w:color w:val="000000"/>
          <w:sz w:val="20"/>
          <w:szCs w:val="20"/>
          <w:lang w:eastAsia="uk-UA"/>
        </w:rPr>
        <w:t>M</w:t>
      </w:r>
      <w:r w:rsidR="00CB1414" w:rsidRPr="00D43A49">
        <w:rPr>
          <w:rFonts w:ascii="Arial" w:eastAsia="Times New Roman" w:hAnsi="Arial" w:cs="Arial"/>
          <w:b/>
          <w:i/>
          <w:color w:val="000000"/>
          <w:sz w:val="20"/>
          <w:szCs w:val="20"/>
          <w:lang w:eastAsia="uk-UA"/>
        </w:rPr>
        <w:t xml:space="preserve"> 2022</w:t>
      </w:r>
    </w:p>
    <w:p w14:paraId="18D483A9" w14:textId="22BE81F3" w:rsidR="00CB1414" w:rsidRPr="008F4D41" w:rsidRDefault="00CB1414"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8F4D41">
        <w:rPr>
          <w:rFonts w:ascii="Arial" w:eastAsia="Times New Roman" w:hAnsi="Arial" w:cs="Arial"/>
          <w:color w:val="000000"/>
          <w:sz w:val="20"/>
          <w:szCs w:val="20"/>
          <w:lang w:eastAsia="uk-UA"/>
        </w:rPr>
        <w:t xml:space="preserve">Revenue increased by </w:t>
      </w:r>
      <w:r w:rsidR="00DB5AAE" w:rsidRPr="000D120B">
        <w:rPr>
          <w:rFonts w:ascii="Arial" w:eastAsia="Times New Roman" w:hAnsi="Arial" w:cs="Arial"/>
          <w:color w:val="000000"/>
          <w:sz w:val="20"/>
          <w:szCs w:val="20"/>
          <w:lang w:eastAsia="uk-UA"/>
        </w:rPr>
        <w:t>11%</w:t>
      </w:r>
      <w:r w:rsidRPr="008F4D41">
        <w:rPr>
          <w:rFonts w:ascii="Arial" w:eastAsia="Times New Roman" w:hAnsi="Arial" w:cs="Arial"/>
          <w:color w:val="000000"/>
          <w:sz w:val="20"/>
          <w:szCs w:val="20"/>
          <w:lang w:eastAsia="uk-UA"/>
        </w:rPr>
        <w:t xml:space="preserve"> y</w:t>
      </w:r>
      <w:r w:rsidR="00532110" w:rsidRPr="008F4D41">
        <w:rPr>
          <w:rFonts w:ascii="Arial" w:eastAsia="Times New Roman" w:hAnsi="Arial" w:cs="Arial"/>
          <w:color w:val="000000"/>
          <w:sz w:val="20"/>
          <w:szCs w:val="20"/>
          <w:lang w:eastAsia="uk-UA"/>
        </w:rPr>
        <w:t>/y</w:t>
      </w:r>
      <w:r w:rsidR="0014737D">
        <w:rPr>
          <w:rFonts w:ascii="Arial" w:eastAsia="Times New Roman" w:hAnsi="Arial" w:cs="Arial"/>
          <w:color w:val="000000"/>
          <w:sz w:val="20"/>
          <w:szCs w:val="20"/>
          <w:lang w:eastAsia="uk-UA"/>
        </w:rPr>
        <w:t xml:space="preserve"> </w:t>
      </w:r>
      <w:r w:rsidR="0014737D" w:rsidRPr="008F4D41">
        <w:rPr>
          <w:rFonts w:ascii="Arial" w:eastAsia="Times New Roman" w:hAnsi="Arial" w:cs="Arial"/>
          <w:color w:val="000000"/>
          <w:sz w:val="20"/>
          <w:szCs w:val="20"/>
          <w:lang w:eastAsia="uk-UA"/>
        </w:rPr>
        <w:t xml:space="preserve">to US$ </w:t>
      </w:r>
      <w:r w:rsidR="00DB5AAE" w:rsidRPr="000D120B">
        <w:rPr>
          <w:rFonts w:ascii="Arial" w:eastAsia="Times New Roman" w:hAnsi="Arial" w:cs="Arial"/>
          <w:color w:val="000000"/>
          <w:sz w:val="20"/>
          <w:szCs w:val="20"/>
          <w:lang w:eastAsia="uk-UA"/>
        </w:rPr>
        <w:t>2,642</w:t>
      </w:r>
      <w:r w:rsidR="0014737D" w:rsidRPr="008F4D41">
        <w:rPr>
          <w:rFonts w:ascii="Arial" w:eastAsia="Times New Roman" w:hAnsi="Arial" w:cs="Arial"/>
          <w:color w:val="000000"/>
          <w:sz w:val="20"/>
          <w:szCs w:val="20"/>
          <w:lang w:eastAsia="uk-UA"/>
        </w:rPr>
        <w:t xml:space="preserve"> million</w:t>
      </w:r>
      <w:r w:rsidRPr="008F4D41">
        <w:rPr>
          <w:rFonts w:ascii="Arial" w:eastAsia="Times New Roman" w:hAnsi="Arial" w:cs="Arial"/>
          <w:color w:val="000000"/>
          <w:sz w:val="20"/>
          <w:szCs w:val="20"/>
          <w:lang w:eastAsia="uk-UA"/>
        </w:rPr>
        <w:t xml:space="preserve"> (</w:t>
      </w:r>
      <w:r w:rsidR="00E152E5" w:rsidRPr="008F4D41">
        <w:rPr>
          <w:rFonts w:ascii="Arial" w:eastAsia="Times New Roman" w:hAnsi="Arial" w:cs="Arial"/>
          <w:color w:val="000000"/>
          <w:sz w:val="20"/>
          <w:szCs w:val="20"/>
          <w:lang w:eastAsia="uk-UA"/>
        </w:rPr>
        <w:t>12</w:t>
      </w:r>
      <w:r w:rsidR="00212B45" w:rsidRPr="008F4D41">
        <w:rPr>
          <w:rFonts w:ascii="Arial" w:eastAsia="Times New Roman" w:hAnsi="Arial" w:cs="Arial"/>
          <w:color w:val="000000"/>
          <w:sz w:val="20"/>
          <w:szCs w:val="20"/>
          <w:lang w:eastAsia="uk-UA"/>
        </w:rPr>
        <w:t>M</w:t>
      </w:r>
      <w:r w:rsidRPr="008F4D41">
        <w:rPr>
          <w:rFonts w:ascii="Arial" w:eastAsia="Times New Roman" w:hAnsi="Arial" w:cs="Arial"/>
          <w:color w:val="000000"/>
          <w:sz w:val="20"/>
          <w:szCs w:val="20"/>
          <w:lang w:eastAsia="uk-UA"/>
        </w:rPr>
        <w:t xml:space="preserve"> 202</w:t>
      </w:r>
      <w:r w:rsidR="001A6012" w:rsidRPr="008F4D41">
        <w:rPr>
          <w:rFonts w:ascii="Arial" w:eastAsia="Times New Roman" w:hAnsi="Arial" w:cs="Arial"/>
          <w:color w:val="000000"/>
          <w:sz w:val="20"/>
          <w:szCs w:val="20"/>
          <w:lang w:eastAsia="uk-UA"/>
        </w:rPr>
        <w:t>1</w:t>
      </w:r>
      <w:r w:rsidRPr="008F4D41">
        <w:rPr>
          <w:rFonts w:ascii="Arial" w:eastAsia="Times New Roman" w:hAnsi="Arial" w:cs="Arial"/>
          <w:color w:val="000000"/>
          <w:sz w:val="20"/>
          <w:szCs w:val="20"/>
          <w:lang w:eastAsia="uk-UA"/>
        </w:rPr>
        <w:t>: US$</w:t>
      </w:r>
      <w:r w:rsidR="00F023CC" w:rsidRPr="008F4D41">
        <w:rPr>
          <w:rFonts w:ascii="Arial" w:eastAsia="Times New Roman" w:hAnsi="Arial" w:cs="Arial"/>
          <w:color w:val="000000"/>
          <w:sz w:val="20"/>
          <w:szCs w:val="20"/>
          <w:lang w:eastAsia="uk-UA"/>
        </w:rPr>
        <w:t xml:space="preserve"> </w:t>
      </w:r>
      <w:r w:rsidR="00DB5AAE" w:rsidRPr="000D120B">
        <w:rPr>
          <w:rFonts w:ascii="Arial" w:hAnsi="Arial" w:cs="Arial"/>
          <w:sz w:val="20"/>
          <w:szCs w:val="20"/>
        </w:rPr>
        <w:t>2,372</w:t>
      </w:r>
      <w:r w:rsidRPr="008F4D41">
        <w:rPr>
          <w:rFonts w:ascii="Arial" w:eastAsia="Times New Roman" w:hAnsi="Arial" w:cs="Arial"/>
          <w:color w:val="000000"/>
          <w:sz w:val="20"/>
          <w:szCs w:val="20"/>
          <w:lang w:eastAsia="uk-UA"/>
        </w:rPr>
        <w:t xml:space="preserve"> million).</w:t>
      </w:r>
    </w:p>
    <w:p w14:paraId="2BCBB88C" w14:textId="07983A16" w:rsidR="00CB1414" w:rsidRPr="008F4D41" w:rsidRDefault="00CB1414"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8F4D41">
        <w:rPr>
          <w:rFonts w:ascii="Arial" w:eastAsia="Times New Roman" w:hAnsi="Arial" w:cs="Arial"/>
          <w:color w:val="000000"/>
          <w:sz w:val="20"/>
          <w:szCs w:val="20"/>
          <w:lang w:eastAsia="uk-UA"/>
        </w:rPr>
        <w:t>Export revenue increased</w:t>
      </w:r>
      <w:r w:rsidR="004B2D49">
        <w:rPr>
          <w:rFonts w:ascii="Arial" w:eastAsia="Times New Roman" w:hAnsi="Arial" w:cs="Arial"/>
          <w:color w:val="000000"/>
          <w:sz w:val="20"/>
          <w:szCs w:val="20"/>
          <w:lang w:eastAsia="uk-UA"/>
        </w:rPr>
        <w:t xml:space="preserve"> by</w:t>
      </w:r>
      <w:r w:rsidRPr="008F4D41">
        <w:rPr>
          <w:rFonts w:ascii="Arial" w:eastAsia="Times New Roman" w:hAnsi="Arial" w:cs="Arial"/>
          <w:color w:val="000000"/>
          <w:sz w:val="20"/>
          <w:szCs w:val="20"/>
          <w:lang w:eastAsia="uk-UA"/>
        </w:rPr>
        <w:t xml:space="preserve"> </w:t>
      </w:r>
      <w:r w:rsidR="00DB5AAE" w:rsidRPr="000D120B">
        <w:rPr>
          <w:rFonts w:ascii="Arial" w:hAnsi="Arial" w:cs="Arial"/>
          <w:sz w:val="20"/>
          <w:szCs w:val="20"/>
        </w:rPr>
        <w:t>26%</w:t>
      </w:r>
      <w:r w:rsidRPr="008F4D41">
        <w:rPr>
          <w:rFonts w:ascii="Arial" w:eastAsia="Times New Roman" w:hAnsi="Arial" w:cs="Arial"/>
          <w:color w:val="000000"/>
          <w:sz w:val="20"/>
          <w:szCs w:val="20"/>
          <w:lang w:eastAsia="uk-UA"/>
        </w:rPr>
        <w:t xml:space="preserve"> </w:t>
      </w:r>
      <w:r w:rsidR="00532110" w:rsidRPr="008F4D41">
        <w:rPr>
          <w:rFonts w:ascii="Arial" w:eastAsia="Times New Roman" w:hAnsi="Arial" w:cs="Arial"/>
          <w:color w:val="000000"/>
          <w:sz w:val="20"/>
          <w:szCs w:val="20"/>
          <w:lang w:eastAsia="uk-UA"/>
        </w:rPr>
        <w:t>y/y</w:t>
      </w:r>
      <w:r w:rsidR="004B2D49">
        <w:rPr>
          <w:rFonts w:ascii="Arial" w:eastAsia="Times New Roman" w:hAnsi="Arial" w:cs="Arial"/>
          <w:color w:val="000000"/>
          <w:sz w:val="20"/>
          <w:szCs w:val="20"/>
          <w:lang w:eastAsia="uk-UA"/>
        </w:rPr>
        <w:t xml:space="preserve"> </w:t>
      </w:r>
      <w:r w:rsidR="004B2D49" w:rsidRPr="008F4D41">
        <w:rPr>
          <w:rFonts w:ascii="Arial" w:eastAsia="Times New Roman" w:hAnsi="Arial" w:cs="Arial"/>
          <w:color w:val="000000"/>
          <w:sz w:val="20"/>
          <w:szCs w:val="20"/>
          <w:lang w:eastAsia="uk-UA"/>
        </w:rPr>
        <w:t xml:space="preserve">to US$ </w:t>
      </w:r>
      <w:r w:rsidR="00DB5AAE" w:rsidRPr="000D120B">
        <w:rPr>
          <w:rFonts w:ascii="Arial" w:hAnsi="Arial" w:cs="Arial"/>
          <w:sz w:val="20"/>
          <w:szCs w:val="20"/>
        </w:rPr>
        <w:t>1,601</w:t>
      </w:r>
      <w:r w:rsidR="004B2D49" w:rsidRPr="008F4D41">
        <w:rPr>
          <w:rFonts w:ascii="Arial" w:eastAsia="Times New Roman" w:hAnsi="Arial" w:cs="Arial"/>
          <w:color w:val="000000"/>
          <w:sz w:val="20"/>
          <w:szCs w:val="20"/>
          <w:lang w:eastAsia="uk-UA"/>
        </w:rPr>
        <w:t xml:space="preserve"> million</w:t>
      </w:r>
      <w:r w:rsidR="00BE6F35" w:rsidRPr="008F4D41">
        <w:rPr>
          <w:rFonts w:ascii="Arial" w:eastAsia="Times New Roman" w:hAnsi="Arial" w:cs="Arial"/>
          <w:color w:val="000000"/>
          <w:sz w:val="20"/>
          <w:szCs w:val="20"/>
          <w:lang w:eastAsia="uk-UA"/>
        </w:rPr>
        <w:t>,</w:t>
      </w:r>
      <w:r w:rsidRPr="008F4D41">
        <w:rPr>
          <w:rFonts w:ascii="Arial" w:eastAsia="Times New Roman" w:hAnsi="Arial" w:cs="Arial"/>
          <w:color w:val="000000"/>
          <w:sz w:val="20"/>
          <w:szCs w:val="20"/>
          <w:lang w:eastAsia="uk-UA"/>
        </w:rPr>
        <w:t xml:space="preserve"> representing </w:t>
      </w:r>
      <w:r w:rsidR="00DB5AAE" w:rsidRPr="000D120B">
        <w:rPr>
          <w:rFonts w:ascii="Arial" w:hAnsi="Arial" w:cs="Arial"/>
          <w:sz w:val="20"/>
          <w:szCs w:val="20"/>
        </w:rPr>
        <w:t>61%</w:t>
      </w:r>
      <w:r w:rsidRPr="008F4D41">
        <w:rPr>
          <w:rFonts w:ascii="Arial" w:eastAsia="Times New Roman" w:hAnsi="Arial" w:cs="Arial"/>
          <w:color w:val="000000"/>
          <w:sz w:val="20"/>
          <w:szCs w:val="20"/>
          <w:lang w:eastAsia="uk-UA"/>
        </w:rPr>
        <w:t xml:space="preserve"> of total</w:t>
      </w:r>
      <w:r w:rsidR="004B2D49">
        <w:rPr>
          <w:rFonts w:ascii="Arial" w:eastAsia="Times New Roman" w:hAnsi="Arial" w:cs="Arial"/>
          <w:color w:val="000000"/>
          <w:sz w:val="20"/>
          <w:szCs w:val="20"/>
          <w:lang w:eastAsia="uk-UA"/>
        </w:rPr>
        <w:t xml:space="preserve"> Group</w:t>
      </w:r>
      <w:r w:rsidRPr="008F4D41">
        <w:rPr>
          <w:rFonts w:ascii="Arial" w:eastAsia="Times New Roman" w:hAnsi="Arial" w:cs="Arial"/>
          <w:color w:val="000000"/>
          <w:sz w:val="20"/>
          <w:szCs w:val="20"/>
          <w:lang w:eastAsia="uk-UA"/>
        </w:rPr>
        <w:t xml:space="preserve"> revenue (</w:t>
      </w:r>
      <w:r w:rsidR="00E152E5" w:rsidRPr="008F4D41">
        <w:rPr>
          <w:rFonts w:ascii="Arial" w:eastAsia="Times New Roman" w:hAnsi="Arial" w:cs="Arial"/>
          <w:color w:val="000000"/>
          <w:sz w:val="20"/>
          <w:szCs w:val="20"/>
          <w:lang w:eastAsia="uk-UA"/>
        </w:rPr>
        <w:t>12</w:t>
      </w:r>
      <w:r w:rsidR="00212B45" w:rsidRPr="008F4D41">
        <w:rPr>
          <w:rFonts w:ascii="Arial" w:eastAsia="Times New Roman" w:hAnsi="Arial" w:cs="Arial"/>
          <w:color w:val="000000"/>
          <w:sz w:val="20"/>
          <w:szCs w:val="20"/>
          <w:lang w:eastAsia="uk-UA"/>
        </w:rPr>
        <w:t>M</w:t>
      </w:r>
      <w:r w:rsidRPr="008F4D41">
        <w:rPr>
          <w:rFonts w:ascii="Arial" w:eastAsia="Times New Roman" w:hAnsi="Arial" w:cs="Arial"/>
          <w:color w:val="000000"/>
          <w:sz w:val="20"/>
          <w:szCs w:val="20"/>
          <w:lang w:eastAsia="uk-UA"/>
        </w:rPr>
        <w:t xml:space="preserve"> 202</w:t>
      </w:r>
      <w:r w:rsidR="001A6012" w:rsidRPr="008F4D41">
        <w:rPr>
          <w:rFonts w:ascii="Arial" w:eastAsia="Times New Roman" w:hAnsi="Arial" w:cs="Arial"/>
          <w:color w:val="000000"/>
          <w:sz w:val="20"/>
          <w:szCs w:val="20"/>
          <w:lang w:eastAsia="uk-UA"/>
        </w:rPr>
        <w:t>1</w:t>
      </w:r>
      <w:r w:rsidRPr="008F4D41">
        <w:rPr>
          <w:rFonts w:ascii="Arial" w:eastAsia="Times New Roman" w:hAnsi="Arial" w:cs="Arial"/>
          <w:color w:val="000000"/>
          <w:sz w:val="20"/>
          <w:szCs w:val="20"/>
          <w:lang w:eastAsia="uk-UA"/>
        </w:rPr>
        <w:t xml:space="preserve">: US$ </w:t>
      </w:r>
      <w:r w:rsidR="00DB5AAE" w:rsidRPr="000D120B">
        <w:rPr>
          <w:rFonts w:ascii="Arial" w:hAnsi="Arial" w:cs="Arial"/>
          <w:sz w:val="20"/>
          <w:szCs w:val="20"/>
        </w:rPr>
        <w:t>1,265</w:t>
      </w:r>
      <w:r w:rsidRPr="008F4D41">
        <w:rPr>
          <w:rFonts w:ascii="Arial" w:eastAsia="Times New Roman" w:hAnsi="Arial" w:cs="Arial"/>
          <w:color w:val="000000"/>
          <w:sz w:val="20"/>
          <w:szCs w:val="20"/>
          <w:lang w:eastAsia="uk-UA"/>
        </w:rPr>
        <w:t xml:space="preserve"> million, </w:t>
      </w:r>
      <w:r w:rsidR="00DB5AAE" w:rsidRPr="000D120B">
        <w:rPr>
          <w:rFonts w:ascii="Arial" w:hAnsi="Arial" w:cs="Arial"/>
          <w:sz w:val="20"/>
          <w:szCs w:val="20"/>
        </w:rPr>
        <w:t>53%</w:t>
      </w:r>
      <w:r w:rsidRPr="008F4D41">
        <w:rPr>
          <w:rFonts w:ascii="Arial" w:eastAsia="Times New Roman" w:hAnsi="Arial" w:cs="Arial"/>
          <w:color w:val="000000"/>
          <w:sz w:val="20"/>
          <w:szCs w:val="20"/>
          <w:lang w:eastAsia="uk-UA"/>
        </w:rPr>
        <w:t xml:space="preserve"> of total</w:t>
      </w:r>
      <w:r w:rsidR="004B2D49">
        <w:rPr>
          <w:rFonts w:ascii="Arial" w:eastAsia="Times New Roman" w:hAnsi="Arial" w:cs="Arial"/>
          <w:color w:val="000000"/>
          <w:sz w:val="20"/>
          <w:szCs w:val="20"/>
          <w:lang w:eastAsia="uk-UA"/>
        </w:rPr>
        <w:t xml:space="preserve"> Group</w:t>
      </w:r>
      <w:r w:rsidRPr="008F4D41">
        <w:rPr>
          <w:rFonts w:ascii="Arial" w:eastAsia="Times New Roman" w:hAnsi="Arial" w:cs="Arial"/>
          <w:color w:val="000000"/>
          <w:sz w:val="20"/>
          <w:szCs w:val="20"/>
          <w:lang w:eastAsia="uk-UA"/>
        </w:rPr>
        <w:t xml:space="preserve"> revenue).</w:t>
      </w:r>
    </w:p>
    <w:p w14:paraId="417397A5" w14:textId="37776CD6" w:rsidR="00CB1414" w:rsidRPr="008F4D41" w:rsidRDefault="00CB1414"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8F4D41">
        <w:rPr>
          <w:rFonts w:ascii="Arial" w:eastAsia="Times New Roman" w:hAnsi="Arial" w:cs="Arial"/>
          <w:color w:val="000000"/>
          <w:sz w:val="20"/>
          <w:szCs w:val="20"/>
          <w:lang w:eastAsia="uk-UA"/>
        </w:rPr>
        <w:t xml:space="preserve">Operating profit </w:t>
      </w:r>
      <w:r w:rsidR="006F6A4D" w:rsidRPr="008F4D41">
        <w:rPr>
          <w:rFonts w:ascii="Arial" w:eastAsia="Times New Roman" w:hAnsi="Arial" w:cs="Arial"/>
          <w:color w:val="000000"/>
          <w:sz w:val="20"/>
          <w:szCs w:val="20"/>
          <w:lang w:eastAsia="uk-UA"/>
        </w:rPr>
        <w:t>de</w:t>
      </w:r>
      <w:r w:rsidRPr="008F4D41">
        <w:rPr>
          <w:rFonts w:ascii="Arial" w:eastAsia="Times New Roman" w:hAnsi="Arial" w:cs="Arial"/>
          <w:color w:val="000000"/>
          <w:sz w:val="20"/>
          <w:szCs w:val="20"/>
          <w:lang w:eastAsia="uk-UA"/>
        </w:rPr>
        <w:t xml:space="preserve">creased to US$ </w:t>
      </w:r>
      <w:r w:rsidR="00DB5AAE" w:rsidRPr="000D120B">
        <w:rPr>
          <w:rFonts w:ascii="Arial" w:eastAsia="Times New Roman" w:hAnsi="Arial" w:cs="Arial"/>
          <w:color w:val="000000"/>
          <w:sz w:val="20"/>
          <w:szCs w:val="20"/>
          <w:lang w:eastAsia="uk-UA"/>
        </w:rPr>
        <w:t>255</w:t>
      </w:r>
      <w:r w:rsidRPr="008F4D41">
        <w:rPr>
          <w:rFonts w:ascii="Arial" w:eastAsia="Times New Roman" w:hAnsi="Arial" w:cs="Arial"/>
          <w:color w:val="000000"/>
          <w:sz w:val="20"/>
          <w:szCs w:val="20"/>
          <w:lang w:eastAsia="uk-UA"/>
        </w:rPr>
        <w:t xml:space="preserve"> million, </w:t>
      </w:r>
      <w:r w:rsidR="006F6A4D" w:rsidRPr="008F4D41">
        <w:rPr>
          <w:rFonts w:ascii="Arial" w:eastAsia="Times New Roman" w:hAnsi="Arial" w:cs="Arial"/>
          <w:color w:val="000000"/>
          <w:sz w:val="20"/>
          <w:szCs w:val="20"/>
          <w:lang w:eastAsia="uk-UA"/>
        </w:rPr>
        <w:t>down</w:t>
      </w:r>
      <w:r w:rsidRPr="008F4D41">
        <w:rPr>
          <w:rFonts w:ascii="Arial" w:eastAsia="Times New Roman" w:hAnsi="Arial" w:cs="Arial"/>
          <w:color w:val="000000"/>
          <w:sz w:val="20"/>
          <w:szCs w:val="20"/>
          <w:lang w:eastAsia="uk-UA"/>
        </w:rPr>
        <w:t xml:space="preserve"> by </w:t>
      </w:r>
      <w:r w:rsidR="00DB5AAE" w:rsidRPr="000D120B">
        <w:rPr>
          <w:rFonts w:ascii="Arial" w:eastAsia="Times New Roman" w:hAnsi="Arial" w:cs="Arial"/>
          <w:color w:val="000000"/>
          <w:sz w:val="20"/>
          <w:szCs w:val="20"/>
          <w:lang w:eastAsia="uk-UA"/>
        </w:rPr>
        <w:t>49%</w:t>
      </w:r>
      <w:r w:rsidRPr="008F4D41">
        <w:rPr>
          <w:rFonts w:ascii="Arial" w:eastAsia="Times New Roman" w:hAnsi="Arial" w:cs="Arial"/>
          <w:color w:val="000000"/>
          <w:sz w:val="20"/>
          <w:szCs w:val="20"/>
          <w:lang w:eastAsia="uk-UA"/>
        </w:rPr>
        <w:t xml:space="preserve"> </w:t>
      </w:r>
      <w:r w:rsidR="00532110" w:rsidRPr="008F4D41">
        <w:rPr>
          <w:rFonts w:ascii="Arial" w:eastAsia="Times New Roman" w:hAnsi="Arial" w:cs="Arial"/>
          <w:color w:val="000000"/>
          <w:sz w:val="20"/>
          <w:szCs w:val="20"/>
          <w:lang w:eastAsia="uk-UA"/>
        </w:rPr>
        <w:t>y/y</w:t>
      </w:r>
      <w:r w:rsidR="004D49AF" w:rsidRPr="008F4D41">
        <w:rPr>
          <w:rFonts w:ascii="Arial" w:eastAsia="Times New Roman" w:hAnsi="Arial" w:cs="Arial"/>
          <w:color w:val="000000"/>
          <w:sz w:val="20"/>
          <w:szCs w:val="20"/>
          <w:lang w:eastAsia="uk-UA"/>
        </w:rPr>
        <w:t xml:space="preserve"> (</w:t>
      </w:r>
      <w:r w:rsidR="00E152E5" w:rsidRPr="008F4D41">
        <w:rPr>
          <w:rFonts w:ascii="Arial" w:eastAsia="Times New Roman" w:hAnsi="Arial" w:cs="Arial"/>
          <w:color w:val="000000"/>
          <w:sz w:val="20"/>
          <w:szCs w:val="20"/>
          <w:lang w:eastAsia="uk-UA"/>
        </w:rPr>
        <w:t>12</w:t>
      </w:r>
      <w:r w:rsidR="00212B45" w:rsidRPr="008F4D41">
        <w:rPr>
          <w:rFonts w:ascii="Arial" w:eastAsia="Times New Roman" w:hAnsi="Arial" w:cs="Arial"/>
          <w:color w:val="000000"/>
          <w:sz w:val="20"/>
          <w:szCs w:val="20"/>
          <w:lang w:eastAsia="uk-UA"/>
        </w:rPr>
        <w:t>M</w:t>
      </w:r>
      <w:r w:rsidR="00BE6F35" w:rsidRPr="008F4D41">
        <w:rPr>
          <w:rFonts w:ascii="Arial" w:eastAsia="Times New Roman" w:hAnsi="Arial" w:cs="Arial"/>
          <w:color w:val="000000"/>
          <w:sz w:val="20"/>
          <w:szCs w:val="20"/>
          <w:lang w:eastAsia="uk-UA"/>
        </w:rPr>
        <w:t xml:space="preserve"> 2021</w:t>
      </w:r>
      <w:r w:rsidR="004D49AF" w:rsidRPr="008F4D41">
        <w:rPr>
          <w:rFonts w:ascii="Arial" w:eastAsia="Times New Roman" w:hAnsi="Arial" w:cs="Arial"/>
          <w:color w:val="000000"/>
          <w:sz w:val="20"/>
          <w:szCs w:val="20"/>
          <w:lang w:eastAsia="uk-UA"/>
        </w:rPr>
        <w:t xml:space="preserve">: </w:t>
      </w:r>
      <w:r w:rsidR="00C81640" w:rsidRPr="008F4D41">
        <w:rPr>
          <w:rFonts w:ascii="Arial" w:eastAsia="Times New Roman" w:hAnsi="Arial" w:cs="Arial"/>
          <w:color w:val="000000"/>
          <w:sz w:val="20"/>
          <w:szCs w:val="20"/>
          <w:lang w:eastAsia="uk-UA"/>
        </w:rPr>
        <w:t xml:space="preserve">US$ </w:t>
      </w:r>
      <w:r w:rsidR="00DB5AAE" w:rsidRPr="000D120B">
        <w:rPr>
          <w:rFonts w:ascii="Arial" w:eastAsia="Times New Roman" w:hAnsi="Arial" w:cs="Arial"/>
          <w:color w:val="000000"/>
          <w:sz w:val="20"/>
          <w:szCs w:val="20"/>
          <w:lang w:eastAsia="uk-UA"/>
        </w:rPr>
        <w:t>503</w:t>
      </w:r>
      <w:r w:rsidR="005713D3" w:rsidRPr="008F4D41">
        <w:rPr>
          <w:rFonts w:ascii="Arial" w:eastAsia="Times New Roman" w:hAnsi="Arial" w:cs="Arial"/>
          <w:color w:val="000000"/>
          <w:sz w:val="20"/>
          <w:szCs w:val="20"/>
          <w:lang w:eastAsia="uk-UA"/>
        </w:rPr>
        <w:t xml:space="preserve"> </w:t>
      </w:r>
      <w:r w:rsidR="004D49AF" w:rsidRPr="008F4D41">
        <w:rPr>
          <w:rFonts w:ascii="Arial" w:eastAsia="Times New Roman" w:hAnsi="Arial" w:cs="Arial"/>
          <w:color w:val="000000"/>
          <w:sz w:val="20"/>
          <w:szCs w:val="20"/>
          <w:lang w:eastAsia="uk-UA"/>
        </w:rPr>
        <w:t>million)</w:t>
      </w:r>
      <w:r w:rsidRPr="008F4D41">
        <w:rPr>
          <w:rFonts w:ascii="Arial" w:eastAsia="Times New Roman" w:hAnsi="Arial" w:cs="Arial"/>
          <w:color w:val="000000"/>
          <w:sz w:val="20"/>
          <w:szCs w:val="20"/>
          <w:lang w:eastAsia="uk-UA"/>
        </w:rPr>
        <w:t xml:space="preserve"> and operating margin </w:t>
      </w:r>
      <w:r w:rsidR="006F6A4D" w:rsidRPr="008F4D41">
        <w:rPr>
          <w:rFonts w:ascii="Arial" w:eastAsia="Times New Roman" w:hAnsi="Arial" w:cs="Arial"/>
          <w:color w:val="000000"/>
          <w:sz w:val="20"/>
          <w:szCs w:val="20"/>
          <w:lang w:eastAsia="uk-UA"/>
        </w:rPr>
        <w:t>de</w:t>
      </w:r>
      <w:r w:rsidRPr="008F4D41">
        <w:rPr>
          <w:rFonts w:ascii="Arial" w:eastAsia="Times New Roman" w:hAnsi="Arial" w:cs="Arial"/>
          <w:color w:val="000000"/>
          <w:sz w:val="20"/>
          <w:szCs w:val="20"/>
          <w:lang w:eastAsia="uk-UA"/>
        </w:rPr>
        <w:t xml:space="preserve">creased from </w:t>
      </w:r>
      <w:r w:rsidR="00DB5AAE" w:rsidRPr="000D120B">
        <w:rPr>
          <w:rFonts w:ascii="Arial" w:eastAsia="Times New Roman" w:hAnsi="Arial" w:cs="Arial"/>
          <w:color w:val="000000"/>
          <w:sz w:val="20"/>
          <w:szCs w:val="20"/>
          <w:lang w:eastAsia="uk-UA"/>
        </w:rPr>
        <w:t>21%</w:t>
      </w:r>
      <w:r w:rsidRPr="008F4D41">
        <w:rPr>
          <w:rFonts w:ascii="Arial" w:eastAsia="Times New Roman" w:hAnsi="Arial" w:cs="Arial"/>
          <w:color w:val="000000"/>
          <w:sz w:val="20"/>
          <w:szCs w:val="20"/>
          <w:lang w:eastAsia="uk-UA"/>
        </w:rPr>
        <w:t xml:space="preserve"> to </w:t>
      </w:r>
      <w:r w:rsidR="00DB5AAE" w:rsidRPr="000D120B">
        <w:rPr>
          <w:rFonts w:ascii="Arial" w:eastAsia="Times New Roman" w:hAnsi="Arial" w:cs="Arial"/>
          <w:color w:val="000000"/>
          <w:sz w:val="20"/>
          <w:szCs w:val="20"/>
          <w:lang w:eastAsia="uk-UA"/>
        </w:rPr>
        <w:t>10%</w:t>
      </w:r>
      <w:r w:rsidRPr="008F4D41">
        <w:rPr>
          <w:rFonts w:ascii="Arial" w:eastAsia="Times New Roman" w:hAnsi="Arial" w:cs="Arial"/>
          <w:color w:val="000000"/>
          <w:sz w:val="20"/>
          <w:szCs w:val="20"/>
          <w:lang w:eastAsia="uk-UA"/>
        </w:rPr>
        <w:t>.</w:t>
      </w:r>
    </w:p>
    <w:p w14:paraId="0A8D650B" w14:textId="458D1612" w:rsidR="00CB1414" w:rsidRPr="008F4D41" w:rsidRDefault="00CB1414"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8F4D41">
        <w:rPr>
          <w:rFonts w:ascii="Arial" w:eastAsia="Times New Roman" w:hAnsi="Arial" w:cs="Arial"/>
          <w:color w:val="000000"/>
          <w:sz w:val="20"/>
          <w:szCs w:val="20"/>
          <w:lang w:eastAsia="uk-UA"/>
        </w:rPr>
        <w:t xml:space="preserve">Adjusted EBITDA (net of IFRS 16) </w:t>
      </w:r>
      <w:r w:rsidR="006F6A4D" w:rsidRPr="008F4D41">
        <w:rPr>
          <w:rFonts w:ascii="Arial" w:eastAsia="Times New Roman" w:hAnsi="Arial" w:cs="Arial"/>
          <w:color w:val="000000"/>
          <w:sz w:val="20"/>
          <w:szCs w:val="20"/>
          <w:lang w:eastAsia="uk-UA"/>
        </w:rPr>
        <w:t>de</w:t>
      </w:r>
      <w:r w:rsidRPr="008F4D41">
        <w:rPr>
          <w:rFonts w:ascii="Arial" w:eastAsia="Times New Roman" w:hAnsi="Arial" w:cs="Arial"/>
          <w:color w:val="000000"/>
          <w:sz w:val="20"/>
          <w:szCs w:val="20"/>
          <w:lang w:eastAsia="uk-UA"/>
        </w:rPr>
        <w:t xml:space="preserve">creased by </w:t>
      </w:r>
      <w:r w:rsidR="00DB5AAE" w:rsidRPr="000D120B">
        <w:rPr>
          <w:rFonts w:ascii="Arial" w:eastAsia="Times New Roman" w:hAnsi="Arial" w:cs="Arial"/>
          <w:color w:val="000000"/>
          <w:sz w:val="20"/>
          <w:szCs w:val="20"/>
          <w:lang w:eastAsia="uk-UA"/>
        </w:rPr>
        <w:t>41%</w:t>
      </w:r>
      <w:r w:rsidR="009F0DC5">
        <w:rPr>
          <w:rFonts w:ascii="Arial" w:eastAsia="Times New Roman" w:hAnsi="Arial" w:cs="Arial"/>
          <w:color w:val="000000"/>
          <w:sz w:val="20"/>
          <w:szCs w:val="20"/>
          <w:lang w:eastAsia="uk-UA"/>
        </w:rPr>
        <w:t xml:space="preserve"> y/y</w:t>
      </w:r>
      <w:r w:rsidRPr="008F4D41">
        <w:rPr>
          <w:rFonts w:ascii="Arial" w:eastAsia="Times New Roman" w:hAnsi="Arial" w:cs="Arial"/>
          <w:color w:val="000000"/>
          <w:sz w:val="20"/>
          <w:szCs w:val="20"/>
          <w:lang w:eastAsia="uk-UA"/>
        </w:rPr>
        <w:t xml:space="preserve"> to US$</w:t>
      </w:r>
      <w:r w:rsidR="009D4D04" w:rsidRPr="008F4D41">
        <w:rPr>
          <w:rFonts w:ascii="Arial" w:eastAsia="Times New Roman" w:hAnsi="Arial" w:cs="Arial"/>
          <w:color w:val="000000"/>
          <w:sz w:val="20"/>
          <w:szCs w:val="20"/>
          <w:lang w:eastAsia="uk-UA"/>
        </w:rPr>
        <w:t xml:space="preserve"> </w:t>
      </w:r>
      <w:r w:rsidR="00DB5AAE" w:rsidRPr="000D120B">
        <w:rPr>
          <w:rFonts w:ascii="Arial" w:eastAsia="Times New Roman" w:hAnsi="Arial" w:cs="Arial"/>
          <w:color w:val="000000"/>
          <w:sz w:val="20"/>
          <w:szCs w:val="20"/>
          <w:lang w:eastAsia="uk-UA"/>
        </w:rPr>
        <w:t xml:space="preserve"> 384</w:t>
      </w:r>
      <w:r w:rsidRPr="008F4D41">
        <w:rPr>
          <w:rFonts w:ascii="Arial" w:eastAsia="Times New Roman" w:hAnsi="Arial" w:cs="Arial"/>
          <w:color w:val="000000"/>
          <w:sz w:val="20"/>
          <w:szCs w:val="20"/>
          <w:lang w:eastAsia="uk-UA"/>
        </w:rPr>
        <w:t xml:space="preserve"> million</w:t>
      </w:r>
      <w:r w:rsidR="00D61CC1" w:rsidRPr="008F4D41">
        <w:rPr>
          <w:rFonts w:ascii="Arial" w:eastAsia="Times New Roman" w:hAnsi="Arial" w:cs="Arial"/>
          <w:color w:val="000000"/>
          <w:sz w:val="20"/>
          <w:szCs w:val="20"/>
          <w:lang w:eastAsia="uk-UA"/>
        </w:rPr>
        <w:t xml:space="preserve"> (</w:t>
      </w:r>
      <w:r w:rsidR="00E152E5" w:rsidRPr="008F4D41">
        <w:rPr>
          <w:rFonts w:ascii="Arial" w:eastAsia="Times New Roman" w:hAnsi="Arial" w:cs="Arial"/>
          <w:color w:val="000000"/>
          <w:sz w:val="20"/>
          <w:szCs w:val="20"/>
          <w:lang w:eastAsia="uk-UA"/>
        </w:rPr>
        <w:t>12</w:t>
      </w:r>
      <w:r w:rsidR="00212B45" w:rsidRPr="008F4D41">
        <w:rPr>
          <w:rFonts w:ascii="Arial" w:eastAsia="Times New Roman" w:hAnsi="Arial" w:cs="Arial"/>
          <w:color w:val="000000"/>
          <w:sz w:val="20"/>
          <w:szCs w:val="20"/>
          <w:lang w:eastAsia="uk-UA"/>
        </w:rPr>
        <w:t>M</w:t>
      </w:r>
      <w:r w:rsidR="00BE6F35" w:rsidRPr="008F4D41">
        <w:rPr>
          <w:rFonts w:ascii="Arial" w:eastAsia="Times New Roman" w:hAnsi="Arial" w:cs="Arial"/>
          <w:color w:val="000000"/>
          <w:sz w:val="20"/>
          <w:szCs w:val="20"/>
          <w:lang w:eastAsia="uk-UA"/>
        </w:rPr>
        <w:t xml:space="preserve"> 2021</w:t>
      </w:r>
      <w:r w:rsidR="00D61CC1" w:rsidRPr="008F4D41">
        <w:rPr>
          <w:rFonts w:ascii="Arial" w:eastAsia="Times New Roman" w:hAnsi="Arial" w:cs="Arial"/>
          <w:color w:val="000000"/>
          <w:sz w:val="20"/>
          <w:szCs w:val="20"/>
          <w:lang w:eastAsia="uk-UA"/>
        </w:rPr>
        <w:t>:</w:t>
      </w:r>
      <w:r w:rsidR="00AE57A5" w:rsidRPr="00AE57A5">
        <w:rPr>
          <w:rFonts w:ascii="Arial" w:eastAsia="Times New Roman" w:hAnsi="Arial" w:cs="Arial"/>
          <w:color w:val="000000"/>
          <w:sz w:val="20"/>
          <w:szCs w:val="20"/>
          <w:lang w:eastAsia="uk-UA"/>
        </w:rPr>
        <w:t xml:space="preserve"> </w:t>
      </w:r>
      <w:r w:rsidR="00AE57A5" w:rsidRPr="008F4D41">
        <w:rPr>
          <w:rFonts w:ascii="Arial" w:eastAsia="Times New Roman" w:hAnsi="Arial" w:cs="Arial"/>
          <w:color w:val="000000"/>
          <w:sz w:val="20"/>
          <w:szCs w:val="20"/>
          <w:lang w:eastAsia="uk-UA"/>
        </w:rPr>
        <w:t xml:space="preserve">US$ </w:t>
      </w:r>
      <w:r w:rsidR="00DB5AAE" w:rsidRPr="000D120B">
        <w:rPr>
          <w:rFonts w:ascii="Arial" w:eastAsia="Times New Roman" w:hAnsi="Arial" w:cs="Arial"/>
          <w:color w:val="000000"/>
          <w:sz w:val="20"/>
          <w:szCs w:val="20"/>
          <w:lang w:eastAsia="uk-UA"/>
        </w:rPr>
        <w:t>648</w:t>
      </w:r>
      <w:r w:rsidR="00D61CC1" w:rsidRPr="008F4D41">
        <w:rPr>
          <w:rFonts w:ascii="Arial" w:eastAsia="Times New Roman" w:hAnsi="Arial" w:cs="Arial"/>
          <w:color w:val="000000"/>
          <w:sz w:val="20"/>
          <w:szCs w:val="20"/>
          <w:lang w:eastAsia="uk-UA"/>
        </w:rPr>
        <w:t xml:space="preserve"> million)</w:t>
      </w:r>
      <w:r w:rsidRPr="008F4D41">
        <w:rPr>
          <w:rFonts w:ascii="Arial" w:eastAsia="Times New Roman" w:hAnsi="Arial" w:cs="Arial"/>
          <w:color w:val="000000"/>
          <w:sz w:val="20"/>
          <w:szCs w:val="20"/>
          <w:lang w:eastAsia="uk-UA"/>
        </w:rPr>
        <w:t xml:space="preserve">; adjusted EBITDA margin (net of IFRS 16) </w:t>
      </w:r>
      <w:r w:rsidR="006F6A4D" w:rsidRPr="008F4D41">
        <w:rPr>
          <w:rFonts w:ascii="Arial" w:eastAsia="Times New Roman" w:hAnsi="Arial" w:cs="Arial"/>
          <w:color w:val="000000"/>
          <w:sz w:val="20"/>
          <w:szCs w:val="20"/>
          <w:lang w:eastAsia="uk-UA"/>
        </w:rPr>
        <w:t>de</w:t>
      </w:r>
      <w:r w:rsidRPr="008F4D41">
        <w:rPr>
          <w:rFonts w:ascii="Arial" w:eastAsia="Times New Roman" w:hAnsi="Arial" w:cs="Arial"/>
          <w:color w:val="000000"/>
          <w:sz w:val="20"/>
          <w:szCs w:val="20"/>
          <w:lang w:eastAsia="uk-UA"/>
        </w:rPr>
        <w:t xml:space="preserve">creased from </w:t>
      </w:r>
      <w:r w:rsidR="00DB5AAE" w:rsidRPr="000D120B">
        <w:rPr>
          <w:rFonts w:ascii="Arial" w:eastAsia="Times New Roman" w:hAnsi="Arial" w:cs="Arial"/>
          <w:color w:val="000000"/>
          <w:sz w:val="20"/>
          <w:szCs w:val="20"/>
          <w:lang w:eastAsia="uk-UA"/>
        </w:rPr>
        <w:t>27%</w:t>
      </w:r>
      <w:r w:rsidRPr="008F4D41">
        <w:rPr>
          <w:rFonts w:ascii="Arial" w:eastAsia="Times New Roman" w:hAnsi="Arial" w:cs="Arial"/>
          <w:color w:val="000000"/>
          <w:sz w:val="20"/>
          <w:szCs w:val="20"/>
          <w:lang w:eastAsia="uk-UA"/>
        </w:rPr>
        <w:t xml:space="preserve"> to </w:t>
      </w:r>
      <w:r w:rsidR="00DB5AAE" w:rsidRPr="000D120B">
        <w:rPr>
          <w:rFonts w:ascii="Arial" w:eastAsia="Times New Roman" w:hAnsi="Arial" w:cs="Arial"/>
          <w:color w:val="000000"/>
          <w:sz w:val="20"/>
          <w:szCs w:val="20"/>
          <w:lang w:eastAsia="uk-UA"/>
        </w:rPr>
        <w:t>15%</w:t>
      </w:r>
      <w:r w:rsidRPr="008F4D41">
        <w:rPr>
          <w:rFonts w:ascii="Arial" w:eastAsia="Times New Roman" w:hAnsi="Arial" w:cs="Arial"/>
          <w:color w:val="000000"/>
          <w:sz w:val="20"/>
          <w:szCs w:val="20"/>
          <w:lang w:eastAsia="uk-UA"/>
        </w:rPr>
        <w:t>.</w:t>
      </w:r>
    </w:p>
    <w:p w14:paraId="7CA7C326" w14:textId="5809E16D" w:rsidR="00CB1414" w:rsidRPr="008F4D41" w:rsidRDefault="00CB1414" w:rsidP="00146B31">
      <w:pPr>
        <w:pStyle w:val="a5"/>
        <w:numPr>
          <w:ilvl w:val="0"/>
          <w:numId w:val="8"/>
        </w:numPr>
        <w:spacing w:before="120" w:after="120"/>
        <w:ind w:left="567" w:hanging="567"/>
        <w:jc w:val="both"/>
        <w:rPr>
          <w:rFonts w:ascii="Arial" w:eastAsia="Times New Roman" w:hAnsi="Arial" w:cs="Arial"/>
          <w:color w:val="000000"/>
          <w:sz w:val="20"/>
          <w:szCs w:val="20"/>
          <w:lang w:eastAsia="uk-UA"/>
        </w:rPr>
      </w:pPr>
      <w:r w:rsidRPr="008F4D41">
        <w:rPr>
          <w:rFonts w:ascii="Arial" w:eastAsia="Times New Roman" w:hAnsi="Arial" w:cs="Arial"/>
          <w:color w:val="000000"/>
          <w:sz w:val="20"/>
          <w:szCs w:val="20"/>
          <w:lang w:eastAsia="uk-UA"/>
        </w:rPr>
        <w:t xml:space="preserve">Net </w:t>
      </w:r>
      <w:r w:rsidR="006F6A4D" w:rsidRPr="008F4D41">
        <w:rPr>
          <w:rFonts w:ascii="Arial" w:eastAsia="Times New Roman" w:hAnsi="Arial" w:cs="Arial"/>
          <w:color w:val="000000"/>
          <w:sz w:val="20"/>
          <w:szCs w:val="20"/>
          <w:lang w:eastAsia="uk-UA"/>
        </w:rPr>
        <w:t>loss</w:t>
      </w:r>
      <w:r w:rsidRPr="008F4D41">
        <w:rPr>
          <w:rFonts w:ascii="Arial" w:eastAsia="Times New Roman" w:hAnsi="Arial" w:cs="Arial"/>
          <w:color w:val="000000"/>
          <w:sz w:val="20"/>
          <w:szCs w:val="20"/>
          <w:lang w:eastAsia="uk-UA"/>
        </w:rPr>
        <w:t xml:space="preserve"> </w:t>
      </w:r>
      <w:r w:rsidR="003817AA">
        <w:rPr>
          <w:rFonts w:ascii="Arial" w:eastAsia="Times New Roman" w:hAnsi="Arial" w:cs="Arial"/>
          <w:color w:val="000000"/>
          <w:sz w:val="20"/>
          <w:szCs w:val="20"/>
          <w:lang w:eastAsia="uk-UA"/>
        </w:rPr>
        <w:t>of</w:t>
      </w:r>
      <w:r w:rsidRPr="008F4D41">
        <w:rPr>
          <w:rFonts w:ascii="Arial" w:eastAsia="Times New Roman" w:hAnsi="Arial" w:cs="Arial"/>
          <w:color w:val="000000"/>
          <w:sz w:val="20"/>
          <w:szCs w:val="20"/>
          <w:lang w:eastAsia="uk-UA"/>
        </w:rPr>
        <w:t xml:space="preserve"> US$ </w:t>
      </w:r>
      <w:r w:rsidR="00C67F20" w:rsidRPr="000D120B">
        <w:rPr>
          <w:rFonts w:ascii="Arial" w:eastAsia="Times New Roman" w:hAnsi="Arial" w:cs="Arial"/>
          <w:color w:val="000000"/>
          <w:sz w:val="20"/>
          <w:szCs w:val="20"/>
          <w:lang w:eastAsia="uk-UA"/>
        </w:rPr>
        <w:t>231</w:t>
      </w:r>
      <w:r w:rsidRPr="008F4D41">
        <w:rPr>
          <w:rFonts w:ascii="Arial" w:eastAsia="Times New Roman" w:hAnsi="Arial" w:cs="Arial"/>
          <w:color w:val="000000"/>
          <w:sz w:val="20"/>
          <w:szCs w:val="20"/>
          <w:lang w:eastAsia="uk-UA"/>
        </w:rPr>
        <w:t xml:space="preserve"> million </w:t>
      </w:r>
      <w:r w:rsidR="003817AA">
        <w:rPr>
          <w:rFonts w:ascii="Arial" w:eastAsia="Times New Roman" w:hAnsi="Arial" w:cs="Arial"/>
          <w:color w:val="000000"/>
          <w:sz w:val="20"/>
          <w:szCs w:val="20"/>
          <w:lang w:eastAsia="uk-UA"/>
        </w:rPr>
        <w:t xml:space="preserve">(12m 2021: profit of </w:t>
      </w:r>
      <w:r w:rsidRPr="008F4D41">
        <w:rPr>
          <w:rFonts w:ascii="Arial" w:eastAsia="Times New Roman" w:hAnsi="Arial" w:cs="Arial"/>
          <w:color w:val="000000"/>
          <w:sz w:val="20"/>
          <w:szCs w:val="20"/>
          <w:lang w:eastAsia="uk-UA"/>
        </w:rPr>
        <w:t>US$</w:t>
      </w:r>
      <w:r w:rsidR="00B44440" w:rsidRPr="000D120B">
        <w:rPr>
          <w:rFonts w:ascii="Arial" w:eastAsia="Times New Roman" w:hAnsi="Arial" w:cs="Arial"/>
          <w:color w:val="000000"/>
          <w:sz w:val="20"/>
          <w:szCs w:val="20"/>
          <w:lang w:eastAsia="uk-UA"/>
        </w:rPr>
        <w:t xml:space="preserve"> </w:t>
      </w:r>
      <w:r w:rsidR="00C67F20" w:rsidRPr="000D120B">
        <w:rPr>
          <w:rFonts w:ascii="Arial" w:eastAsia="Times New Roman" w:hAnsi="Arial" w:cs="Arial"/>
          <w:color w:val="000000"/>
          <w:sz w:val="20"/>
          <w:szCs w:val="20"/>
          <w:lang w:eastAsia="uk-UA"/>
        </w:rPr>
        <w:t>393</w:t>
      </w:r>
      <w:r w:rsidRPr="008F4D41">
        <w:rPr>
          <w:rFonts w:ascii="Arial" w:eastAsia="Times New Roman" w:hAnsi="Arial" w:cs="Arial"/>
          <w:color w:val="000000"/>
          <w:sz w:val="20"/>
          <w:szCs w:val="20"/>
          <w:lang w:eastAsia="uk-UA"/>
        </w:rPr>
        <w:t xml:space="preserve"> million</w:t>
      </w:r>
      <w:r w:rsidR="003817AA">
        <w:rPr>
          <w:rFonts w:ascii="Arial" w:eastAsia="Times New Roman" w:hAnsi="Arial" w:cs="Arial"/>
          <w:color w:val="000000"/>
          <w:sz w:val="20"/>
          <w:szCs w:val="20"/>
          <w:lang w:eastAsia="uk-UA"/>
        </w:rPr>
        <w:t>)</w:t>
      </w:r>
      <w:r w:rsidRPr="008F4D41">
        <w:rPr>
          <w:rFonts w:ascii="Arial" w:eastAsia="Times New Roman" w:hAnsi="Arial" w:cs="Arial"/>
          <w:color w:val="000000"/>
          <w:sz w:val="20"/>
          <w:szCs w:val="20"/>
          <w:lang w:eastAsia="uk-UA"/>
        </w:rPr>
        <w:t xml:space="preserve">, primarily reflecting a US$ </w:t>
      </w:r>
      <w:r w:rsidR="00C67F20" w:rsidRPr="000D120B">
        <w:rPr>
          <w:rFonts w:ascii="Arial" w:eastAsia="Times New Roman" w:hAnsi="Arial" w:cs="Arial"/>
          <w:color w:val="000000"/>
          <w:sz w:val="20"/>
          <w:szCs w:val="20"/>
          <w:lang w:eastAsia="uk-UA"/>
        </w:rPr>
        <w:t>365</w:t>
      </w:r>
      <w:r w:rsidR="00BA0E2D" w:rsidRPr="008F4D41">
        <w:rPr>
          <w:rFonts w:ascii="Arial" w:eastAsia="Times New Roman" w:hAnsi="Arial" w:cs="Arial"/>
          <w:color w:val="000000"/>
          <w:sz w:val="20"/>
          <w:szCs w:val="20"/>
          <w:lang w:eastAsia="uk-UA"/>
        </w:rPr>
        <w:t xml:space="preserve"> </w:t>
      </w:r>
      <w:r w:rsidRPr="008F4D41">
        <w:rPr>
          <w:rFonts w:ascii="Arial" w:eastAsia="Times New Roman" w:hAnsi="Arial" w:cs="Arial"/>
          <w:color w:val="000000"/>
          <w:sz w:val="20"/>
          <w:szCs w:val="20"/>
          <w:lang w:eastAsia="uk-UA"/>
        </w:rPr>
        <w:t xml:space="preserve">million non-cash foreign exchange </w:t>
      </w:r>
      <w:r w:rsidR="006F6A4D" w:rsidRPr="008F4D41">
        <w:rPr>
          <w:rFonts w:ascii="Arial" w:eastAsia="Times New Roman" w:hAnsi="Arial" w:cs="Arial"/>
          <w:color w:val="000000"/>
          <w:sz w:val="20"/>
          <w:szCs w:val="20"/>
          <w:lang w:eastAsia="uk-UA"/>
        </w:rPr>
        <w:t>loss</w:t>
      </w:r>
      <w:r w:rsidRPr="008F4D41">
        <w:rPr>
          <w:rFonts w:ascii="Arial" w:eastAsia="Times New Roman" w:hAnsi="Arial" w:cs="Arial"/>
          <w:color w:val="000000"/>
          <w:sz w:val="20"/>
          <w:szCs w:val="20"/>
          <w:lang w:eastAsia="uk-UA"/>
        </w:rPr>
        <w:t xml:space="preserve"> in </w:t>
      </w:r>
      <w:r w:rsidR="00E152E5" w:rsidRPr="008F4D41">
        <w:rPr>
          <w:rFonts w:ascii="Arial" w:eastAsia="Times New Roman" w:hAnsi="Arial" w:cs="Arial"/>
          <w:color w:val="000000"/>
          <w:sz w:val="20"/>
          <w:szCs w:val="20"/>
          <w:lang w:eastAsia="uk-UA"/>
        </w:rPr>
        <w:t>12</w:t>
      </w:r>
      <w:r w:rsidR="00212B45" w:rsidRPr="008F4D41">
        <w:rPr>
          <w:rFonts w:ascii="Arial" w:eastAsia="Times New Roman" w:hAnsi="Arial" w:cs="Arial"/>
          <w:color w:val="000000"/>
          <w:sz w:val="20"/>
          <w:szCs w:val="20"/>
          <w:lang w:eastAsia="uk-UA"/>
        </w:rPr>
        <w:t>M</w:t>
      </w:r>
      <w:r w:rsidRPr="008F4D41">
        <w:rPr>
          <w:rFonts w:ascii="Arial" w:eastAsia="Times New Roman" w:hAnsi="Arial" w:cs="Arial"/>
          <w:color w:val="000000"/>
          <w:sz w:val="20"/>
          <w:szCs w:val="20"/>
          <w:lang w:eastAsia="uk-UA"/>
        </w:rPr>
        <w:t xml:space="preserve"> 202</w:t>
      </w:r>
      <w:r w:rsidR="006F6A4D" w:rsidRPr="008F4D41">
        <w:rPr>
          <w:rFonts w:ascii="Arial" w:eastAsia="Times New Roman" w:hAnsi="Arial" w:cs="Arial"/>
          <w:color w:val="000000"/>
          <w:sz w:val="20"/>
          <w:szCs w:val="20"/>
          <w:lang w:eastAsia="uk-UA"/>
        </w:rPr>
        <w:t>2</w:t>
      </w:r>
      <w:r w:rsidRPr="008F4D41">
        <w:rPr>
          <w:rFonts w:ascii="Arial" w:eastAsia="Times New Roman" w:hAnsi="Arial" w:cs="Arial"/>
          <w:color w:val="000000"/>
          <w:sz w:val="20"/>
          <w:szCs w:val="20"/>
          <w:lang w:eastAsia="uk-UA"/>
        </w:rPr>
        <w:t xml:space="preserve"> </w:t>
      </w:r>
      <w:r w:rsidR="00723727">
        <w:rPr>
          <w:rFonts w:ascii="Arial" w:eastAsia="Times New Roman" w:hAnsi="Arial" w:cs="Arial"/>
          <w:color w:val="000000"/>
          <w:sz w:val="20"/>
          <w:szCs w:val="20"/>
          <w:lang w:eastAsia="uk-UA"/>
        </w:rPr>
        <w:t xml:space="preserve">(12M 2021: </w:t>
      </w:r>
      <w:r w:rsidRPr="008F4D41">
        <w:rPr>
          <w:rFonts w:ascii="Arial" w:eastAsia="Times New Roman" w:hAnsi="Arial" w:cs="Arial"/>
          <w:color w:val="000000"/>
          <w:sz w:val="20"/>
          <w:szCs w:val="20"/>
          <w:lang w:eastAsia="uk-UA"/>
        </w:rPr>
        <w:t>US$</w:t>
      </w:r>
      <w:r w:rsidR="009D4D04" w:rsidRPr="008F4D41">
        <w:rPr>
          <w:rFonts w:ascii="Arial" w:eastAsia="Times New Roman" w:hAnsi="Arial" w:cs="Arial"/>
          <w:color w:val="000000"/>
          <w:sz w:val="20"/>
          <w:szCs w:val="20"/>
          <w:lang w:eastAsia="uk-UA"/>
        </w:rPr>
        <w:t xml:space="preserve"> </w:t>
      </w:r>
      <w:r w:rsidR="00C67F20" w:rsidRPr="000D120B">
        <w:rPr>
          <w:rFonts w:ascii="Arial" w:eastAsia="Times New Roman" w:hAnsi="Arial" w:cs="Arial"/>
          <w:color w:val="000000"/>
          <w:sz w:val="20"/>
          <w:szCs w:val="20"/>
          <w:lang w:eastAsia="uk-UA"/>
        </w:rPr>
        <w:t>40</w:t>
      </w:r>
      <w:r w:rsidR="009D4D04" w:rsidRPr="000D120B">
        <w:rPr>
          <w:rFonts w:ascii="Arial" w:eastAsia="Times New Roman" w:hAnsi="Arial" w:cs="Arial"/>
          <w:color w:val="000000"/>
          <w:sz w:val="20"/>
          <w:szCs w:val="20"/>
          <w:lang w:eastAsia="uk-UA"/>
        </w:rPr>
        <w:t xml:space="preserve"> </w:t>
      </w:r>
      <w:r w:rsidRPr="008F4D41">
        <w:rPr>
          <w:rFonts w:ascii="Arial" w:eastAsia="Times New Roman" w:hAnsi="Arial" w:cs="Arial"/>
          <w:color w:val="000000"/>
          <w:sz w:val="20"/>
          <w:szCs w:val="20"/>
          <w:lang w:eastAsia="uk-UA"/>
        </w:rPr>
        <w:t xml:space="preserve">million foreign exchange </w:t>
      </w:r>
      <w:r w:rsidR="006F6A4D" w:rsidRPr="008F4D41">
        <w:rPr>
          <w:rFonts w:ascii="Arial" w:eastAsia="Times New Roman" w:hAnsi="Arial" w:cs="Arial"/>
          <w:color w:val="000000"/>
          <w:sz w:val="20"/>
          <w:szCs w:val="20"/>
          <w:lang w:eastAsia="uk-UA"/>
        </w:rPr>
        <w:t>gain</w:t>
      </w:r>
      <w:r w:rsidR="00723727">
        <w:rPr>
          <w:rFonts w:ascii="Arial" w:eastAsia="Times New Roman" w:hAnsi="Arial" w:cs="Arial"/>
          <w:color w:val="000000"/>
          <w:sz w:val="20"/>
          <w:szCs w:val="20"/>
          <w:lang w:eastAsia="uk-UA"/>
        </w:rPr>
        <w:t>)</w:t>
      </w:r>
      <w:r w:rsidRPr="008F4D41">
        <w:rPr>
          <w:rFonts w:ascii="Arial" w:eastAsia="Times New Roman" w:hAnsi="Arial" w:cs="Arial"/>
          <w:color w:val="000000"/>
          <w:sz w:val="20"/>
          <w:szCs w:val="20"/>
          <w:lang w:eastAsia="uk-UA"/>
        </w:rPr>
        <w:t>.</w:t>
      </w:r>
    </w:p>
    <w:p w14:paraId="7D8DDC76" w14:textId="2489CF07" w:rsidR="00295912" w:rsidRPr="009D4D04" w:rsidRDefault="00E50058" w:rsidP="000C1D3E">
      <w:pPr>
        <w:spacing w:before="240"/>
        <w:rPr>
          <w:rFonts w:ascii="Arial" w:eastAsia="Times New Roman" w:hAnsi="Arial" w:cs="Arial"/>
          <w:b/>
          <w:color w:val="000000"/>
          <w:sz w:val="20"/>
          <w:szCs w:val="20"/>
          <w:lang w:eastAsia="uk-UA"/>
        </w:rPr>
      </w:pPr>
      <w:r w:rsidRPr="009D4D04">
        <w:rPr>
          <w:rFonts w:ascii="Arial" w:eastAsia="Times New Roman" w:hAnsi="Arial" w:cs="Arial"/>
          <w:b/>
          <w:color w:val="000000"/>
          <w:sz w:val="20"/>
          <w:szCs w:val="20"/>
          <w:lang w:eastAsia="uk-UA"/>
        </w:rPr>
        <w:t>FINANCIAL OVERVIEW</w:t>
      </w:r>
    </w:p>
    <w:tbl>
      <w:tblPr>
        <w:tblW w:w="5000" w:type="pct"/>
        <w:tblLayout w:type="fixed"/>
        <w:tblLook w:val="04A0" w:firstRow="1" w:lastRow="0" w:firstColumn="1" w:lastColumn="0" w:noHBand="0" w:noVBand="1"/>
      </w:tblPr>
      <w:tblGrid>
        <w:gridCol w:w="3687"/>
        <w:gridCol w:w="284"/>
        <w:gridCol w:w="993"/>
        <w:gridCol w:w="283"/>
        <w:gridCol w:w="992"/>
        <w:gridCol w:w="994"/>
        <w:gridCol w:w="281"/>
        <w:gridCol w:w="992"/>
        <w:gridCol w:w="994"/>
        <w:gridCol w:w="990"/>
      </w:tblGrid>
      <w:tr w:rsidR="00EB71AB" w:rsidRPr="00EF6048" w14:paraId="3B2DFDA1" w14:textId="5312F7CD" w:rsidTr="00A31CC3">
        <w:trPr>
          <w:trHeight w:val="20"/>
          <w:tblHeader/>
        </w:trPr>
        <w:tc>
          <w:tcPr>
            <w:tcW w:w="1757" w:type="pct"/>
            <w:vMerge w:val="restart"/>
            <w:tcBorders>
              <w:top w:val="single" w:sz="12" w:space="0" w:color="auto"/>
            </w:tcBorders>
            <w:shd w:val="clear" w:color="auto" w:fill="auto"/>
            <w:noWrap/>
            <w:vAlign w:val="center"/>
            <w:hideMark/>
          </w:tcPr>
          <w:p w14:paraId="464F9FB7" w14:textId="77777777" w:rsidR="00952E33" w:rsidRPr="00EF6048" w:rsidRDefault="00952E33" w:rsidP="000C1D3E">
            <w:pPr>
              <w:jc w:val="both"/>
              <w:rPr>
                <w:rFonts w:ascii="Arial" w:hAnsi="Arial" w:cs="Arial"/>
                <w:i/>
                <w:sz w:val="20"/>
                <w:szCs w:val="20"/>
                <w:lang w:eastAsia="ru-RU"/>
              </w:rPr>
            </w:pPr>
            <w:r w:rsidRPr="00EF6048">
              <w:rPr>
                <w:rFonts w:ascii="Arial" w:hAnsi="Arial" w:cs="Arial"/>
                <w:i/>
                <w:sz w:val="20"/>
                <w:szCs w:val="20"/>
                <w:lang w:eastAsia="ru-RU"/>
              </w:rPr>
              <w:t xml:space="preserve">(in </w:t>
            </w:r>
            <w:proofErr w:type="spellStart"/>
            <w:r w:rsidRPr="00EF6048">
              <w:rPr>
                <w:rFonts w:ascii="Arial" w:hAnsi="Arial" w:cs="Arial"/>
                <w:i/>
                <w:sz w:val="20"/>
                <w:szCs w:val="20"/>
                <w:lang w:eastAsia="ru-RU"/>
              </w:rPr>
              <w:t>mln</w:t>
            </w:r>
            <w:proofErr w:type="spellEnd"/>
            <w:r w:rsidRPr="00EF6048">
              <w:rPr>
                <w:rFonts w:ascii="Arial" w:hAnsi="Arial" w:cs="Arial"/>
                <w:i/>
                <w:sz w:val="20"/>
                <w:szCs w:val="20"/>
                <w:lang w:eastAsia="ru-RU"/>
              </w:rPr>
              <w:t>. US$, unless indicated otherwise)</w:t>
            </w:r>
          </w:p>
        </w:tc>
        <w:tc>
          <w:tcPr>
            <w:tcW w:w="135" w:type="pct"/>
          </w:tcPr>
          <w:p w14:paraId="77AF0B44" w14:textId="77777777" w:rsidR="00952E33" w:rsidRPr="00EF6048" w:rsidRDefault="00952E33" w:rsidP="000C1D3E">
            <w:pPr>
              <w:jc w:val="right"/>
              <w:rPr>
                <w:rFonts w:ascii="Arial" w:hAnsi="Arial" w:cs="Arial"/>
                <w:b/>
                <w:bCs/>
                <w:sz w:val="20"/>
                <w:szCs w:val="20"/>
                <w:lang w:eastAsia="ru-RU"/>
              </w:rPr>
            </w:pPr>
          </w:p>
        </w:tc>
        <w:tc>
          <w:tcPr>
            <w:tcW w:w="473" w:type="pct"/>
            <w:vMerge w:val="restart"/>
            <w:tcBorders>
              <w:top w:val="single" w:sz="12" w:space="0" w:color="auto"/>
            </w:tcBorders>
            <w:shd w:val="clear" w:color="auto" w:fill="auto"/>
            <w:noWrap/>
            <w:vAlign w:val="center"/>
          </w:tcPr>
          <w:p w14:paraId="551E36B1" w14:textId="5E9882DC" w:rsidR="0072061A" w:rsidRPr="00EF6048" w:rsidRDefault="0072061A" w:rsidP="00D02B2C">
            <w:pPr>
              <w:spacing w:after="0" w:line="240" w:lineRule="auto"/>
              <w:ind w:left="-62"/>
              <w:jc w:val="right"/>
              <w:rPr>
                <w:rFonts w:ascii="Arial" w:eastAsia="Times New Roman" w:hAnsi="Arial" w:cs="Arial"/>
                <w:b/>
                <w:bCs/>
                <w:color w:val="000000"/>
                <w:sz w:val="20"/>
                <w:szCs w:val="20"/>
                <w:lang w:eastAsia="ru-RU"/>
              </w:rPr>
            </w:pPr>
            <w:r w:rsidRPr="00EF6048">
              <w:rPr>
                <w:rFonts w:ascii="Arial" w:eastAsia="Times New Roman" w:hAnsi="Arial" w:cs="Arial"/>
                <w:b/>
                <w:bCs/>
                <w:color w:val="000000"/>
                <w:sz w:val="20"/>
                <w:szCs w:val="20"/>
                <w:lang w:eastAsia="ru-RU"/>
              </w:rPr>
              <w:t>Q</w:t>
            </w:r>
            <w:r w:rsidR="00D02B2C" w:rsidRPr="00EF6048">
              <w:rPr>
                <w:rFonts w:ascii="Arial" w:eastAsia="Times New Roman" w:hAnsi="Arial" w:cs="Arial"/>
                <w:b/>
                <w:bCs/>
                <w:color w:val="000000"/>
                <w:sz w:val="20"/>
                <w:szCs w:val="20"/>
                <w:lang w:eastAsia="ru-RU"/>
              </w:rPr>
              <w:t>4</w:t>
            </w:r>
            <w:r w:rsidRPr="00EF6048">
              <w:rPr>
                <w:rFonts w:ascii="Arial" w:eastAsia="Times New Roman" w:hAnsi="Arial" w:cs="Arial"/>
                <w:b/>
                <w:bCs/>
                <w:color w:val="000000"/>
                <w:sz w:val="20"/>
                <w:szCs w:val="20"/>
                <w:lang w:eastAsia="ru-RU"/>
              </w:rPr>
              <w:t xml:space="preserve"> 2022</w:t>
            </w:r>
          </w:p>
          <w:p w14:paraId="11501D1A" w14:textId="19709341" w:rsidR="00952E33" w:rsidRPr="00EF6048" w:rsidRDefault="00952E33" w:rsidP="00F47D43">
            <w:pPr>
              <w:spacing w:after="0" w:line="240" w:lineRule="auto"/>
              <w:jc w:val="right"/>
              <w:rPr>
                <w:rFonts w:ascii="Arial" w:eastAsia="Times New Roman" w:hAnsi="Arial" w:cs="Arial"/>
                <w:b/>
                <w:bCs/>
                <w:color w:val="000000"/>
                <w:sz w:val="20"/>
                <w:szCs w:val="20"/>
                <w:lang w:eastAsia="ru-RU"/>
              </w:rPr>
            </w:pPr>
          </w:p>
        </w:tc>
        <w:tc>
          <w:tcPr>
            <w:tcW w:w="135" w:type="pct"/>
            <w:tcBorders>
              <w:top w:val="single" w:sz="12" w:space="0" w:color="auto"/>
            </w:tcBorders>
            <w:vAlign w:val="center"/>
          </w:tcPr>
          <w:p w14:paraId="4979296A" w14:textId="77777777" w:rsidR="00952E33" w:rsidRPr="00EF6048" w:rsidRDefault="00952E33" w:rsidP="00A31CC3">
            <w:pPr>
              <w:spacing w:after="0" w:line="240" w:lineRule="auto"/>
              <w:jc w:val="right"/>
              <w:rPr>
                <w:rFonts w:ascii="Arial" w:eastAsia="Times New Roman" w:hAnsi="Arial" w:cs="Arial"/>
                <w:b/>
                <w:bCs/>
                <w:color w:val="000000"/>
                <w:sz w:val="20"/>
                <w:szCs w:val="20"/>
                <w:lang w:eastAsia="ru-RU"/>
              </w:rPr>
            </w:pPr>
          </w:p>
        </w:tc>
        <w:tc>
          <w:tcPr>
            <w:tcW w:w="473" w:type="pct"/>
            <w:vMerge w:val="restart"/>
            <w:tcBorders>
              <w:top w:val="single" w:sz="12" w:space="0" w:color="auto"/>
            </w:tcBorders>
            <w:shd w:val="clear" w:color="auto" w:fill="auto"/>
            <w:noWrap/>
            <w:vAlign w:val="center"/>
          </w:tcPr>
          <w:p w14:paraId="013472CB" w14:textId="2339AD44" w:rsidR="0072061A" w:rsidRPr="00EF6048" w:rsidRDefault="0072061A" w:rsidP="0072061A">
            <w:pPr>
              <w:spacing w:after="0" w:line="240" w:lineRule="auto"/>
              <w:jc w:val="right"/>
              <w:rPr>
                <w:rFonts w:ascii="Arial" w:hAnsi="Arial" w:cs="Arial"/>
                <w:sz w:val="20"/>
                <w:szCs w:val="20"/>
              </w:rPr>
            </w:pPr>
            <w:r w:rsidRPr="00EF6048">
              <w:rPr>
                <w:rFonts w:ascii="Arial" w:hAnsi="Arial" w:cs="Arial"/>
                <w:b/>
                <w:bCs/>
                <w:sz w:val="20"/>
                <w:szCs w:val="20"/>
              </w:rPr>
              <w:t>Q</w:t>
            </w:r>
            <w:r w:rsidR="00D02B2C" w:rsidRPr="00EF6048">
              <w:rPr>
                <w:rFonts w:ascii="Arial" w:hAnsi="Arial" w:cs="Arial"/>
                <w:b/>
                <w:bCs/>
                <w:sz w:val="20"/>
                <w:szCs w:val="20"/>
              </w:rPr>
              <w:t>4</w:t>
            </w:r>
            <w:r w:rsidRPr="00EF6048">
              <w:rPr>
                <w:rFonts w:ascii="Arial" w:hAnsi="Arial" w:cs="Arial"/>
                <w:b/>
                <w:bCs/>
                <w:sz w:val="20"/>
                <w:szCs w:val="20"/>
              </w:rPr>
              <w:t xml:space="preserve"> 2021</w:t>
            </w:r>
          </w:p>
          <w:p w14:paraId="48369F79" w14:textId="5A57F92E" w:rsidR="00952E33" w:rsidRPr="00EF6048" w:rsidRDefault="00952E33" w:rsidP="00F47D43">
            <w:pPr>
              <w:spacing w:after="0" w:line="240" w:lineRule="auto"/>
              <w:jc w:val="right"/>
              <w:rPr>
                <w:rFonts w:ascii="Arial" w:eastAsia="Times New Roman" w:hAnsi="Arial" w:cs="Arial"/>
                <w:b/>
                <w:bCs/>
                <w:color w:val="000000"/>
                <w:sz w:val="20"/>
                <w:szCs w:val="20"/>
                <w:lang w:eastAsia="ru-RU"/>
              </w:rPr>
            </w:pPr>
          </w:p>
        </w:tc>
        <w:tc>
          <w:tcPr>
            <w:tcW w:w="474" w:type="pct"/>
            <w:vMerge w:val="restart"/>
            <w:tcBorders>
              <w:top w:val="single" w:sz="12" w:space="0" w:color="auto"/>
            </w:tcBorders>
            <w:shd w:val="clear" w:color="auto" w:fill="auto"/>
            <w:noWrap/>
            <w:vAlign w:val="center"/>
            <w:hideMark/>
          </w:tcPr>
          <w:p w14:paraId="7290C83C" w14:textId="52A870F0" w:rsidR="00952E33" w:rsidRPr="00EF6048" w:rsidRDefault="00952E33" w:rsidP="00A31CC3">
            <w:pPr>
              <w:jc w:val="right"/>
              <w:rPr>
                <w:rFonts w:ascii="Arial" w:hAnsi="Arial" w:cs="Arial"/>
                <w:i/>
                <w:iCs/>
                <w:sz w:val="20"/>
                <w:szCs w:val="20"/>
                <w:lang w:eastAsia="ru-RU"/>
              </w:rPr>
            </w:pPr>
            <w:r w:rsidRPr="00EF6048">
              <w:rPr>
                <w:rFonts w:ascii="Arial" w:hAnsi="Arial" w:cs="Arial"/>
                <w:i/>
                <w:iCs/>
                <w:sz w:val="20"/>
                <w:szCs w:val="20"/>
                <w:lang w:eastAsia="ru-RU"/>
              </w:rPr>
              <w:t>% change</w:t>
            </w:r>
            <w:r w:rsidRPr="00EF6048">
              <w:rPr>
                <w:rFonts w:ascii="Arial" w:hAnsi="Arial" w:cs="Arial"/>
                <w:i/>
                <w:iCs/>
                <w:sz w:val="20"/>
                <w:szCs w:val="20"/>
                <w:vertAlign w:val="superscript"/>
                <w:lang w:eastAsia="ru-RU"/>
              </w:rPr>
              <w:t>1)</w:t>
            </w:r>
          </w:p>
        </w:tc>
        <w:tc>
          <w:tcPr>
            <w:tcW w:w="134" w:type="pct"/>
            <w:tcBorders>
              <w:top w:val="single" w:sz="12" w:space="0" w:color="auto"/>
            </w:tcBorders>
            <w:vAlign w:val="center"/>
          </w:tcPr>
          <w:p w14:paraId="1FBAC0D7" w14:textId="77777777" w:rsidR="00952E33" w:rsidRPr="00EF6048" w:rsidRDefault="00952E33" w:rsidP="00A31CC3">
            <w:pPr>
              <w:jc w:val="right"/>
              <w:rPr>
                <w:rFonts w:ascii="Arial" w:hAnsi="Arial" w:cs="Arial"/>
                <w:i/>
                <w:iCs/>
                <w:sz w:val="20"/>
                <w:szCs w:val="20"/>
                <w:lang w:eastAsia="ru-RU"/>
              </w:rPr>
            </w:pPr>
          </w:p>
        </w:tc>
        <w:tc>
          <w:tcPr>
            <w:tcW w:w="473" w:type="pct"/>
            <w:vMerge w:val="restart"/>
            <w:tcBorders>
              <w:top w:val="single" w:sz="12" w:space="0" w:color="auto"/>
            </w:tcBorders>
            <w:vAlign w:val="center"/>
          </w:tcPr>
          <w:p w14:paraId="079B0A91" w14:textId="5071F845" w:rsidR="00952E33" w:rsidRPr="00EF6048" w:rsidRDefault="00D02B2C" w:rsidP="00A31CC3">
            <w:pPr>
              <w:spacing w:after="0" w:line="240" w:lineRule="auto"/>
              <w:ind w:left="-62"/>
              <w:jc w:val="right"/>
              <w:rPr>
                <w:rFonts w:ascii="Arial" w:eastAsia="Times New Roman" w:hAnsi="Arial" w:cs="Arial"/>
                <w:b/>
                <w:bCs/>
                <w:color w:val="000000"/>
                <w:sz w:val="20"/>
                <w:szCs w:val="20"/>
                <w:lang w:val="uk-UA" w:eastAsia="ru-RU"/>
              </w:rPr>
            </w:pPr>
            <w:r w:rsidRPr="00EF6048">
              <w:rPr>
                <w:rFonts w:ascii="Arial" w:eastAsia="Times New Roman" w:hAnsi="Arial" w:cs="Arial"/>
                <w:b/>
                <w:bCs/>
                <w:color w:val="000000"/>
                <w:sz w:val="20"/>
                <w:szCs w:val="20"/>
                <w:lang w:eastAsia="ru-RU"/>
              </w:rPr>
              <w:t>12</w:t>
            </w:r>
            <w:r w:rsidR="00212B45" w:rsidRPr="00EF6048">
              <w:rPr>
                <w:rFonts w:ascii="Arial" w:eastAsia="Times New Roman" w:hAnsi="Arial" w:cs="Arial"/>
                <w:b/>
                <w:bCs/>
                <w:color w:val="000000"/>
                <w:sz w:val="20"/>
                <w:szCs w:val="20"/>
                <w:lang w:eastAsia="ru-RU"/>
              </w:rPr>
              <w:t>M</w:t>
            </w:r>
            <w:r w:rsidR="00952E33" w:rsidRPr="00EF6048">
              <w:rPr>
                <w:rFonts w:ascii="Arial" w:eastAsia="Times New Roman" w:hAnsi="Arial" w:cs="Arial"/>
                <w:b/>
                <w:bCs/>
                <w:color w:val="000000"/>
                <w:sz w:val="20"/>
                <w:szCs w:val="20"/>
                <w:lang w:eastAsia="ru-RU"/>
              </w:rPr>
              <w:t xml:space="preserve"> 2022</w:t>
            </w:r>
          </w:p>
        </w:tc>
        <w:tc>
          <w:tcPr>
            <w:tcW w:w="474" w:type="pct"/>
            <w:vMerge w:val="restart"/>
            <w:tcBorders>
              <w:top w:val="single" w:sz="12" w:space="0" w:color="auto"/>
            </w:tcBorders>
            <w:vAlign w:val="center"/>
          </w:tcPr>
          <w:p w14:paraId="74F64F2D" w14:textId="350D0AD6" w:rsidR="00952E33" w:rsidRPr="00EF6048" w:rsidRDefault="00D02B2C" w:rsidP="00A31CC3">
            <w:pPr>
              <w:spacing w:after="0" w:line="240" w:lineRule="auto"/>
              <w:ind w:left="-62"/>
              <w:jc w:val="right"/>
              <w:rPr>
                <w:rFonts w:ascii="Arial" w:eastAsia="Times New Roman" w:hAnsi="Arial" w:cs="Arial"/>
                <w:b/>
                <w:bCs/>
                <w:color w:val="000000"/>
                <w:sz w:val="20"/>
                <w:szCs w:val="20"/>
                <w:lang w:val="uk-UA" w:eastAsia="ru-RU"/>
              </w:rPr>
            </w:pPr>
            <w:r w:rsidRPr="00EF6048">
              <w:rPr>
                <w:rFonts w:ascii="Arial" w:eastAsia="Times New Roman" w:hAnsi="Arial" w:cs="Arial"/>
                <w:b/>
                <w:bCs/>
                <w:color w:val="000000"/>
                <w:sz w:val="20"/>
                <w:szCs w:val="20"/>
                <w:lang w:eastAsia="ru-RU"/>
              </w:rPr>
              <w:t>12</w:t>
            </w:r>
            <w:r w:rsidR="00212B45" w:rsidRPr="00EF6048">
              <w:rPr>
                <w:rFonts w:ascii="Arial" w:eastAsia="Times New Roman" w:hAnsi="Arial" w:cs="Arial"/>
                <w:b/>
                <w:bCs/>
                <w:color w:val="000000"/>
                <w:sz w:val="20"/>
                <w:szCs w:val="20"/>
                <w:lang w:eastAsia="ru-RU"/>
              </w:rPr>
              <w:t>M</w:t>
            </w:r>
            <w:r w:rsidR="00952E33" w:rsidRPr="00EF6048">
              <w:rPr>
                <w:rFonts w:ascii="Arial" w:eastAsia="Times New Roman" w:hAnsi="Arial" w:cs="Arial"/>
                <w:b/>
                <w:bCs/>
                <w:color w:val="000000"/>
                <w:sz w:val="20"/>
                <w:szCs w:val="20"/>
                <w:lang w:eastAsia="ru-RU"/>
              </w:rPr>
              <w:t xml:space="preserve"> 2021</w:t>
            </w:r>
          </w:p>
        </w:tc>
        <w:tc>
          <w:tcPr>
            <w:tcW w:w="472" w:type="pct"/>
            <w:vMerge w:val="restart"/>
            <w:tcBorders>
              <w:top w:val="single" w:sz="12" w:space="0" w:color="auto"/>
            </w:tcBorders>
            <w:vAlign w:val="center"/>
          </w:tcPr>
          <w:p w14:paraId="19B9545C" w14:textId="26F75297" w:rsidR="00952E33" w:rsidRPr="00EF6048" w:rsidRDefault="00952E33" w:rsidP="00A31CC3">
            <w:pPr>
              <w:spacing w:after="0" w:line="240" w:lineRule="auto"/>
              <w:ind w:left="-62"/>
              <w:jc w:val="right"/>
              <w:rPr>
                <w:rFonts w:ascii="Arial" w:hAnsi="Arial" w:cs="Arial"/>
                <w:i/>
                <w:iCs/>
                <w:sz w:val="20"/>
                <w:szCs w:val="20"/>
                <w:lang w:eastAsia="ru-RU"/>
              </w:rPr>
            </w:pPr>
            <w:r w:rsidRPr="00EF6048">
              <w:rPr>
                <w:rFonts w:ascii="Arial" w:hAnsi="Arial" w:cs="Arial"/>
                <w:i/>
                <w:iCs/>
                <w:sz w:val="20"/>
                <w:szCs w:val="20"/>
                <w:lang w:eastAsia="ru-RU"/>
              </w:rPr>
              <w:t>% change</w:t>
            </w:r>
            <w:r w:rsidR="00D02A55" w:rsidRPr="00EF6048">
              <w:rPr>
                <w:rFonts w:ascii="Arial" w:hAnsi="Arial" w:cs="Arial"/>
                <w:i/>
                <w:iCs/>
                <w:sz w:val="20"/>
                <w:szCs w:val="20"/>
                <w:vertAlign w:val="superscript"/>
                <w:lang w:eastAsia="ru-RU"/>
              </w:rPr>
              <w:t>1)</w:t>
            </w:r>
          </w:p>
        </w:tc>
      </w:tr>
      <w:tr w:rsidR="00EB71AB" w:rsidRPr="00EF6048" w14:paraId="5008D218" w14:textId="75E5FB93" w:rsidTr="00EB71AB">
        <w:trPr>
          <w:trHeight w:val="20"/>
        </w:trPr>
        <w:tc>
          <w:tcPr>
            <w:tcW w:w="1757" w:type="pct"/>
            <w:vMerge/>
            <w:tcBorders>
              <w:bottom w:val="single" w:sz="12" w:space="0" w:color="auto"/>
            </w:tcBorders>
            <w:vAlign w:val="center"/>
            <w:hideMark/>
          </w:tcPr>
          <w:p w14:paraId="6E67E473" w14:textId="77777777" w:rsidR="00952E33" w:rsidRPr="00EF6048" w:rsidRDefault="00952E33" w:rsidP="000C1D3E">
            <w:pPr>
              <w:jc w:val="both"/>
              <w:rPr>
                <w:rFonts w:ascii="Arial" w:hAnsi="Arial" w:cs="Arial"/>
                <w:sz w:val="20"/>
                <w:szCs w:val="20"/>
                <w:lang w:eastAsia="ru-RU"/>
              </w:rPr>
            </w:pPr>
          </w:p>
        </w:tc>
        <w:tc>
          <w:tcPr>
            <w:tcW w:w="135" w:type="pct"/>
          </w:tcPr>
          <w:p w14:paraId="22B3FD40" w14:textId="77777777" w:rsidR="00952E33" w:rsidRPr="00EF6048" w:rsidRDefault="00952E33" w:rsidP="000C1D3E">
            <w:pPr>
              <w:jc w:val="both"/>
              <w:rPr>
                <w:rFonts w:ascii="Arial" w:hAnsi="Arial" w:cs="Arial"/>
                <w:b/>
                <w:bCs/>
                <w:sz w:val="20"/>
                <w:szCs w:val="20"/>
                <w:lang w:eastAsia="ru-RU"/>
              </w:rPr>
            </w:pPr>
          </w:p>
        </w:tc>
        <w:tc>
          <w:tcPr>
            <w:tcW w:w="473" w:type="pct"/>
            <w:vMerge/>
            <w:tcBorders>
              <w:bottom w:val="single" w:sz="12" w:space="0" w:color="auto"/>
            </w:tcBorders>
            <w:vAlign w:val="center"/>
            <w:hideMark/>
          </w:tcPr>
          <w:p w14:paraId="6E074242" w14:textId="77777777" w:rsidR="00952E33" w:rsidRPr="00EF6048" w:rsidRDefault="00952E33" w:rsidP="000C1D3E">
            <w:pPr>
              <w:spacing w:after="0" w:line="240" w:lineRule="auto"/>
              <w:jc w:val="right"/>
              <w:rPr>
                <w:rFonts w:ascii="Arial" w:eastAsia="Times New Roman" w:hAnsi="Arial" w:cs="Arial"/>
                <w:b/>
                <w:bCs/>
                <w:color w:val="000000"/>
                <w:sz w:val="20"/>
                <w:szCs w:val="20"/>
                <w:lang w:eastAsia="ru-RU"/>
              </w:rPr>
            </w:pPr>
          </w:p>
        </w:tc>
        <w:tc>
          <w:tcPr>
            <w:tcW w:w="135" w:type="pct"/>
            <w:tcBorders>
              <w:bottom w:val="single" w:sz="12" w:space="0" w:color="auto"/>
            </w:tcBorders>
          </w:tcPr>
          <w:p w14:paraId="2785DF28" w14:textId="77777777" w:rsidR="00952E33" w:rsidRPr="00EF6048" w:rsidRDefault="00952E33" w:rsidP="000C1D3E">
            <w:pPr>
              <w:spacing w:after="0" w:line="240" w:lineRule="auto"/>
              <w:jc w:val="right"/>
              <w:rPr>
                <w:rFonts w:ascii="Arial" w:eastAsia="Times New Roman" w:hAnsi="Arial" w:cs="Arial"/>
                <w:b/>
                <w:bCs/>
                <w:color w:val="000000"/>
                <w:sz w:val="20"/>
                <w:szCs w:val="20"/>
                <w:lang w:eastAsia="ru-RU"/>
              </w:rPr>
            </w:pPr>
          </w:p>
        </w:tc>
        <w:tc>
          <w:tcPr>
            <w:tcW w:w="473" w:type="pct"/>
            <w:vMerge/>
            <w:tcBorders>
              <w:bottom w:val="single" w:sz="12" w:space="0" w:color="auto"/>
            </w:tcBorders>
            <w:vAlign w:val="center"/>
            <w:hideMark/>
          </w:tcPr>
          <w:p w14:paraId="55CEBAB3" w14:textId="77777777" w:rsidR="00952E33" w:rsidRPr="00EF6048" w:rsidRDefault="00952E33" w:rsidP="000C1D3E">
            <w:pPr>
              <w:jc w:val="both"/>
              <w:rPr>
                <w:rFonts w:ascii="Arial" w:hAnsi="Arial" w:cs="Arial"/>
                <w:b/>
                <w:bCs/>
                <w:sz w:val="20"/>
                <w:szCs w:val="20"/>
                <w:lang w:eastAsia="ru-RU"/>
              </w:rPr>
            </w:pPr>
          </w:p>
        </w:tc>
        <w:tc>
          <w:tcPr>
            <w:tcW w:w="474" w:type="pct"/>
            <w:vMerge/>
            <w:tcBorders>
              <w:bottom w:val="single" w:sz="12" w:space="0" w:color="auto"/>
            </w:tcBorders>
            <w:vAlign w:val="center"/>
            <w:hideMark/>
          </w:tcPr>
          <w:p w14:paraId="76DD5591" w14:textId="77777777" w:rsidR="00952E33" w:rsidRPr="00EF6048" w:rsidRDefault="00952E33" w:rsidP="000C1D3E">
            <w:pPr>
              <w:jc w:val="both"/>
              <w:rPr>
                <w:rFonts w:ascii="Arial" w:hAnsi="Arial" w:cs="Arial"/>
                <w:i/>
                <w:iCs/>
                <w:sz w:val="20"/>
                <w:szCs w:val="20"/>
                <w:lang w:eastAsia="ru-RU"/>
              </w:rPr>
            </w:pPr>
          </w:p>
        </w:tc>
        <w:tc>
          <w:tcPr>
            <w:tcW w:w="134" w:type="pct"/>
            <w:tcBorders>
              <w:bottom w:val="single" w:sz="12" w:space="0" w:color="auto"/>
            </w:tcBorders>
          </w:tcPr>
          <w:p w14:paraId="32EA546F" w14:textId="77777777" w:rsidR="00952E33" w:rsidRPr="00EF6048" w:rsidRDefault="00952E33" w:rsidP="000C1D3E">
            <w:pPr>
              <w:jc w:val="both"/>
              <w:rPr>
                <w:rFonts w:ascii="Arial" w:hAnsi="Arial" w:cs="Arial"/>
                <w:i/>
                <w:iCs/>
                <w:sz w:val="20"/>
                <w:szCs w:val="20"/>
                <w:lang w:eastAsia="ru-RU"/>
              </w:rPr>
            </w:pPr>
          </w:p>
        </w:tc>
        <w:tc>
          <w:tcPr>
            <w:tcW w:w="473" w:type="pct"/>
            <w:vMerge/>
            <w:tcBorders>
              <w:bottom w:val="single" w:sz="12" w:space="0" w:color="auto"/>
            </w:tcBorders>
          </w:tcPr>
          <w:p w14:paraId="781998EE" w14:textId="77777777" w:rsidR="00952E33" w:rsidRPr="00EF6048" w:rsidRDefault="00952E33" w:rsidP="000C1D3E">
            <w:pPr>
              <w:jc w:val="both"/>
              <w:rPr>
                <w:rFonts w:ascii="Arial" w:hAnsi="Arial" w:cs="Arial"/>
                <w:i/>
                <w:iCs/>
                <w:sz w:val="20"/>
                <w:szCs w:val="20"/>
                <w:lang w:eastAsia="ru-RU"/>
              </w:rPr>
            </w:pPr>
          </w:p>
        </w:tc>
        <w:tc>
          <w:tcPr>
            <w:tcW w:w="474" w:type="pct"/>
            <w:vMerge/>
            <w:tcBorders>
              <w:bottom w:val="single" w:sz="12" w:space="0" w:color="auto"/>
            </w:tcBorders>
          </w:tcPr>
          <w:p w14:paraId="7B75DFC8" w14:textId="77777777" w:rsidR="00952E33" w:rsidRPr="00EF6048" w:rsidRDefault="00952E33" w:rsidP="000C1D3E">
            <w:pPr>
              <w:jc w:val="both"/>
              <w:rPr>
                <w:rFonts w:ascii="Arial" w:hAnsi="Arial" w:cs="Arial"/>
                <w:i/>
                <w:iCs/>
                <w:sz w:val="20"/>
                <w:szCs w:val="20"/>
                <w:lang w:eastAsia="ru-RU"/>
              </w:rPr>
            </w:pPr>
          </w:p>
        </w:tc>
        <w:tc>
          <w:tcPr>
            <w:tcW w:w="472" w:type="pct"/>
            <w:vMerge/>
            <w:tcBorders>
              <w:bottom w:val="single" w:sz="12" w:space="0" w:color="auto"/>
            </w:tcBorders>
          </w:tcPr>
          <w:p w14:paraId="12F13269" w14:textId="77777777" w:rsidR="00952E33" w:rsidRPr="00EF6048" w:rsidRDefault="00952E33" w:rsidP="000C1D3E">
            <w:pPr>
              <w:jc w:val="both"/>
              <w:rPr>
                <w:rFonts w:ascii="Arial" w:hAnsi="Arial" w:cs="Arial"/>
                <w:i/>
                <w:iCs/>
                <w:sz w:val="20"/>
                <w:szCs w:val="20"/>
                <w:lang w:eastAsia="ru-RU"/>
              </w:rPr>
            </w:pPr>
          </w:p>
        </w:tc>
      </w:tr>
      <w:tr w:rsidR="00EB71AB" w:rsidRPr="00EF6048" w14:paraId="1B535C24" w14:textId="22E2432A" w:rsidTr="00EB71AB">
        <w:trPr>
          <w:trHeight w:val="20"/>
        </w:trPr>
        <w:tc>
          <w:tcPr>
            <w:tcW w:w="1757" w:type="pct"/>
            <w:shd w:val="clear" w:color="auto" w:fill="auto"/>
            <w:noWrap/>
            <w:vAlign w:val="center"/>
            <w:hideMark/>
          </w:tcPr>
          <w:p w14:paraId="389000DD" w14:textId="77777777" w:rsidR="00952E33" w:rsidRPr="00EF6048" w:rsidRDefault="00952E33" w:rsidP="001E7040">
            <w:pPr>
              <w:spacing w:after="0"/>
              <w:ind w:right="963"/>
              <w:jc w:val="both"/>
              <w:rPr>
                <w:rFonts w:ascii="Arial" w:hAnsi="Arial" w:cs="Arial"/>
                <w:b/>
                <w:bCs/>
                <w:sz w:val="20"/>
                <w:szCs w:val="20"/>
                <w:lang w:eastAsia="ru-RU"/>
              </w:rPr>
            </w:pPr>
            <w:r w:rsidRPr="00EF6048">
              <w:rPr>
                <w:rFonts w:ascii="Arial" w:hAnsi="Arial" w:cs="Arial"/>
                <w:b/>
                <w:bCs/>
                <w:sz w:val="20"/>
                <w:szCs w:val="20"/>
                <w:lang w:eastAsia="ru-RU"/>
              </w:rPr>
              <w:t>Revenue</w:t>
            </w:r>
          </w:p>
        </w:tc>
        <w:tc>
          <w:tcPr>
            <w:tcW w:w="135" w:type="pct"/>
          </w:tcPr>
          <w:p w14:paraId="077DF7D4" w14:textId="77777777" w:rsidR="00952E33" w:rsidRPr="00EF6048" w:rsidRDefault="00952E33" w:rsidP="000C1D3E">
            <w:pPr>
              <w:spacing w:after="0"/>
              <w:jc w:val="right"/>
              <w:rPr>
                <w:rFonts w:ascii="Arial" w:hAnsi="Arial" w:cs="Arial"/>
                <w:b/>
                <w:bCs/>
                <w:sz w:val="20"/>
                <w:szCs w:val="20"/>
                <w:lang w:eastAsia="ru-RU"/>
              </w:rPr>
            </w:pPr>
          </w:p>
        </w:tc>
        <w:tc>
          <w:tcPr>
            <w:tcW w:w="473" w:type="pct"/>
            <w:shd w:val="clear" w:color="auto" w:fill="auto"/>
            <w:noWrap/>
            <w:vAlign w:val="center"/>
          </w:tcPr>
          <w:p w14:paraId="069935D1" w14:textId="2820E2B1" w:rsidR="00952E33" w:rsidRPr="00EF6048" w:rsidRDefault="003C0E32" w:rsidP="004B1C16">
            <w:pPr>
              <w:spacing w:after="0" w:line="240" w:lineRule="auto"/>
              <w:jc w:val="right"/>
              <w:rPr>
                <w:rFonts w:ascii="Arial" w:eastAsia="Times New Roman" w:hAnsi="Arial" w:cs="Arial"/>
                <w:b/>
                <w:color w:val="000000"/>
                <w:sz w:val="20"/>
                <w:szCs w:val="20"/>
                <w:lang w:eastAsia="ru-RU"/>
              </w:rPr>
            </w:pPr>
            <w:r w:rsidRPr="00EF6048">
              <w:rPr>
                <w:rFonts w:ascii="Arial" w:hAnsi="Arial" w:cs="Arial"/>
                <w:b/>
                <w:sz w:val="20"/>
                <w:szCs w:val="20"/>
              </w:rPr>
              <w:t xml:space="preserve"> </w:t>
            </w:r>
            <w:r w:rsidR="00BA054D" w:rsidRPr="000D120B">
              <w:rPr>
                <w:rFonts w:ascii="Arial" w:hAnsi="Arial" w:cs="Arial"/>
                <w:b/>
                <w:sz w:val="20"/>
                <w:szCs w:val="20"/>
              </w:rPr>
              <w:t xml:space="preserve"> 766</w:t>
            </w:r>
          </w:p>
        </w:tc>
        <w:tc>
          <w:tcPr>
            <w:tcW w:w="135" w:type="pct"/>
            <w:vAlign w:val="center"/>
          </w:tcPr>
          <w:p w14:paraId="3EB25670" w14:textId="77777777" w:rsidR="00952E33" w:rsidRPr="00EF6048" w:rsidRDefault="00952E33" w:rsidP="004B1C16">
            <w:pPr>
              <w:spacing w:after="0" w:line="240" w:lineRule="auto"/>
              <w:jc w:val="right"/>
              <w:rPr>
                <w:rFonts w:ascii="Arial" w:eastAsia="Times New Roman" w:hAnsi="Arial" w:cs="Arial"/>
                <w:b/>
                <w:color w:val="000000"/>
                <w:sz w:val="20"/>
                <w:szCs w:val="20"/>
                <w:lang w:eastAsia="ru-RU"/>
              </w:rPr>
            </w:pPr>
          </w:p>
        </w:tc>
        <w:tc>
          <w:tcPr>
            <w:tcW w:w="473" w:type="pct"/>
            <w:shd w:val="clear" w:color="auto" w:fill="auto"/>
            <w:noWrap/>
            <w:vAlign w:val="center"/>
          </w:tcPr>
          <w:p w14:paraId="5AAAD36A" w14:textId="65F9ECCF" w:rsidR="00952E33" w:rsidRPr="00EF6048" w:rsidRDefault="003C0E32" w:rsidP="004B1C16">
            <w:pPr>
              <w:spacing w:after="0" w:line="240" w:lineRule="auto"/>
              <w:jc w:val="right"/>
              <w:rPr>
                <w:rFonts w:ascii="Arial" w:eastAsia="Times New Roman" w:hAnsi="Arial" w:cs="Arial"/>
                <w:b/>
                <w:iCs/>
                <w:color w:val="000000"/>
                <w:sz w:val="20"/>
                <w:szCs w:val="20"/>
                <w:lang w:eastAsia="ru-RU"/>
              </w:rPr>
            </w:pPr>
            <w:r w:rsidRPr="00EF6048">
              <w:rPr>
                <w:rFonts w:ascii="Arial" w:hAnsi="Arial" w:cs="Arial"/>
                <w:b/>
                <w:sz w:val="20"/>
                <w:szCs w:val="20"/>
              </w:rPr>
              <w:t xml:space="preserve"> </w:t>
            </w:r>
            <w:r w:rsidR="00BA054D" w:rsidRPr="000D120B">
              <w:rPr>
                <w:rFonts w:ascii="Arial" w:hAnsi="Arial" w:cs="Arial"/>
                <w:b/>
                <w:sz w:val="20"/>
                <w:szCs w:val="20"/>
              </w:rPr>
              <w:t xml:space="preserve"> 725</w:t>
            </w:r>
          </w:p>
        </w:tc>
        <w:tc>
          <w:tcPr>
            <w:tcW w:w="474" w:type="pct"/>
            <w:shd w:val="clear" w:color="auto" w:fill="auto"/>
            <w:noWrap/>
            <w:vAlign w:val="center"/>
          </w:tcPr>
          <w:p w14:paraId="667D6358" w14:textId="32B4DD52" w:rsidR="00952E33" w:rsidRPr="00EF6048" w:rsidRDefault="00BA054D" w:rsidP="004B1C16">
            <w:pPr>
              <w:spacing w:after="0" w:line="240" w:lineRule="auto"/>
              <w:jc w:val="right"/>
              <w:rPr>
                <w:rFonts w:ascii="Arial" w:eastAsia="Times New Roman" w:hAnsi="Arial" w:cs="Arial"/>
                <w:b/>
                <w:i/>
                <w:iCs/>
                <w:color w:val="000000"/>
                <w:sz w:val="20"/>
                <w:szCs w:val="20"/>
                <w:lang w:eastAsia="ru-RU"/>
              </w:rPr>
            </w:pPr>
            <w:r w:rsidRPr="000D120B">
              <w:rPr>
                <w:rFonts w:ascii="Arial" w:hAnsi="Arial" w:cs="Arial"/>
                <w:b/>
                <w:sz w:val="20"/>
                <w:szCs w:val="20"/>
              </w:rPr>
              <w:t>6%</w:t>
            </w:r>
          </w:p>
        </w:tc>
        <w:tc>
          <w:tcPr>
            <w:tcW w:w="134" w:type="pct"/>
            <w:vAlign w:val="center"/>
          </w:tcPr>
          <w:p w14:paraId="51DBF907" w14:textId="77777777" w:rsidR="00952E33" w:rsidRPr="00EF6048" w:rsidRDefault="00952E33" w:rsidP="004B1C16">
            <w:pPr>
              <w:spacing w:after="0" w:line="240" w:lineRule="auto"/>
              <w:jc w:val="right"/>
              <w:rPr>
                <w:rFonts w:ascii="Arial" w:eastAsia="Times New Roman" w:hAnsi="Arial" w:cs="Arial"/>
                <w:b/>
                <w:i/>
                <w:iCs/>
                <w:color w:val="000000"/>
                <w:sz w:val="20"/>
                <w:szCs w:val="20"/>
                <w:lang w:eastAsia="ru-RU"/>
              </w:rPr>
            </w:pPr>
          </w:p>
        </w:tc>
        <w:tc>
          <w:tcPr>
            <w:tcW w:w="473" w:type="pct"/>
            <w:vAlign w:val="center"/>
          </w:tcPr>
          <w:p w14:paraId="6DB26174" w14:textId="29DFCE03" w:rsidR="00952E33" w:rsidRPr="00EF6048" w:rsidRDefault="003C0E32" w:rsidP="004B1C16">
            <w:pPr>
              <w:spacing w:after="0" w:line="240" w:lineRule="auto"/>
              <w:jc w:val="right"/>
              <w:rPr>
                <w:rFonts w:ascii="Arial" w:hAnsi="Arial" w:cs="Arial"/>
                <w:b/>
                <w:sz w:val="20"/>
                <w:szCs w:val="20"/>
              </w:rPr>
            </w:pPr>
            <w:r w:rsidRPr="00EF6048">
              <w:rPr>
                <w:rFonts w:ascii="Arial" w:hAnsi="Arial" w:cs="Arial"/>
                <w:b/>
                <w:sz w:val="20"/>
                <w:szCs w:val="20"/>
              </w:rPr>
              <w:t xml:space="preserve"> </w:t>
            </w:r>
            <w:r w:rsidR="00BA054D" w:rsidRPr="000D120B">
              <w:rPr>
                <w:rFonts w:ascii="Arial" w:hAnsi="Arial" w:cs="Arial"/>
                <w:b/>
                <w:sz w:val="20"/>
                <w:szCs w:val="20"/>
              </w:rPr>
              <w:t>2,642</w:t>
            </w:r>
          </w:p>
        </w:tc>
        <w:tc>
          <w:tcPr>
            <w:tcW w:w="474" w:type="pct"/>
            <w:vAlign w:val="center"/>
          </w:tcPr>
          <w:p w14:paraId="4B060CCB" w14:textId="525E4530" w:rsidR="00952E33" w:rsidRPr="00EF6048" w:rsidRDefault="003C0E32" w:rsidP="004B1C16">
            <w:pPr>
              <w:spacing w:after="0" w:line="240" w:lineRule="auto"/>
              <w:jc w:val="right"/>
              <w:rPr>
                <w:rFonts w:ascii="Arial" w:hAnsi="Arial" w:cs="Arial"/>
                <w:b/>
                <w:sz w:val="20"/>
                <w:szCs w:val="20"/>
              </w:rPr>
            </w:pPr>
            <w:r w:rsidRPr="00EF6048">
              <w:rPr>
                <w:rFonts w:ascii="Arial" w:hAnsi="Arial" w:cs="Arial"/>
                <w:b/>
                <w:sz w:val="20"/>
                <w:szCs w:val="20"/>
              </w:rPr>
              <w:t xml:space="preserve"> </w:t>
            </w:r>
            <w:r w:rsidR="00BA054D" w:rsidRPr="000D120B">
              <w:rPr>
                <w:rFonts w:ascii="Arial" w:hAnsi="Arial" w:cs="Arial"/>
                <w:b/>
                <w:sz w:val="20"/>
                <w:szCs w:val="20"/>
              </w:rPr>
              <w:t>2,372</w:t>
            </w:r>
          </w:p>
        </w:tc>
        <w:tc>
          <w:tcPr>
            <w:tcW w:w="472" w:type="pct"/>
            <w:vAlign w:val="center"/>
          </w:tcPr>
          <w:p w14:paraId="5D3773DA" w14:textId="41AFEA9A" w:rsidR="00952E33" w:rsidRPr="00EF6048" w:rsidRDefault="00BA054D" w:rsidP="004B1C16">
            <w:pPr>
              <w:spacing w:after="0" w:line="240" w:lineRule="auto"/>
              <w:jc w:val="right"/>
              <w:rPr>
                <w:rFonts w:ascii="Arial" w:hAnsi="Arial" w:cs="Arial"/>
                <w:b/>
                <w:sz w:val="20"/>
                <w:szCs w:val="20"/>
              </w:rPr>
            </w:pPr>
            <w:r w:rsidRPr="000D120B">
              <w:rPr>
                <w:rFonts w:ascii="Arial" w:hAnsi="Arial" w:cs="Arial"/>
                <w:b/>
                <w:sz w:val="20"/>
                <w:szCs w:val="20"/>
              </w:rPr>
              <w:t>11%</w:t>
            </w:r>
          </w:p>
        </w:tc>
      </w:tr>
      <w:tr w:rsidR="00EB71AB" w:rsidRPr="00EF6048" w14:paraId="3B234CE1" w14:textId="33646AFB" w:rsidTr="00EB71AB">
        <w:trPr>
          <w:trHeight w:val="20"/>
        </w:trPr>
        <w:tc>
          <w:tcPr>
            <w:tcW w:w="1757" w:type="pct"/>
            <w:tcBorders>
              <w:bottom w:val="single" w:sz="2" w:space="0" w:color="auto"/>
            </w:tcBorders>
            <w:shd w:val="clear" w:color="auto" w:fill="auto"/>
            <w:noWrap/>
            <w:vAlign w:val="center"/>
            <w:hideMark/>
          </w:tcPr>
          <w:p w14:paraId="6802A213" w14:textId="6603C7C3" w:rsidR="00952E33" w:rsidRPr="00EF6048" w:rsidRDefault="00952E33" w:rsidP="000C1D3E">
            <w:pPr>
              <w:spacing w:after="0"/>
              <w:jc w:val="both"/>
              <w:rPr>
                <w:rFonts w:ascii="Arial" w:hAnsi="Arial" w:cs="Arial"/>
                <w:sz w:val="20"/>
                <w:szCs w:val="20"/>
                <w:lang w:eastAsia="ru-RU"/>
              </w:rPr>
            </w:pPr>
            <w:r w:rsidRPr="00EF6048">
              <w:rPr>
                <w:rFonts w:ascii="Arial" w:hAnsi="Arial" w:cs="Arial"/>
                <w:sz w:val="20"/>
                <w:szCs w:val="20"/>
                <w:lang w:eastAsia="ru-RU"/>
              </w:rPr>
              <w:t>IAS 41 standard losses</w:t>
            </w:r>
          </w:p>
        </w:tc>
        <w:tc>
          <w:tcPr>
            <w:tcW w:w="135" w:type="pct"/>
          </w:tcPr>
          <w:p w14:paraId="48109A4E" w14:textId="77777777" w:rsidR="00952E33" w:rsidRPr="00EF6048" w:rsidRDefault="00952E33" w:rsidP="000C1D3E">
            <w:pPr>
              <w:spacing w:after="0"/>
              <w:jc w:val="right"/>
              <w:rPr>
                <w:rFonts w:ascii="Arial" w:hAnsi="Arial" w:cs="Arial"/>
                <w:sz w:val="20"/>
                <w:szCs w:val="20"/>
                <w:lang w:eastAsia="ru-RU"/>
              </w:rPr>
            </w:pPr>
          </w:p>
        </w:tc>
        <w:tc>
          <w:tcPr>
            <w:tcW w:w="473" w:type="pct"/>
            <w:tcBorders>
              <w:bottom w:val="single" w:sz="2" w:space="0" w:color="auto"/>
            </w:tcBorders>
            <w:shd w:val="clear" w:color="auto" w:fill="auto"/>
            <w:noWrap/>
            <w:vAlign w:val="center"/>
          </w:tcPr>
          <w:p w14:paraId="3FFC6F4A" w14:textId="67894CE1" w:rsidR="00952E33" w:rsidRPr="00EF6048" w:rsidRDefault="00BA054D" w:rsidP="004B1C16">
            <w:pPr>
              <w:spacing w:after="0" w:line="240" w:lineRule="auto"/>
              <w:jc w:val="right"/>
              <w:rPr>
                <w:rFonts w:ascii="Arial" w:hAnsi="Arial" w:cs="Arial"/>
                <w:sz w:val="20"/>
                <w:szCs w:val="20"/>
              </w:rPr>
            </w:pPr>
            <w:r w:rsidRPr="000D120B">
              <w:rPr>
                <w:rFonts w:ascii="Arial" w:hAnsi="Arial" w:cs="Arial"/>
                <w:sz w:val="20"/>
                <w:szCs w:val="20"/>
              </w:rPr>
              <w:t>(9)</w:t>
            </w:r>
          </w:p>
        </w:tc>
        <w:tc>
          <w:tcPr>
            <w:tcW w:w="135" w:type="pct"/>
            <w:tcBorders>
              <w:bottom w:val="single" w:sz="2" w:space="0" w:color="auto"/>
            </w:tcBorders>
            <w:vAlign w:val="center"/>
          </w:tcPr>
          <w:p w14:paraId="52463243" w14:textId="77777777" w:rsidR="00952E33" w:rsidRPr="00EF6048" w:rsidRDefault="00952E33" w:rsidP="004B1C16">
            <w:pPr>
              <w:spacing w:after="0" w:line="240" w:lineRule="auto"/>
              <w:jc w:val="right"/>
              <w:rPr>
                <w:rFonts w:ascii="Arial" w:hAnsi="Arial" w:cs="Arial"/>
                <w:sz w:val="20"/>
                <w:szCs w:val="20"/>
              </w:rPr>
            </w:pPr>
          </w:p>
        </w:tc>
        <w:tc>
          <w:tcPr>
            <w:tcW w:w="473" w:type="pct"/>
            <w:tcBorders>
              <w:bottom w:val="single" w:sz="2" w:space="0" w:color="auto"/>
            </w:tcBorders>
            <w:shd w:val="clear" w:color="auto" w:fill="auto"/>
            <w:noWrap/>
            <w:vAlign w:val="center"/>
          </w:tcPr>
          <w:p w14:paraId="6A032002" w14:textId="3C6C737B" w:rsidR="00952E33" w:rsidRPr="00EF6048" w:rsidRDefault="003C0E32" w:rsidP="004B1C16">
            <w:pPr>
              <w:spacing w:after="0" w:line="240" w:lineRule="auto"/>
              <w:jc w:val="right"/>
              <w:rPr>
                <w:rFonts w:ascii="Arial" w:hAnsi="Arial" w:cs="Arial"/>
                <w:sz w:val="20"/>
                <w:szCs w:val="20"/>
              </w:rPr>
            </w:pPr>
            <w:r w:rsidRPr="00EF6048">
              <w:rPr>
                <w:rFonts w:ascii="Arial" w:hAnsi="Arial" w:cs="Arial"/>
                <w:sz w:val="20"/>
                <w:szCs w:val="20"/>
              </w:rPr>
              <w:t xml:space="preserve"> </w:t>
            </w:r>
            <w:r w:rsidR="00BA054D" w:rsidRPr="000D120B">
              <w:rPr>
                <w:rFonts w:ascii="Arial" w:hAnsi="Arial" w:cs="Arial"/>
                <w:sz w:val="20"/>
                <w:szCs w:val="20"/>
              </w:rPr>
              <w:t xml:space="preserve"> 9</w:t>
            </w:r>
          </w:p>
        </w:tc>
        <w:tc>
          <w:tcPr>
            <w:tcW w:w="474" w:type="pct"/>
            <w:tcBorders>
              <w:bottom w:val="single" w:sz="2" w:space="0" w:color="auto"/>
            </w:tcBorders>
            <w:shd w:val="clear" w:color="auto" w:fill="auto"/>
            <w:noWrap/>
            <w:vAlign w:val="center"/>
          </w:tcPr>
          <w:p w14:paraId="14EFED9B" w14:textId="50AF191C" w:rsidR="00952E33" w:rsidRPr="00EF6048" w:rsidRDefault="00BA054D" w:rsidP="004B1C16">
            <w:pPr>
              <w:spacing w:after="0" w:line="240" w:lineRule="auto"/>
              <w:jc w:val="right"/>
              <w:rPr>
                <w:rFonts w:ascii="Arial" w:hAnsi="Arial" w:cs="Arial"/>
                <w:sz w:val="20"/>
                <w:szCs w:val="20"/>
              </w:rPr>
            </w:pPr>
            <w:r w:rsidRPr="000D120B">
              <w:rPr>
                <w:rFonts w:ascii="Arial" w:hAnsi="Arial" w:cs="Arial"/>
                <w:sz w:val="20"/>
                <w:szCs w:val="20"/>
              </w:rPr>
              <w:t>-200%</w:t>
            </w:r>
          </w:p>
        </w:tc>
        <w:tc>
          <w:tcPr>
            <w:tcW w:w="134" w:type="pct"/>
            <w:tcBorders>
              <w:bottom w:val="single" w:sz="2" w:space="0" w:color="auto"/>
            </w:tcBorders>
            <w:vAlign w:val="center"/>
          </w:tcPr>
          <w:p w14:paraId="767246C2" w14:textId="77777777" w:rsidR="00952E33" w:rsidRPr="00EF6048" w:rsidRDefault="00952E33" w:rsidP="004B1C16">
            <w:pPr>
              <w:spacing w:after="0" w:line="240" w:lineRule="auto"/>
              <w:jc w:val="right"/>
              <w:rPr>
                <w:rFonts w:ascii="Arial" w:hAnsi="Arial" w:cs="Arial"/>
                <w:sz w:val="20"/>
                <w:szCs w:val="20"/>
              </w:rPr>
            </w:pPr>
          </w:p>
        </w:tc>
        <w:tc>
          <w:tcPr>
            <w:tcW w:w="473" w:type="pct"/>
            <w:tcBorders>
              <w:bottom w:val="single" w:sz="2" w:space="0" w:color="auto"/>
            </w:tcBorders>
            <w:vAlign w:val="center"/>
          </w:tcPr>
          <w:p w14:paraId="26A05B26" w14:textId="23AB8AAD" w:rsidR="00952E33" w:rsidRPr="00EF6048" w:rsidRDefault="00BA054D" w:rsidP="004B1C16">
            <w:pPr>
              <w:spacing w:after="0" w:line="240" w:lineRule="auto"/>
              <w:jc w:val="right"/>
              <w:rPr>
                <w:rFonts w:ascii="Arial" w:hAnsi="Arial" w:cs="Arial"/>
                <w:sz w:val="20"/>
                <w:szCs w:val="20"/>
              </w:rPr>
            </w:pPr>
            <w:r w:rsidRPr="000D120B">
              <w:rPr>
                <w:rFonts w:ascii="Arial" w:hAnsi="Arial" w:cs="Arial"/>
                <w:sz w:val="20"/>
                <w:szCs w:val="20"/>
              </w:rPr>
              <w:t>(128)</w:t>
            </w:r>
          </w:p>
        </w:tc>
        <w:tc>
          <w:tcPr>
            <w:tcW w:w="474" w:type="pct"/>
            <w:tcBorders>
              <w:bottom w:val="single" w:sz="2" w:space="0" w:color="auto"/>
            </w:tcBorders>
            <w:vAlign w:val="center"/>
          </w:tcPr>
          <w:p w14:paraId="3BC2A5FD" w14:textId="1BBF46B6" w:rsidR="00952E33" w:rsidRPr="00EF6048" w:rsidRDefault="003C0E32" w:rsidP="004B1C16">
            <w:pPr>
              <w:spacing w:after="0" w:line="240" w:lineRule="auto"/>
              <w:jc w:val="right"/>
              <w:rPr>
                <w:rFonts w:ascii="Arial" w:hAnsi="Arial" w:cs="Arial"/>
                <w:sz w:val="20"/>
                <w:szCs w:val="20"/>
              </w:rPr>
            </w:pPr>
            <w:r w:rsidRPr="00EF6048">
              <w:rPr>
                <w:rFonts w:ascii="Arial" w:hAnsi="Arial" w:cs="Arial"/>
                <w:sz w:val="20"/>
                <w:szCs w:val="20"/>
              </w:rPr>
              <w:t xml:space="preserve"> </w:t>
            </w:r>
            <w:r w:rsidR="00BA054D" w:rsidRPr="000D120B">
              <w:rPr>
                <w:rFonts w:ascii="Arial" w:hAnsi="Arial" w:cs="Arial"/>
                <w:sz w:val="20"/>
                <w:szCs w:val="20"/>
              </w:rPr>
              <w:t xml:space="preserve"> 185</w:t>
            </w:r>
          </w:p>
        </w:tc>
        <w:tc>
          <w:tcPr>
            <w:tcW w:w="472" w:type="pct"/>
            <w:tcBorders>
              <w:bottom w:val="single" w:sz="2" w:space="0" w:color="auto"/>
            </w:tcBorders>
            <w:vAlign w:val="center"/>
          </w:tcPr>
          <w:p w14:paraId="2E68F188" w14:textId="73ABB775" w:rsidR="00952E33" w:rsidRPr="00EF6048" w:rsidRDefault="00BA054D" w:rsidP="004B1C16">
            <w:pPr>
              <w:spacing w:after="0" w:line="240" w:lineRule="auto"/>
              <w:jc w:val="right"/>
              <w:rPr>
                <w:rFonts w:ascii="Arial" w:hAnsi="Arial" w:cs="Arial"/>
                <w:bCs/>
                <w:sz w:val="20"/>
                <w:szCs w:val="20"/>
              </w:rPr>
            </w:pPr>
            <w:r w:rsidRPr="000D120B">
              <w:rPr>
                <w:rFonts w:ascii="Arial" w:hAnsi="Arial" w:cs="Arial"/>
                <w:sz w:val="20"/>
                <w:szCs w:val="20"/>
              </w:rPr>
              <w:t>-169%</w:t>
            </w:r>
          </w:p>
        </w:tc>
      </w:tr>
      <w:tr w:rsidR="00EB71AB" w:rsidRPr="00EF6048" w14:paraId="4B1067F2" w14:textId="0B06B9CA" w:rsidTr="00EB71AB">
        <w:trPr>
          <w:trHeight w:val="20"/>
        </w:trPr>
        <w:tc>
          <w:tcPr>
            <w:tcW w:w="1757" w:type="pct"/>
            <w:tcBorders>
              <w:top w:val="single" w:sz="2" w:space="0" w:color="auto"/>
            </w:tcBorders>
            <w:shd w:val="clear" w:color="auto" w:fill="auto"/>
            <w:noWrap/>
            <w:vAlign w:val="center"/>
          </w:tcPr>
          <w:p w14:paraId="54492363" w14:textId="77777777" w:rsidR="00952E33" w:rsidRPr="00EF6048" w:rsidRDefault="00952E33" w:rsidP="000C1D3E">
            <w:pPr>
              <w:spacing w:after="0"/>
              <w:jc w:val="both"/>
              <w:rPr>
                <w:rFonts w:ascii="Arial" w:hAnsi="Arial" w:cs="Arial"/>
                <w:b/>
                <w:bCs/>
                <w:sz w:val="20"/>
                <w:szCs w:val="20"/>
                <w:lang w:eastAsia="ru-RU"/>
              </w:rPr>
            </w:pPr>
          </w:p>
        </w:tc>
        <w:tc>
          <w:tcPr>
            <w:tcW w:w="135" w:type="pct"/>
          </w:tcPr>
          <w:p w14:paraId="14DF6A07" w14:textId="77777777" w:rsidR="00952E33" w:rsidRPr="00EF6048" w:rsidRDefault="00952E33" w:rsidP="000C1D3E">
            <w:pPr>
              <w:spacing w:after="0"/>
              <w:jc w:val="right"/>
              <w:rPr>
                <w:rFonts w:ascii="Arial" w:hAnsi="Arial" w:cs="Arial"/>
                <w:b/>
                <w:bCs/>
                <w:sz w:val="20"/>
                <w:szCs w:val="20"/>
                <w:lang w:eastAsia="ru-RU"/>
              </w:rPr>
            </w:pPr>
          </w:p>
        </w:tc>
        <w:tc>
          <w:tcPr>
            <w:tcW w:w="473" w:type="pct"/>
            <w:tcBorders>
              <w:top w:val="single" w:sz="2" w:space="0" w:color="auto"/>
            </w:tcBorders>
            <w:shd w:val="clear" w:color="auto" w:fill="auto"/>
            <w:noWrap/>
            <w:vAlign w:val="center"/>
          </w:tcPr>
          <w:p w14:paraId="59F358F2" w14:textId="77777777" w:rsidR="00952E33" w:rsidRPr="00EF6048" w:rsidRDefault="00952E33" w:rsidP="004B1C16">
            <w:pPr>
              <w:spacing w:after="0" w:line="240" w:lineRule="auto"/>
              <w:jc w:val="right"/>
              <w:rPr>
                <w:rFonts w:ascii="Arial" w:eastAsia="Times New Roman" w:hAnsi="Arial" w:cs="Arial"/>
                <w:b/>
                <w:bCs/>
                <w:color w:val="000000"/>
                <w:sz w:val="20"/>
                <w:szCs w:val="20"/>
                <w:lang w:eastAsia="ru-RU"/>
              </w:rPr>
            </w:pPr>
          </w:p>
        </w:tc>
        <w:tc>
          <w:tcPr>
            <w:tcW w:w="135" w:type="pct"/>
            <w:tcBorders>
              <w:top w:val="single" w:sz="2" w:space="0" w:color="auto"/>
            </w:tcBorders>
            <w:vAlign w:val="center"/>
          </w:tcPr>
          <w:p w14:paraId="67A823EA" w14:textId="77777777" w:rsidR="00952E33" w:rsidRPr="00EF6048" w:rsidRDefault="00952E33" w:rsidP="004B1C16">
            <w:pPr>
              <w:spacing w:after="0" w:line="240" w:lineRule="auto"/>
              <w:jc w:val="right"/>
              <w:rPr>
                <w:rFonts w:ascii="Arial" w:eastAsia="Times New Roman" w:hAnsi="Arial" w:cs="Arial"/>
                <w:b/>
                <w:bCs/>
                <w:color w:val="000000"/>
                <w:sz w:val="20"/>
                <w:szCs w:val="20"/>
                <w:lang w:eastAsia="ru-RU"/>
              </w:rPr>
            </w:pPr>
          </w:p>
        </w:tc>
        <w:tc>
          <w:tcPr>
            <w:tcW w:w="473" w:type="pct"/>
            <w:tcBorders>
              <w:top w:val="single" w:sz="2" w:space="0" w:color="auto"/>
            </w:tcBorders>
            <w:shd w:val="clear" w:color="auto" w:fill="auto"/>
            <w:noWrap/>
            <w:vAlign w:val="center"/>
          </w:tcPr>
          <w:p w14:paraId="3876A658" w14:textId="77777777" w:rsidR="00952E33" w:rsidRPr="00EF6048" w:rsidRDefault="00952E33" w:rsidP="004B1C16">
            <w:pPr>
              <w:spacing w:after="0" w:line="240" w:lineRule="auto"/>
              <w:jc w:val="right"/>
              <w:rPr>
                <w:rFonts w:ascii="Arial" w:eastAsia="Times New Roman" w:hAnsi="Arial" w:cs="Arial"/>
                <w:b/>
                <w:bCs/>
                <w:iCs/>
                <w:color w:val="000000"/>
                <w:sz w:val="20"/>
                <w:szCs w:val="20"/>
                <w:lang w:eastAsia="ru-RU"/>
              </w:rPr>
            </w:pPr>
          </w:p>
        </w:tc>
        <w:tc>
          <w:tcPr>
            <w:tcW w:w="474" w:type="pct"/>
            <w:tcBorders>
              <w:top w:val="single" w:sz="2" w:space="0" w:color="auto"/>
            </w:tcBorders>
            <w:shd w:val="clear" w:color="auto" w:fill="auto"/>
            <w:noWrap/>
            <w:vAlign w:val="center"/>
          </w:tcPr>
          <w:p w14:paraId="3AD84BBF" w14:textId="77777777" w:rsidR="00952E33" w:rsidRPr="00EF6048" w:rsidRDefault="00952E33" w:rsidP="004B1C16">
            <w:pPr>
              <w:spacing w:after="0" w:line="240" w:lineRule="auto"/>
              <w:jc w:val="right"/>
              <w:rPr>
                <w:rFonts w:ascii="Arial" w:eastAsia="Times New Roman" w:hAnsi="Arial" w:cs="Arial"/>
                <w:i/>
                <w:iCs/>
                <w:color w:val="000000"/>
                <w:sz w:val="20"/>
                <w:szCs w:val="20"/>
                <w:lang w:eastAsia="ru-RU"/>
              </w:rPr>
            </w:pPr>
          </w:p>
        </w:tc>
        <w:tc>
          <w:tcPr>
            <w:tcW w:w="134" w:type="pct"/>
            <w:tcBorders>
              <w:top w:val="single" w:sz="2" w:space="0" w:color="auto"/>
            </w:tcBorders>
            <w:vAlign w:val="center"/>
          </w:tcPr>
          <w:p w14:paraId="4CAE058C" w14:textId="77777777" w:rsidR="00952E33" w:rsidRPr="00EF6048" w:rsidRDefault="00952E33" w:rsidP="004B1C16">
            <w:pPr>
              <w:spacing w:after="0" w:line="240" w:lineRule="auto"/>
              <w:jc w:val="right"/>
              <w:rPr>
                <w:rFonts w:ascii="Arial" w:eastAsia="Times New Roman" w:hAnsi="Arial" w:cs="Arial"/>
                <w:i/>
                <w:iCs/>
                <w:color w:val="000000"/>
                <w:sz w:val="20"/>
                <w:szCs w:val="20"/>
                <w:lang w:eastAsia="ru-RU"/>
              </w:rPr>
            </w:pPr>
          </w:p>
        </w:tc>
        <w:tc>
          <w:tcPr>
            <w:tcW w:w="473" w:type="pct"/>
            <w:tcBorders>
              <w:top w:val="single" w:sz="2" w:space="0" w:color="auto"/>
            </w:tcBorders>
            <w:vAlign w:val="center"/>
          </w:tcPr>
          <w:p w14:paraId="48143D3E" w14:textId="77777777" w:rsidR="00952E33" w:rsidRPr="00EF6048" w:rsidRDefault="00952E33" w:rsidP="004B1C16">
            <w:pPr>
              <w:spacing w:after="0" w:line="240" w:lineRule="auto"/>
              <w:jc w:val="right"/>
              <w:rPr>
                <w:rFonts w:ascii="Arial" w:eastAsia="Times New Roman" w:hAnsi="Arial" w:cs="Arial"/>
                <w:i/>
                <w:iCs/>
                <w:color w:val="000000"/>
                <w:sz w:val="20"/>
                <w:szCs w:val="20"/>
                <w:lang w:eastAsia="ru-RU"/>
              </w:rPr>
            </w:pPr>
          </w:p>
        </w:tc>
        <w:tc>
          <w:tcPr>
            <w:tcW w:w="474" w:type="pct"/>
            <w:tcBorders>
              <w:top w:val="single" w:sz="2" w:space="0" w:color="auto"/>
            </w:tcBorders>
            <w:vAlign w:val="center"/>
          </w:tcPr>
          <w:p w14:paraId="3EDDCAAF" w14:textId="77777777" w:rsidR="00952E33" w:rsidRPr="00EF6048" w:rsidRDefault="00952E33" w:rsidP="004B1C16">
            <w:pPr>
              <w:spacing w:after="0" w:line="240" w:lineRule="auto"/>
              <w:jc w:val="right"/>
              <w:rPr>
                <w:rFonts w:ascii="Arial" w:eastAsia="Times New Roman" w:hAnsi="Arial" w:cs="Arial"/>
                <w:i/>
                <w:iCs/>
                <w:color w:val="000000"/>
                <w:sz w:val="20"/>
                <w:szCs w:val="20"/>
                <w:lang w:eastAsia="ru-RU"/>
              </w:rPr>
            </w:pPr>
          </w:p>
        </w:tc>
        <w:tc>
          <w:tcPr>
            <w:tcW w:w="472" w:type="pct"/>
            <w:tcBorders>
              <w:top w:val="single" w:sz="2" w:space="0" w:color="auto"/>
            </w:tcBorders>
            <w:vAlign w:val="center"/>
          </w:tcPr>
          <w:p w14:paraId="1C122385" w14:textId="77777777" w:rsidR="00952E33" w:rsidRPr="00EF6048" w:rsidRDefault="00952E33" w:rsidP="004B1C16">
            <w:pPr>
              <w:spacing w:after="0" w:line="240" w:lineRule="auto"/>
              <w:jc w:val="right"/>
              <w:rPr>
                <w:rFonts w:ascii="Arial" w:hAnsi="Arial" w:cs="Arial"/>
                <w:b/>
                <w:sz w:val="20"/>
                <w:szCs w:val="20"/>
              </w:rPr>
            </w:pPr>
          </w:p>
        </w:tc>
      </w:tr>
      <w:tr w:rsidR="00EB71AB" w:rsidRPr="00EF6048" w14:paraId="486F2D23" w14:textId="7EE97470" w:rsidTr="00EB71AB">
        <w:trPr>
          <w:trHeight w:val="20"/>
        </w:trPr>
        <w:tc>
          <w:tcPr>
            <w:tcW w:w="1757" w:type="pct"/>
            <w:shd w:val="clear" w:color="auto" w:fill="auto"/>
            <w:noWrap/>
            <w:vAlign w:val="center"/>
            <w:hideMark/>
          </w:tcPr>
          <w:p w14:paraId="4F709E55" w14:textId="77777777" w:rsidR="00952E33" w:rsidRPr="00EF6048" w:rsidRDefault="00952E33" w:rsidP="000C1D3E">
            <w:pPr>
              <w:spacing w:after="0"/>
              <w:jc w:val="both"/>
              <w:rPr>
                <w:rFonts w:ascii="Arial" w:hAnsi="Arial" w:cs="Arial"/>
                <w:b/>
                <w:bCs/>
                <w:sz w:val="20"/>
                <w:szCs w:val="20"/>
                <w:lang w:eastAsia="ru-RU"/>
              </w:rPr>
            </w:pPr>
            <w:r w:rsidRPr="00EF6048">
              <w:rPr>
                <w:rFonts w:ascii="Arial" w:hAnsi="Arial" w:cs="Arial"/>
                <w:b/>
                <w:bCs/>
                <w:sz w:val="20"/>
                <w:szCs w:val="20"/>
                <w:lang w:eastAsia="ru-RU"/>
              </w:rPr>
              <w:t>Gross profit</w:t>
            </w:r>
          </w:p>
        </w:tc>
        <w:tc>
          <w:tcPr>
            <w:tcW w:w="135" w:type="pct"/>
          </w:tcPr>
          <w:p w14:paraId="2E77008A" w14:textId="77777777" w:rsidR="00952E33" w:rsidRPr="00EF6048" w:rsidRDefault="00952E33" w:rsidP="000C1D3E">
            <w:pPr>
              <w:spacing w:after="0"/>
              <w:jc w:val="right"/>
              <w:rPr>
                <w:rFonts w:ascii="Arial" w:hAnsi="Arial" w:cs="Arial"/>
                <w:b/>
                <w:bCs/>
                <w:sz w:val="20"/>
                <w:szCs w:val="20"/>
                <w:lang w:eastAsia="ru-RU"/>
              </w:rPr>
            </w:pPr>
          </w:p>
        </w:tc>
        <w:tc>
          <w:tcPr>
            <w:tcW w:w="473" w:type="pct"/>
            <w:shd w:val="clear" w:color="auto" w:fill="auto"/>
            <w:noWrap/>
            <w:vAlign w:val="center"/>
          </w:tcPr>
          <w:p w14:paraId="265C89EC" w14:textId="74DC4EDF" w:rsidR="00952E33" w:rsidRPr="00EF6048" w:rsidRDefault="003C0E32" w:rsidP="004B1C16">
            <w:pPr>
              <w:spacing w:after="0" w:line="240" w:lineRule="auto"/>
              <w:jc w:val="right"/>
              <w:rPr>
                <w:rFonts w:ascii="Arial" w:eastAsia="Times New Roman" w:hAnsi="Arial" w:cs="Arial"/>
                <w:b/>
                <w:color w:val="000000"/>
                <w:sz w:val="20"/>
                <w:szCs w:val="20"/>
                <w:lang w:eastAsia="ru-RU"/>
              </w:rPr>
            </w:pPr>
            <w:r w:rsidRPr="00EF6048">
              <w:rPr>
                <w:rFonts w:ascii="Arial" w:hAnsi="Arial" w:cs="Arial"/>
                <w:b/>
                <w:sz w:val="20"/>
                <w:szCs w:val="20"/>
              </w:rPr>
              <w:t xml:space="preserve"> </w:t>
            </w:r>
            <w:r w:rsidR="00BA054D" w:rsidRPr="000D120B">
              <w:rPr>
                <w:rFonts w:ascii="Arial" w:hAnsi="Arial" w:cs="Arial"/>
                <w:b/>
                <w:sz w:val="20"/>
                <w:szCs w:val="20"/>
              </w:rPr>
              <w:t xml:space="preserve"> 210</w:t>
            </w:r>
          </w:p>
        </w:tc>
        <w:tc>
          <w:tcPr>
            <w:tcW w:w="135" w:type="pct"/>
            <w:vAlign w:val="center"/>
          </w:tcPr>
          <w:p w14:paraId="4723E9C4" w14:textId="77777777" w:rsidR="00952E33" w:rsidRPr="00EF6048" w:rsidRDefault="00952E33" w:rsidP="004B1C16">
            <w:pPr>
              <w:spacing w:after="0" w:line="240" w:lineRule="auto"/>
              <w:jc w:val="right"/>
              <w:rPr>
                <w:rFonts w:ascii="Arial" w:eastAsia="Times New Roman" w:hAnsi="Arial" w:cs="Arial"/>
                <w:b/>
                <w:color w:val="000000"/>
                <w:sz w:val="20"/>
                <w:szCs w:val="20"/>
                <w:lang w:eastAsia="ru-RU"/>
              </w:rPr>
            </w:pPr>
          </w:p>
        </w:tc>
        <w:tc>
          <w:tcPr>
            <w:tcW w:w="473" w:type="pct"/>
            <w:shd w:val="clear" w:color="auto" w:fill="auto"/>
            <w:noWrap/>
            <w:vAlign w:val="center"/>
          </w:tcPr>
          <w:p w14:paraId="47CBE589" w14:textId="01AECBED" w:rsidR="00952E33" w:rsidRPr="00EF6048" w:rsidRDefault="003C0E32" w:rsidP="004B1C16">
            <w:pPr>
              <w:spacing w:after="0" w:line="240" w:lineRule="auto"/>
              <w:jc w:val="right"/>
              <w:rPr>
                <w:rFonts w:ascii="Arial" w:eastAsia="Times New Roman" w:hAnsi="Arial" w:cs="Arial"/>
                <w:b/>
                <w:iCs/>
                <w:color w:val="000000"/>
                <w:sz w:val="20"/>
                <w:szCs w:val="20"/>
                <w:lang w:eastAsia="ru-RU"/>
              </w:rPr>
            </w:pPr>
            <w:r w:rsidRPr="00EF6048">
              <w:rPr>
                <w:rFonts w:ascii="Arial" w:hAnsi="Arial" w:cs="Arial"/>
                <w:b/>
                <w:sz w:val="20"/>
                <w:szCs w:val="20"/>
              </w:rPr>
              <w:t xml:space="preserve"> </w:t>
            </w:r>
            <w:r w:rsidR="00BA054D" w:rsidRPr="000D120B">
              <w:rPr>
                <w:rFonts w:ascii="Arial" w:hAnsi="Arial" w:cs="Arial"/>
                <w:b/>
                <w:sz w:val="20"/>
                <w:szCs w:val="20"/>
              </w:rPr>
              <w:t xml:space="preserve"> 172</w:t>
            </w:r>
          </w:p>
        </w:tc>
        <w:tc>
          <w:tcPr>
            <w:tcW w:w="474" w:type="pct"/>
            <w:shd w:val="clear" w:color="auto" w:fill="auto"/>
            <w:noWrap/>
            <w:vAlign w:val="center"/>
          </w:tcPr>
          <w:p w14:paraId="743190BC" w14:textId="6437D646" w:rsidR="00952E33" w:rsidRPr="00EF6048" w:rsidRDefault="00BA054D" w:rsidP="004B1C16">
            <w:pPr>
              <w:spacing w:after="0" w:line="240" w:lineRule="auto"/>
              <w:jc w:val="right"/>
              <w:rPr>
                <w:rFonts w:ascii="Arial" w:eastAsia="Times New Roman" w:hAnsi="Arial" w:cs="Arial"/>
                <w:b/>
                <w:i/>
                <w:iCs/>
                <w:color w:val="000000"/>
                <w:sz w:val="20"/>
                <w:szCs w:val="20"/>
                <w:lang w:eastAsia="ru-RU"/>
              </w:rPr>
            </w:pPr>
            <w:r w:rsidRPr="000D120B">
              <w:rPr>
                <w:rFonts w:ascii="Arial" w:hAnsi="Arial" w:cs="Arial"/>
                <w:b/>
                <w:sz w:val="20"/>
                <w:szCs w:val="20"/>
              </w:rPr>
              <w:t>22%</w:t>
            </w:r>
          </w:p>
        </w:tc>
        <w:tc>
          <w:tcPr>
            <w:tcW w:w="134" w:type="pct"/>
            <w:vAlign w:val="center"/>
          </w:tcPr>
          <w:p w14:paraId="669E25CA" w14:textId="77777777" w:rsidR="00952E33" w:rsidRPr="00EF6048" w:rsidRDefault="00952E33" w:rsidP="004B1C16">
            <w:pPr>
              <w:spacing w:after="0" w:line="240" w:lineRule="auto"/>
              <w:jc w:val="right"/>
              <w:rPr>
                <w:rFonts w:ascii="Arial" w:eastAsia="Times New Roman" w:hAnsi="Arial" w:cs="Arial"/>
                <w:b/>
                <w:i/>
                <w:iCs/>
                <w:color w:val="000000"/>
                <w:sz w:val="20"/>
                <w:szCs w:val="20"/>
                <w:lang w:eastAsia="ru-RU"/>
              </w:rPr>
            </w:pPr>
          </w:p>
        </w:tc>
        <w:tc>
          <w:tcPr>
            <w:tcW w:w="473" w:type="pct"/>
            <w:vAlign w:val="center"/>
          </w:tcPr>
          <w:p w14:paraId="4684C4CE" w14:textId="611C8291" w:rsidR="00952E33" w:rsidRPr="00EF6048" w:rsidRDefault="003C0E32" w:rsidP="004B1C16">
            <w:pPr>
              <w:spacing w:after="0" w:line="240" w:lineRule="auto"/>
              <w:jc w:val="right"/>
              <w:rPr>
                <w:rFonts w:ascii="Arial" w:eastAsia="Times New Roman" w:hAnsi="Arial" w:cs="Arial"/>
                <w:b/>
                <w:i/>
                <w:iCs/>
                <w:color w:val="000000"/>
                <w:sz w:val="20"/>
                <w:szCs w:val="20"/>
                <w:lang w:eastAsia="ru-RU"/>
              </w:rPr>
            </w:pPr>
            <w:r w:rsidRPr="00EF6048">
              <w:rPr>
                <w:rFonts w:ascii="Arial" w:hAnsi="Arial" w:cs="Arial"/>
                <w:b/>
                <w:sz w:val="20"/>
                <w:szCs w:val="20"/>
              </w:rPr>
              <w:t xml:space="preserve"> </w:t>
            </w:r>
            <w:r w:rsidR="00BA054D" w:rsidRPr="000D120B">
              <w:rPr>
                <w:rFonts w:ascii="Arial" w:hAnsi="Arial" w:cs="Arial"/>
                <w:b/>
                <w:sz w:val="20"/>
                <w:szCs w:val="20"/>
              </w:rPr>
              <w:t xml:space="preserve"> 608</w:t>
            </w:r>
          </w:p>
        </w:tc>
        <w:tc>
          <w:tcPr>
            <w:tcW w:w="474" w:type="pct"/>
            <w:vAlign w:val="center"/>
          </w:tcPr>
          <w:p w14:paraId="1377CB6D" w14:textId="26FB41C6" w:rsidR="00952E33" w:rsidRPr="00EF6048" w:rsidRDefault="003C0E32" w:rsidP="004B1C16">
            <w:pPr>
              <w:spacing w:after="0" w:line="240" w:lineRule="auto"/>
              <w:jc w:val="right"/>
              <w:rPr>
                <w:rFonts w:ascii="Arial" w:eastAsia="Times New Roman" w:hAnsi="Arial" w:cs="Arial"/>
                <w:b/>
                <w:i/>
                <w:iCs/>
                <w:color w:val="000000"/>
                <w:sz w:val="20"/>
                <w:szCs w:val="20"/>
                <w:lang w:eastAsia="ru-RU"/>
              </w:rPr>
            </w:pPr>
            <w:r w:rsidRPr="00EF6048">
              <w:rPr>
                <w:rFonts w:ascii="Arial" w:hAnsi="Arial" w:cs="Arial"/>
                <w:b/>
                <w:sz w:val="20"/>
                <w:szCs w:val="20"/>
              </w:rPr>
              <w:t xml:space="preserve"> </w:t>
            </w:r>
            <w:r w:rsidR="00BA054D" w:rsidRPr="000D120B">
              <w:rPr>
                <w:rFonts w:ascii="Arial" w:hAnsi="Arial" w:cs="Arial"/>
                <w:b/>
                <w:sz w:val="20"/>
                <w:szCs w:val="20"/>
              </w:rPr>
              <w:t xml:space="preserve"> 745</w:t>
            </w:r>
          </w:p>
        </w:tc>
        <w:tc>
          <w:tcPr>
            <w:tcW w:w="472" w:type="pct"/>
            <w:vAlign w:val="center"/>
          </w:tcPr>
          <w:p w14:paraId="5D24E5B2" w14:textId="7808A503" w:rsidR="00952E33" w:rsidRPr="00EF6048" w:rsidRDefault="00BA054D" w:rsidP="004B1C16">
            <w:pPr>
              <w:spacing w:after="0" w:line="240" w:lineRule="auto"/>
              <w:jc w:val="right"/>
              <w:rPr>
                <w:rFonts w:ascii="Arial" w:hAnsi="Arial" w:cs="Arial"/>
                <w:b/>
                <w:sz w:val="20"/>
                <w:szCs w:val="20"/>
              </w:rPr>
            </w:pPr>
            <w:r w:rsidRPr="000D120B">
              <w:rPr>
                <w:rFonts w:ascii="Arial" w:hAnsi="Arial" w:cs="Arial"/>
                <w:b/>
                <w:sz w:val="20"/>
                <w:szCs w:val="20"/>
              </w:rPr>
              <w:t>-18%</w:t>
            </w:r>
          </w:p>
        </w:tc>
      </w:tr>
      <w:tr w:rsidR="00EB71AB" w:rsidRPr="00EF6048" w14:paraId="4E7190D6" w14:textId="6B8CC4FD" w:rsidTr="00EB71AB">
        <w:trPr>
          <w:trHeight w:val="20"/>
        </w:trPr>
        <w:tc>
          <w:tcPr>
            <w:tcW w:w="1757" w:type="pct"/>
            <w:shd w:val="clear" w:color="auto" w:fill="auto"/>
            <w:noWrap/>
            <w:vAlign w:val="center"/>
            <w:hideMark/>
          </w:tcPr>
          <w:p w14:paraId="6C2377C5" w14:textId="77777777" w:rsidR="00952E33" w:rsidRPr="00EF6048" w:rsidRDefault="00952E33" w:rsidP="000C1D3E">
            <w:pPr>
              <w:spacing w:after="0"/>
              <w:jc w:val="both"/>
              <w:rPr>
                <w:rFonts w:ascii="Arial" w:hAnsi="Arial" w:cs="Arial"/>
                <w:i/>
                <w:iCs/>
                <w:sz w:val="20"/>
                <w:szCs w:val="20"/>
                <w:lang w:eastAsia="ru-RU"/>
              </w:rPr>
            </w:pPr>
            <w:r w:rsidRPr="00EF6048">
              <w:rPr>
                <w:rFonts w:ascii="Arial" w:hAnsi="Arial" w:cs="Arial"/>
                <w:i/>
                <w:iCs/>
                <w:sz w:val="20"/>
                <w:szCs w:val="20"/>
                <w:lang w:eastAsia="ru-RU"/>
              </w:rPr>
              <w:t>Gross profit margin</w:t>
            </w:r>
          </w:p>
        </w:tc>
        <w:tc>
          <w:tcPr>
            <w:tcW w:w="135" w:type="pct"/>
          </w:tcPr>
          <w:p w14:paraId="27B6BB87" w14:textId="77777777" w:rsidR="00952E33" w:rsidRPr="00EF6048" w:rsidRDefault="00952E33" w:rsidP="000C1D3E">
            <w:pPr>
              <w:spacing w:after="0"/>
              <w:jc w:val="right"/>
              <w:rPr>
                <w:rFonts w:ascii="Arial" w:hAnsi="Arial" w:cs="Arial"/>
                <w:i/>
                <w:iCs/>
                <w:sz w:val="20"/>
                <w:szCs w:val="20"/>
                <w:lang w:eastAsia="ru-RU"/>
              </w:rPr>
            </w:pPr>
          </w:p>
        </w:tc>
        <w:tc>
          <w:tcPr>
            <w:tcW w:w="473" w:type="pct"/>
            <w:shd w:val="clear" w:color="auto" w:fill="auto"/>
            <w:noWrap/>
            <w:vAlign w:val="center"/>
          </w:tcPr>
          <w:p w14:paraId="2844E05E" w14:textId="3841BBAE" w:rsidR="00952E33" w:rsidRPr="00EF6048" w:rsidRDefault="00BA054D" w:rsidP="004B1C16">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27%</w:t>
            </w:r>
          </w:p>
        </w:tc>
        <w:tc>
          <w:tcPr>
            <w:tcW w:w="135" w:type="pct"/>
            <w:vAlign w:val="center"/>
          </w:tcPr>
          <w:p w14:paraId="75604412" w14:textId="77777777" w:rsidR="00952E33" w:rsidRPr="00EF6048" w:rsidRDefault="00952E33" w:rsidP="004B1C16">
            <w:pPr>
              <w:spacing w:after="0" w:line="240" w:lineRule="auto"/>
              <w:jc w:val="right"/>
              <w:rPr>
                <w:rFonts w:ascii="Arial" w:eastAsia="Times New Roman" w:hAnsi="Arial" w:cs="Arial"/>
                <w:i/>
                <w:color w:val="000000"/>
                <w:sz w:val="20"/>
                <w:szCs w:val="20"/>
                <w:lang w:eastAsia="ru-RU"/>
              </w:rPr>
            </w:pPr>
          </w:p>
        </w:tc>
        <w:tc>
          <w:tcPr>
            <w:tcW w:w="473" w:type="pct"/>
            <w:shd w:val="clear" w:color="auto" w:fill="auto"/>
            <w:noWrap/>
            <w:vAlign w:val="center"/>
          </w:tcPr>
          <w:p w14:paraId="09206326" w14:textId="362C4E99" w:rsidR="00952E33" w:rsidRPr="00EF6048" w:rsidRDefault="00BA054D" w:rsidP="004B1C16">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24%</w:t>
            </w:r>
          </w:p>
        </w:tc>
        <w:tc>
          <w:tcPr>
            <w:tcW w:w="474" w:type="pct"/>
            <w:shd w:val="clear" w:color="auto" w:fill="auto"/>
            <w:noWrap/>
            <w:vAlign w:val="center"/>
          </w:tcPr>
          <w:p w14:paraId="3A885EFA" w14:textId="2AE88BD6" w:rsidR="00952E33" w:rsidRPr="00EF6048" w:rsidRDefault="00BA054D" w:rsidP="004B1C16">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 xml:space="preserve">3 </w:t>
            </w:r>
            <w:proofErr w:type="spellStart"/>
            <w:r w:rsidRPr="000D120B">
              <w:rPr>
                <w:rFonts w:ascii="Arial" w:hAnsi="Arial" w:cs="Arial"/>
                <w:i/>
                <w:sz w:val="20"/>
                <w:szCs w:val="20"/>
              </w:rPr>
              <w:t>pps</w:t>
            </w:r>
            <w:proofErr w:type="spellEnd"/>
          </w:p>
        </w:tc>
        <w:tc>
          <w:tcPr>
            <w:tcW w:w="134" w:type="pct"/>
            <w:vAlign w:val="center"/>
          </w:tcPr>
          <w:p w14:paraId="534AD909" w14:textId="77777777" w:rsidR="00952E33" w:rsidRPr="00EF6048" w:rsidRDefault="00952E33" w:rsidP="004B1C16">
            <w:pPr>
              <w:spacing w:after="0" w:line="240" w:lineRule="auto"/>
              <w:jc w:val="right"/>
              <w:rPr>
                <w:rFonts w:ascii="Arial" w:eastAsia="Times New Roman" w:hAnsi="Arial" w:cs="Arial"/>
                <w:i/>
                <w:color w:val="000000"/>
                <w:sz w:val="20"/>
                <w:szCs w:val="20"/>
                <w:lang w:eastAsia="ru-RU"/>
              </w:rPr>
            </w:pPr>
          </w:p>
        </w:tc>
        <w:tc>
          <w:tcPr>
            <w:tcW w:w="473" w:type="pct"/>
            <w:vAlign w:val="center"/>
          </w:tcPr>
          <w:p w14:paraId="13E35633" w14:textId="43500F61" w:rsidR="00952E33" w:rsidRPr="00EF6048" w:rsidRDefault="00BA054D" w:rsidP="004B1C16">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23%</w:t>
            </w:r>
          </w:p>
        </w:tc>
        <w:tc>
          <w:tcPr>
            <w:tcW w:w="474" w:type="pct"/>
            <w:vAlign w:val="center"/>
          </w:tcPr>
          <w:p w14:paraId="758B73CB" w14:textId="316584A5" w:rsidR="00952E33" w:rsidRPr="00EF6048" w:rsidRDefault="00BA054D" w:rsidP="004B1C16">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31%</w:t>
            </w:r>
          </w:p>
        </w:tc>
        <w:tc>
          <w:tcPr>
            <w:tcW w:w="472" w:type="pct"/>
            <w:vAlign w:val="center"/>
          </w:tcPr>
          <w:p w14:paraId="126E0A42" w14:textId="46B73C7C" w:rsidR="00952E33" w:rsidRPr="00EF6048" w:rsidRDefault="00BA054D" w:rsidP="004B1C16">
            <w:pPr>
              <w:spacing w:after="0" w:line="240" w:lineRule="auto"/>
              <w:jc w:val="right"/>
              <w:rPr>
                <w:rFonts w:ascii="Arial" w:hAnsi="Arial" w:cs="Arial"/>
                <w:bCs/>
                <w:i/>
                <w:sz w:val="20"/>
                <w:szCs w:val="20"/>
              </w:rPr>
            </w:pPr>
            <w:r w:rsidRPr="000D120B">
              <w:rPr>
                <w:rFonts w:ascii="Arial" w:hAnsi="Arial" w:cs="Arial"/>
                <w:i/>
                <w:sz w:val="20"/>
                <w:szCs w:val="20"/>
              </w:rPr>
              <w:t xml:space="preserve">-8 </w:t>
            </w:r>
            <w:proofErr w:type="spellStart"/>
            <w:r w:rsidRPr="000D120B">
              <w:rPr>
                <w:rFonts w:ascii="Arial" w:hAnsi="Arial" w:cs="Arial"/>
                <w:i/>
                <w:sz w:val="20"/>
                <w:szCs w:val="20"/>
              </w:rPr>
              <w:t>pps</w:t>
            </w:r>
            <w:proofErr w:type="spellEnd"/>
          </w:p>
        </w:tc>
      </w:tr>
      <w:tr w:rsidR="00EB71AB" w:rsidRPr="00EF6048" w14:paraId="21F8E5A3" w14:textId="5A4F4837" w:rsidTr="00EB71AB">
        <w:trPr>
          <w:trHeight w:val="20"/>
        </w:trPr>
        <w:tc>
          <w:tcPr>
            <w:tcW w:w="1757" w:type="pct"/>
            <w:shd w:val="clear" w:color="auto" w:fill="auto"/>
            <w:noWrap/>
            <w:vAlign w:val="center"/>
          </w:tcPr>
          <w:p w14:paraId="6C44E568" w14:textId="3D521B29" w:rsidR="00952E33" w:rsidRPr="00EF6048" w:rsidRDefault="00952E33" w:rsidP="000C1D3E">
            <w:pPr>
              <w:spacing w:after="0"/>
              <w:jc w:val="both"/>
              <w:rPr>
                <w:rFonts w:ascii="Arial" w:hAnsi="Arial" w:cs="Arial"/>
                <w:sz w:val="20"/>
                <w:szCs w:val="20"/>
                <w:lang w:eastAsia="ru-RU"/>
              </w:rPr>
            </w:pPr>
            <w:r w:rsidRPr="00EF6048">
              <w:rPr>
                <w:rFonts w:ascii="Arial" w:hAnsi="Arial" w:cs="Arial"/>
                <w:sz w:val="20"/>
                <w:szCs w:val="20"/>
                <w:lang w:eastAsia="ru-RU"/>
              </w:rPr>
              <w:t>War-related expenses</w:t>
            </w:r>
          </w:p>
        </w:tc>
        <w:tc>
          <w:tcPr>
            <w:tcW w:w="135" w:type="pct"/>
          </w:tcPr>
          <w:p w14:paraId="2A21B899" w14:textId="77777777" w:rsidR="00952E33" w:rsidRPr="00EF6048" w:rsidRDefault="00952E33" w:rsidP="000C1D3E">
            <w:pPr>
              <w:spacing w:after="0"/>
              <w:jc w:val="right"/>
              <w:rPr>
                <w:rFonts w:ascii="Arial" w:hAnsi="Arial" w:cs="Arial"/>
                <w:sz w:val="20"/>
                <w:szCs w:val="20"/>
                <w:lang w:eastAsia="ru-RU"/>
              </w:rPr>
            </w:pPr>
          </w:p>
        </w:tc>
        <w:tc>
          <w:tcPr>
            <w:tcW w:w="473" w:type="pct"/>
            <w:shd w:val="clear" w:color="auto" w:fill="auto"/>
            <w:noWrap/>
            <w:vAlign w:val="center"/>
          </w:tcPr>
          <w:p w14:paraId="6AB39C1F" w14:textId="7F5380EC" w:rsidR="00952E33" w:rsidRPr="00EF6048" w:rsidRDefault="003C0E32" w:rsidP="004B1C16">
            <w:pPr>
              <w:spacing w:after="0" w:line="240" w:lineRule="auto"/>
              <w:jc w:val="right"/>
              <w:rPr>
                <w:rFonts w:ascii="Arial" w:hAnsi="Arial" w:cs="Arial"/>
                <w:sz w:val="20"/>
                <w:szCs w:val="20"/>
              </w:rPr>
            </w:pPr>
            <w:r w:rsidRPr="00EF6048">
              <w:rPr>
                <w:rFonts w:ascii="Arial" w:hAnsi="Arial" w:cs="Arial"/>
                <w:sz w:val="20"/>
                <w:szCs w:val="20"/>
              </w:rPr>
              <w:t xml:space="preserve"> </w:t>
            </w:r>
            <w:r w:rsidR="00BA054D" w:rsidRPr="000D120B">
              <w:rPr>
                <w:rFonts w:ascii="Arial" w:hAnsi="Arial" w:cs="Arial"/>
                <w:sz w:val="20"/>
                <w:szCs w:val="20"/>
              </w:rPr>
              <w:t>(24)</w:t>
            </w:r>
          </w:p>
        </w:tc>
        <w:tc>
          <w:tcPr>
            <w:tcW w:w="135" w:type="pct"/>
            <w:vAlign w:val="center"/>
          </w:tcPr>
          <w:p w14:paraId="0779499A" w14:textId="77777777" w:rsidR="00952E33" w:rsidRPr="00EF6048" w:rsidRDefault="00952E33" w:rsidP="004B1C16">
            <w:pPr>
              <w:spacing w:after="0" w:line="240" w:lineRule="auto"/>
              <w:jc w:val="right"/>
              <w:rPr>
                <w:rFonts w:ascii="Arial" w:hAnsi="Arial" w:cs="Arial"/>
                <w:sz w:val="20"/>
                <w:szCs w:val="20"/>
              </w:rPr>
            </w:pPr>
          </w:p>
        </w:tc>
        <w:tc>
          <w:tcPr>
            <w:tcW w:w="473" w:type="pct"/>
            <w:shd w:val="clear" w:color="auto" w:fill="auto"/>
            <w:noWrap/>
            <w:vAlign w:val="center"/>
          </w:tcPr>
          <w:p w14:paraId="5309417B" w14:textId="73EC4963" w:rsidR="00952E33" w:rsidRPr="00EF6048" w:rsidRDefault="003C0E32" w:rsidP="004B1C16">
            <w:pPr>
              <w:spacing w:after="0" w:line="240" w:lineRule="auto"/>
              <w:jc w:val="right"/>
              <w:rPr>
                <w:rFonts w:ascii="Arial" w:hAnsi="Arial" w:cs="Arial"/>
                <w:sz w:val="20"/>
                <w:szCs w:val="20"/>
              </w:rPr>
            </w:pPr>
            <w:r w:rsidRPr="00EF6048">
              <w:rPr>
                <w:rFonts w:ascii="Arial" w:hAnsi="Arial" w:cs="Arial"/>
                <w:sz w:val="20"/>
                <w:szCs w:val="20"/>
              </w:rPr>
              <w:t xml:space="preserve"> </w:t>
            </w:r>
            <w:r w:rsidR="00BA054D" w:rsidRPr="000D120B">
              <w:rPr>
                <w:rFonts w:ascii="Arial" w:hAnsi="Arial" w:cs="Arial"/>
                <w:sz w:val="20"/>
                <w:szCs w:val="20"/>
              </w:rPr>
              <w:t xml:space="preserve"> -</w:t>
            </w:r>
            <w:r w:rsidRPr="00EF6048">
              <w:rPr>
                <w:rFonts w:ascii="Arial" w:hAnsi="Arial" w:cs="Arial"/>
                <w:sz w:val="20"/>
                <w:szCs w:val="20"/>
              </w:rPr>
              <w:t xml:space="preserve">   </w:t>
            </w:r>
          </w:p>
        </w:tc>
        <w:tc>
          <w:tcPr>
            <w:tcW w:w="474" w:type="pct"/>
            <w:shd w:val="clear" w:color="auto" w:fill="auto"/>
            <w:noWrap/>
            <w:vAlign w:val="center"/>
          </w:tcPr>
          <w:p w14:paraId="2521EFCA" w14:textId="50A083E1" w:rsidR="00952E33" w:rsidRPr="00EF6048" w:rsidRDefault="00BA054D" w:rsidP="004B1C16">
            <w:pPr>
              <w:spacing w:after="0" w:line="240" w:lineRule="auto"/>
              <w:jc w:val="right"/>
              <w:rPr>
                <w:rFonts w:ascii="Arial" w:hAnsi="Arial" w:cs="Arial"/>
                <w:sz w:val="20"/>
                <w:szCs w:val="20"/>
              </w:rPr>
            </w:pPr>
            <w:r w:rsidRPr="000D120B">
              <w:rPr>
                <w:rFonts w:ascii="Arial" w:hAnsi="Arial" w:cs="Arial"/>
                <w:sz w:val="20"/>
                <w:szCs w:val="20"/>
              </w:rPr>
              <w:t>-100%</w:t>
            </w:r>
          </w:p>
        </w:tc>
        <w:tc>
          <w:tcPr>
            <w:tcW w:w="134" w:type="pct"/>
            <w:vAlign w:val="center"/>
          </w:tcPr>
          <w:p w14:paraId="640DF780" w14:textId="77777777" w:rsidR="00952E33" w:rsidRPr="00EF6048" w:rsidRDefault="00952E33" w:rsidP="004B1C16">
            <w:pPr>
              <w:spacing w:after="0" w:line="240" w:lineRule="auto"/>
              <w:jc w:val="right"/>
              <w:rPr>
                <w:rFonts w:ascii="Arial" w:hAnsi="Arial" w:cs="Arial"/>
                <w:sz w:val="20"/>
                <w:szCs w:val="20"/>
              </w:rPr>
            </w:pPr>
          </w:p>
        </w:tc>
        <w:tc>
          <w:tcPr>
            <w:tcW w:w="473" w:type="pct"/>
            <w:vAlign w:val="center"/>
          </w:tcPr>
          <w:p w14:paraId="23C62F30" w14:textId="4851B351" w:rsidR="00952E33" w:rsidRPr="00EF6048" w:rsidRDefault="003C0E32" w:rsidP="004B1C16">
            <w:pPr>
              <w:spacing w:after="0" w:line="240" w:lineRule="auto"/>
              <w:jc w:val="right"/>
              <w:rPr>
                <w:rFonts w:ascii="Arial" w:hAnsi="Arial" w:cs="Arial"/>
                <w:sz w:val="20"/>
                <w:szCs w:val="20"/>
              </w:rPr>
            </w:pPr>
            <w:r w:rsidRPr="00EF6048">
              <w:rPr>
                <w:rFonts w:ascii="Arial" w:hAnsi="Arial" w:cs="Arial"/>
                <w:sz w:val="20"/>
                <w:szCs w:val="20"/>
              </w:rPr>
              <w:t xml:space="preserve"> </w:t>
            </w:r>
            <w:r w:rsidR="00BA054D" w:rsidRPr="000D120B">
              <w:rPr>
                <w:rFonts w:ascii="Arial" w:hAnsi="Arial" w:cs="Arial"/>
                <w:sz w:val="20"/>
                <w:szCs w:val="20"/>
              </w:rPr>
              <w:t>(69)</w:t>
            </w:r>
          </w:p>
        </w:tc>
        <w:tc>
          <w:tcPr>
            <w:tcW w:w="474" w:type="pct"/>
            <w:vAlign w:val="center"/>
          </w:tcPr>
          <w:p w14:paraId="37CCD74C" w14:textId="7BCA121B" w:rsidR="00952E33" w:rsidRPr="00EF6048" w:rsidRDefault="003C0E32" w:rsidP="004B1C16">
            <w:pPr>
              <w:spacing w:after="0" w:line="240" w:lineRule="auto"/>
              <w:jc w:val="right"/>
              <w:rPr>
                <w:rFonts w:ascii="Arial" w:hAnsi="Arial" w:cs="Arial"/>
                <w:sz w:val="20"/>
                <w:szCs w:val="20"/>
              </w:rPr>
            </w:pPr>
            <w:r w:rsidRPr="00EF6048">
              <w:rPr>
                <w:rFonts w:ascii="Arial" w:hAnsi="Arial" w:cs="Arial"/>
                <w:sz w:val="20"/>
                <w:szCs w:val="20"/>
              </w:rPr>
              <w:t xml:space="preserve"> </w:t>
            </w:r>
            <w:r w:rsidR="00BA054D" w:rsidRPr="000D120B">
              <w:rPr>
                <w:rFonts w:ascii="Arial" w:hAnsi="Arial" w:cs="Arial"/>
                <w:sz w:val="20"/>
                <w:szCs w:val="20"/>
              </w:rPr>
              <w:t xml:space="preserve"> -</w:t>
            </w:r>
            <w:r w:rsidRPr="00EF6048">
              <w:rPr>
                <w:rFonts w:ascii="Arial" w:hAnsi="Arial" w:cs="Arial"/>
                <w:sz w:val="20"/>
                <w:szCs w:val="20"/>
              </w:rPr>
              <w:t xml:space="preserve">   </w:t>
            </w:r>
          </w:p>
        </w:tc>
        <w:tc>
          <w:tcPr>
            <w:tcW w:w="472" w:type="pct"/>
            <w:vAlign w:val="center"/>
          </w:tcPr>
          <w:p w14:paraId="2E923F12" w14:textId="26E83F5F" w:rsidR="00952E33" w:rsidRPr="00EF6048" w:rsidRDefault="00BA054D" w:rsidP="004B1C16">
            <w:pPr>
              <w:spacing w:after="0" w:line="240" w:lineRule="auto"/>
              <w:jc w:val="right"/>
              <w:rPr>
                <w:rFonts w:ascii="Arial" w:hAnsi="Arial" w:cs="Arial"/>
                <w:bCs/>
                <w:sz w:val="20"/>
                <w:szCs w:val="20"/>
              </w:rPr>
            </w:pPr>
            <w:r w:rsidRPr="000D120B">
              <w:rPr>
                <w:rFonts w:ascii="Arial" w:hAnsi="Arial" w:cs="Arial"/>
                <w:sz w:val="20"/>
                <w:szCs w:val="20"/>
              </w:rPr>
              <w:t>-100%</w:t>
            </w:r>
          </w:p>
        </w:tc>
      </w:tr>
      <w:tr w:rsidR="00EB71AB" w:rsidRPr="00EF6048" w14:paraId="2F9EB171" w14:textId="3B8A6E41" w:rsidTr="00EB71AB">
        <w:trPr>
          <w:trHeight w:val="20"/>
        </w:trPr>
        <w:tc>
          <w:tcPr>
            <w:tcW w:w="1757" w:type="pct"/>
            <w:tcBorders>
              <w:top w:val="single" w:sz="2" w:space="0" w:color="auto"/>
            </w:tcBorders>
            <w:shd w:val="clear" w:color="auto" w:fill="auto"/>
            <w:noWrap/>
            <w:vAlign w:val="center"/>
          </w:tcPr>
          <w:p w14:paraId="715227FF" w14:textId="77777777" w:rsidR="00952E33" w:rsidRPr="00EF6048" w:rsidRDefault="00952E33" w:rsidP="000C1D3E">
            <w:pPr>
              <w:spacing w:after="0"/>
              <w:jc w:val="both"/>
              <w:rPr>
                <w:rFonts w:ascii="Arial" w:hAnsi="Arial" w:cs="Arial"/>
                <w:b/>
                <w:bCs/>
                <w:sz w:val="20"/>
                <w:szCs w:val="20"/>
                <w:lang w:eastAsia="ru-RU"/>
              </w:rPr>
            </w:pPr>
          </w:p>
        </w:tc>
        <w:tc>
          <w:tcPr>
            <w:tcW w:w="135" w:type="pct"/>
          </w:tcPr>
          <w:p w14:paraId="77D5643C" w14:textId="77777777" w:rsidR="00952E33" w:rsidRPr="00EF6048" w:rsidRDefault="00952E33" w:rsidP="000C1D3E">
            <w:pPr>
              <w:spacing w:after="0"/>
              <w:jc w:val="right"/>
              <w:rPr>
                <w:rFonts w:ascii="Arial" w:hAnsi="Arial" w:cs="Arial"/>
                <w:b/>
                <w:bCs/>
                <w:sz w:val="20"/>
                <w:szCs w:val="20"/>
                <w:lang w:eastAsia="ru-RU"/>
              </w:rPr>
            </w:pPr>
          </w:p>
        </w:tc>
        <w:tc>
          <w:tcPr>
            <w:tcW w:w="473" w:type="pct"/>
            <w:tcBorders>
              <w:top w:val="single" w:sz="2" w:space="0" w:color="auto"/>
            </w:tcBorders>
            <w:shd w:val="clear" w:color="auto" w:fill="auto"/>
            <w:noWrap/>
            <w:vAlign w:val="center"/>
          </w:tcPr>
          <w:p w14:paraId="507342B7" w14:textId="77777777" w:rsidR="00952E33" w:rsidRPr="00EF6048" w:rsidRDefault="00952E33" w:rsidP="004B1C16">
            <w:pPr>
              <w:spacing w:after="0" w:line="240" w:lineRule="auto"/>
              <w:jc w:val="right"/>
              <w:rPr>
                <w:rFonts w:ascii="Arial" w:eastAsia="Times New Roman" w:hAnsi="Arial" w:cs="Arial"/>
                <w:b/>
                <w:bCs/>
                <w:color w:val="000000"/>
                <w:sz w:val="20"/>
                <w:szCs w:val="20"/>
                <w:lang w:eastAsia="ru-RU"/>
              </w:rPr>
            </w:pPr>
          </w:p>
        </w:tc>
        <w:tc>
          <w:tcPr>
            <w:tcW w:w="135" w:type="pct"/>
            <w:tcBorders>
              <w:top w:val="single" w:sz="2" w:space="0" w:color="auto"/>
            </w:tcBorders>
            <w:vAlign w:val="center"/>
          </w:tcPr>
          <w:p w14:paraId="70D33620" w14:textId="77777777" w:rsidR="00952E33" w:rsidRPr="00EF6048" w:rsidRDefault="00952E33" w:rsidP="004B1C16">
            <w:pPr>
              <w:spacing w:after="0" w:line="240" w:lineRule="auto"/>
              <w:jc w:val="right"/>
              <w:rPr>
                <w:rFonts w:ascii="Arial" w:eastAsia="Times New Roman" w:hAnsi="Arial" w:cs="Arial"/>
                <w:b/>
                <w:bCs/>
                <w:color w:val="000000"/>
                <w:sz w:val="20"/>
                <w:szCs w:val="20"/>
                <w:lang w:eastAsia="ru-RU"/>
              </w:rPr>
            </w:pPr>
          </w:p>
        </w:tc>
        <w:tc>
          <w:tcPr>
            <w:tcW w:w="473" w:type="pct"/>
            <w:tcBorders>
              <w:top w:val="single" w:sz="2" w:space="0" w:color="auto"/>
            </w:tcBorders>
            <w:shd w:val="clear" w:color="auto" w:fill="auto"/>
            <w:noWrap/>
            <w:vAlign w:val="center"/>
          </w:tcPr>
          <w:p w14:paraId="71D06D0C" w14:textId="77777777" w:rsidR="00952E33" w:rsidRPr="00EF6048" w:rsidRDefault="00952E33" w:rsidP="004B1C16">
            <w:pPr>
              <w:spacing w:after="0" w:line="240" w:lineRule="auto"/>
              <w:jc w:val="right"/>
              <w:rPr>
                <w:rFonts w:ascii="Arial" w:eastAsia="Times New Roman" w:hAnsi="Arial" w:cs="Arial"/>
                <w:b/>
                <w:bCs/>
                <w:iCs/>
                <w:color w:val="000000"/>
                <w:sz w:val="20"/>
                <w:szCs w:val="20"/>
                <w:lang w:eastAsia="ru-RU"/>
              </w:rPr>
            </w:pPr>
          </w:p>
        </w:tc>
        <w:tc>
          <w:tcPr>
            <w:tcW w:w="474" w:type="pct"/>
            <w:tcBorders>
              <w:top w:val="single" w:sz="2" w:space="0" w:color="auto"/>
            </w:tcBorders>
            <w:shd w:val="clear" w:color="auto" w:fill="auto"/>
            <w:noWrap/>
            <w:vAlign w:val="center"/>
          </w:tcPr>
          <w:p w14:paraId="63F45646" w14:textId="77777777" w:rsidR="00952E33" w:rsidRPr="00EF6048" w:rsidRDefault="00952E33" w:rsidP="004B1C16">
            <w:pPr>
              <w:spacing w:after="0" w:line="240" w:lineRule="auto"/>
              <w:jc w:val="right"/>
              <w:rPr>
                <w:rFonts w:ascii="Arial" w:eastAsia="Times New Roman" w:hAnsi="Arial" w:cs="Arial"/>
                <w:b/>
                <w:i/>
                <w:iCs/>
                <w:color w:val="000000"/>
                <w:sz w:val="20"/>
                <w:szCs w:val="20"/>
                <w:lang w:eastAsia="ru-RU"/>
              </w:rPr>
            </w:pPr>
          </w:p>
        </w:tc>
        <w:tc>
          <w:tcPr>
            <w:tcW w:w="134" w:type="pct"/>
            <w:tcBorders>
              <w:top w:val="single" w:sz="2" w:space="0" w:color="auto"/>
            </w:tcBorders>
            <w:vAlign w:val="center"/>
          </w:tcPr>
          <w:p w14:paraId="60E513C1" w14:textId="77777777" w:rsidR="00952E33" w:rsidRPr="00EF6048" w:rsidRDefault="00952E33" w:rsidP="004B1C16">
            <w:pPr>
              <w:spacing w:after="0" w:line="240" w:lineRule="auto"/>
              <w:jc w:val="right"/>
              <w:rPr>
                <w:rFonts w:ascii="Arial" w:eastAsia="Times New Roman" w:hAnsi="Arial" w:cs="Arial"/>
                <w:b/>
                <w:i/>
                <w:iCs/>
                <w:color w:val="000000"/>
                <w:sz w:val="20"/>
                <w:szCs w:val="20"/>
                <w:lang w:eastAsia="ru-RU"/>
              </w:rPr>
            </w:pPr>
          </w:p>
        </w:tc>
        <w:tc>
          <w:tcPr>
            <w:tcW w:w="473" w:type="pct"/>
            <w:tcBorders>
              <w:top w:val="single" w:sz="2" w:space="0" w:color="auto"/>
            </w:tcBorders>
            <w:vAlign w:val="center"/>
          </w:tcPr>
          <w:p w14:paraId="61C8788E" w14:textId="77777777" w:rsidR="00952E33" w:rsidRPr="00EF6048" w:rsidRDefault="00952E33" w:rsidP="004B1C16">
            <w:pPr>
              <w:spacing w:after="0" w:line="240" w:lineRule="auto"/>
              <w:jc w:val="right"/>
              <w:rPr>
                <w:rFonts w:ascii="Arial" w:eastAsia="Times New Roman" w:hAnsi="Arial" w:cs="Arial"/>
                <w:b/>
                <w:i/>
                <w:iCs/>
                <w:color w:val="000000"/>
                <w:sz w:val="20"/>
                <w:szCs w:val="20"/>
                <w:lang w:eastAsia="ru-RU"/>
              </w:rPr>
            </w:pPr>
          </w:p>
        </w:tc>
        <w:tc>
          <w:tcPr>
            <w:tcW w:w="474" w:type="pct"/>
            <w:tcBorders>
              <w:top w:val="single" w:sz="2" w:space="0" w:color="auto"/>
            </w:tcBorders>
            <w:vAlign w:val="center"/>
          </w:tcPr>
          <w:p w14:paraId="7E28755A" w14:textId="77777777" w:rsidR="00952E33" w:rsidRPr="00EF6048" w:rsidRDefault="00952E33" w:rsidP="004B1C16">
            <w:pPr>
              <w:spacing w:after="0" w:line="240" w:lineRule="auto"/>
              <w:jc w:val="right"/>
              <w:rPr>
                <w:rFonts w:ascii="Arial" w:eastAsia="Times New Roman" w:hAnsi="Arial" w:cs="Arial"/>
                <w:b/>
                <w:i/>
                <w:iCs/>
                <w:color w:val="000000"/>
                <w:sz w:val="20"/>
                <w:szCs w:val="20"/>
                <w:lang w:eastAsia="ru-RU"/>
              </w:rPr>
            </w:pPr>
          </w:p>
        </w:tc>
        <w:tc>
          <w:tcPr>
            <w:tcW w:w="472" w:type="pct"/>
            <w:tcBorders>
              <w:top w:val="single" w:sz="2" w:space="0" w:color="auto"/>
            </w:tcBorders>
            <w:vAlign w:val="center"/>
          </w:tcPr>
          <w:p w14:paraId="48B48FDA" w14:textId="77777777" w:rsidR="00952E33" w:rsidRPr="00EF6048" w:rsidRDefault="00952E33" w:rsidP="004B1C16">
            <w:pPr>
              <w:spacing w:after="0" w:line="240" w:lineRule="auto"/>
              <w:jc w:val="right"/>
              <w:rPr>
                <w:rFonts w:ascii="Arial" w:hAnsi="Arial" w:cs="Arial"/>
                <w:b/>
                <w:sz w:val="20"/>
                <w:szCs w:val="20"/>
              </w:rPr>
            </w:pPr>
          </w:p>
        </w:tc>
      </w:tr>
      <w:tr w:rsidR="00EB71AB" w:rsidRPr="00EF6048" w14:paraId="2DEB23ED" w14:textId="51FF68AC" w:rsidTr="00EB71AB">
        <w:trPr>
          <w:trHeight w:val="20"/>
        </w:trPr>
        <w:tc>
          <w:tcPr>
            <w:tcW w:w="1757" w:type="pct"/>
            <w:shd w:val="clear" w:color="auto" w:fill="auto"/>
            <w:noWrap/>
            <w:vAlign w:val="center"/>
            <w:hideMark/>
          </w:tcPr>
          <w:p w14:paraId="6B3442A5" w14:textId="5E10F153" w:rsidR="00952E33" w:rsidRPr="00EF6048" w:rsidRDefault="00952E33" w:rsidP="000C1D3E">
            <w:pPr>
              <w:spacing w:after="0"/>
              <w:jc w:val="both"/>
              <w:rPr>
                <w:rFonts w:ascii="Arial" w:hAnsi="Arial" w:cs="Arial"/>
                <w:b/>
                <w:bCs/>
                <w:sz w:val="20"/>
                <w:szCs w:val="20"/>
                <w:lang w:eastAsia="ru-RU"/>
              </w:rPr>
            </w:pPr>
            <w:r w:rsidRPr="00EF6048">
              <w:rPr>
                <w:rFonts w:ascii="Arial" w:hAnsi="Arial" w:cs="Arial"/>
                <w:b/>
                <w:bCs/>
                <w:sz w:val="20"/>
                <w:szCs w:val="20"/>
                <w:lang w:eastAsia="ru-RU"/>
              </w:rPr>
              <w:t>Operating profit</w:t>
            </w:r>
          </w:p>
        </w:tc>
        <w:tc>
          <w:tcPr>
            <w:tcW w:w="135" w:type="pct"/>
          </w:tcPr>
          <w:p w14:paraId="4EEDA77B" w14:textId="77777777" w:rsidR="00952E33" w:rsidRPr="00EF6048" w:rsidRDefault="00952E33" w:rsidP="000C1D3E">
            <w:pPr>
              <w:spacing w:after="0"/>
              <w:jc w:val="right"/>
              <w:rPr>
                <w:rFonts w:ascii="Arial" w:hAnsi="Arial" w:cs="Arial"/>
                <w:b/>
                <w:bCs/>
                <w:sz w:val="20"/>
                <w:szCs w:val="20"/>
                <w:lang w:eastAsia="ru-RU"/>
              </w:rPr>
            </w:pPr>
          </w:p>
        </w:tc>
        <w:tc>
          <w:tcPr>
            <w:tcW w:w="473" w:type="pct"/>
            <w:shd w:val="clear" w:color="auto" w:fill="auto"/>
            <w:noWrap/>
            <w:vAlign w:val="center"/>
          </w:tcPr>
          <w:p w14:paraId="0E3EF71F" w14:textId="3CB419F7" w:rsidR="00952E33" w:rsidRPr="00EF6048" w:rsidRDefault="003C0E32" w:rsidP="004B1C16">
            <w:pPr>
              <w:spacing w:after="0" w:line="240" w:lineRule="auto"/>
              <w:jc w:val="right"/>
              <w:rPr>
                <w:rFonts w:ascii="Arial" w:hAnsi="Arial" w:cs="Arial"/>
                <w:b/>
                <w:sz w:val="20"/>
                <w:szCs w:val="20"/>
              </w:rPr>
            </w:pPr>
            <w:r w:rsidRPr="00EF6048">
              <w:rPr>
                <w:rFonts w:ascii="Arial" w:hAnsi="Arial" w:cs="Arial"/>
                <w:b/>
                <w:sz w:val="20"/>
                <w:szCs w:val="20"/>
              </w:rPr>
              <w:t xml:space="preserve"> </w:t>
            </w:r>
            <w:r w:rsidR="00BA054D" w:rsidRPr="000D120B">
              <w:rPr>
                <w:rFonts w:ascii="Arial" w:hAnsi="Arial" w:cs="Arial"/>
                <w:b/>
                <w:sz w:val="20"/>
                <w:szCs w:val="20"/>
              </w:rPr>
              <w:t xml:space="preserve"> 79</w:t>
            </w:r>
          </w:p>
        </w:tc>
        <w:tc>
          <w:tcPr>
            <w:tcW w:w="135" w:type="pct"/>
            <w:vAlign w:val="center"/>
          </w:tcPr>
          <w:p w14:paraId="209B2725" w14:textId="77777777" w:rsidR="00952E33" w:rsidRPr="00EF6048" w:rsidRDefault="00952E33" w:rsidP="004B1C16">
            <w:pPr>
              <w:spacing w:after="0" w:line="240" w:lineRule="auto"/>
              <w:jc w:val="right"/>
              <w:rPr>
                <w:rFonts w:ascii="Arial" w:eastAsia="Times New Roman" w:hAnsi="Arial" w:cs="Arial"/>
                <w:b/>
                <w:color w:val="000000"/>
                <w:sz w:val="20"/>
                <w:szCs w:val="20"/>
                <w:lang w:eastAsia="ru-RU"/>
              </w:rPr>
            </w:pPr>
          </w:p>
        </w:tc>
        <w:tc>
          <w:tcPr>
            <w:tcW w:w="473" w:type="pct"/>
            <w:shd w:val="clear" w:color="auto" w:fill="auto"/>
            <w:noWrap/>
            <w:vAlign w:val="center"/>
          </w:tcPr>
          <w:p w14:paraId="7B3989D5" w14:textId="271F72AF" w:rsidR="00952E33" w:rsidRPr="00EF6048" w:rsidRDefault="003C0E32" w:rsidP="004B1C16">
            <w:pPr>
              <w:spacing w:after="0" w:line="240" w:lineRule="auto"/>
              <w:jc w:val="right"/>
              <w:rPr>
                <w:rFonts w:ascii="Arial" w:eastAsia="Times New Roman" w:hAnsi="Arial" w:cs="Arial"/>
                <w:b/>
                <w:iCs/>
                <w:color w:val="000000"/>
                <w:sz w:val="20"/>
                <w:szCs w:val="20"/>
                <w:lang w:eastAsia="ru-RU"/>
              </w:rPr>
            </w:pPr>
            <w:r w:rsidRPr="00EF6048">
              <w:rPr>
                <w:rFonts w:ascii="Arial" w:hAnsi="Arial" w:cs="Arial"/>
                <w:b/>
                <w:sz w:val="20"/>
                <w:szCs w:val="20"/>
              </w:rPr>
              <w:t xml:space="preserve"> </w:t>
            </w:r>
            <w:r w:rsidR="00BA054D" w:rsidRPr="000D120B">
              <w:rPr>
                <w:rFonts w:ascii="Arial" w:hAnsi="Arial" w:cs="Arial"/>
                <w:b/>
                <w:sz w:val="20"/>
                <w:szCs w:val="20"/>
              </w:rPr>
              <w:t xml:space="preserve"> 90</w:t>
            </w:r>
          </w:p>
        </w:tc>
        <w:tc>
          <w:tcPr>
            <w:tcW w:w="474" w:type="pct"/>
            <w:shd w:val="clear" w:color="auto" w:fill="auto"/>
            <w:noWrap/>
            <w:vAlign w:val="center"/>
          </w:tcPr>
          <w:p w14:paraId="6969B6F3" w14:textId="35C8625B" w:rsidR="00952E33" w:rsidRPr="00EF6048" w:rsidRDefault="00BA054D" w:rsidP="004B1C16">
            <w:pPr>
              <w:spacing w:after="0" w:line="240" w:lineRule="auto"/>
              <w:jc w:val="right"/>
              <w:rPr>
                <w:rFonts w:ascii="Arial" w:eastAsia="Times New Roman" w:hAnsi="Arial" w:cs="Arial"/>
                <w:b/>
                <w:i/>
                <w:iCs/>
                <w:color w:val="000000"/>
                <w:sz w:val="20"/>
                <w:szCs w:val="20"/>
                <w:lang w:eastAsia="ru-RU"/>
              </w:rPr>
            </w:pPr>
            <w:r w:rsidRPr="000D120B">
              <w:rPr>
                <w:rFonts w:ascii="Arial" w:hAnsi="Arial" w:cs="Arial"/>
                <w:b/>
                <w:sz w:val="20"/>
                <w:szCs w:val="20"/>
              </w:rPr>
              <w:t>-12%</w:t>
            </w:r>
          </w:p>
        </w:tc>
        <w:tc>
          <w:tcPr>
            <w:tcW w:w="134" w:type="pct"/>
            <w:vAlign w:val="center"/>
          </w:tcPr>
          <w:p w14:paraId="1027F428" w14:textId="77777777" w:rsidR="00952E33" w:rsidRPr="00EF6048" w:rsidRDefault="00952E33" w:rsidP="004B1C16">
            <w:pPr>
              <w:spacing w:after="0" w:line="240" w:lineRule="auto"/>
              <w:jc w:val="right"/>
              <w:rPr>
                <w:rFonts w:ascii="Arial" w:eastAsia="Times New Roman" w:hAnsi="Arial" w:cs="Arial"/>
                <w:b/>
                <w:i/>
                <w:iCs/>
                <w:color w:val="000000"/>
                <w:sz w:val="20"/>
                <w:szCs w:val="20"/>
                <w:lang w:eastAsia="ru-RU"/>
              </w:rPr>
            </w:pPr>
          </w:p>
        </w:tc>
        <w:tc>
          <w:tcPr>
            <w:tcW w:w="473" w:type="pct"/>
            <w:vAlign w:val="center"/>
          </w:tcPr>
          <w:p w14:paraId="56492DAA" w14:textId="3028468A" w:rsidR="00952E33" w:rsidRPr="00EF6048" w:rsidRDefault="003C0E32" w:rsidP="004B1C16">
            <w:pPr>
              <w:spacing w:after="0" w:line="240" w:lineRule="auto"/>
              <w:jc w:val="right"/>
              <w:rPr>
                <w:rFonts w:ascii="Arial" w:eastAsia="Times New Roman" w:hAnsi="Arial" w:cs="Arial"/>
                <w:b/>
                <w:i/>
                <w:iCs/>
                <w:color w:val="000000"/>
                <w:sz w:val="20"/>
                <w:szCs w:val="20"/>
                <w:lang w:eastAsia="ru-RU"/>
              </w:rPr>
            </w:pPr>
            <w:r w:rsidRPr="00EF6048">
              <w:rPr>
                <w:rFonts w:ascii="Arial" w:hAnsi="Arial" w:cs="Arial"/>
                <w:b/>
                <w:sz w:val="20"/>
                <w:szCs w:val="20"/>
              </w:rPr>
              <w:t xml:space="preserve"> </w:t>
            </w:r>
            <w:r w:rsidR="00BA054D" w:rsidRPr="000D120B">
              <w:rPr>
                <w:rFonts w:ascii="Arial" w:hAnsi="Arial" w:cs="Arial"/>
                <w:b/>
                <w:sz w:val="20"/>
                <w:szCs w:val="20"/>
              </w:rPr>
              <w:t>255</w:t>
            </w:r>
          </w:p>
        </w:tc>
        <w:tc>
          <w:tcPr>
            <w:tcW w:w="474" w:type="pct"/>
            <w:vAlign w:val="center"/>
          </w:tcPr>
          <w:p w14:paraId="1A83450F" w14:textId="389B70B6" w:rsidR="00952E33" w:rsidRPr="00EF6048" w:rsidRDefault="003C0E32" w:rsidP="004B1C16">
            <w:pPr>
              <w:spacing w:after="0" w:line="240" w:lineRule="auto"/>
              <w:jc w:val="right"/>
              <w:rPr>
                <w:rFonts w:ascii="Arial" w:eastAsia="Times New Roman" w:hAnsi="Arial" w:cs="Arial"/>
                <w:b/>
                <w:i/>
                <w:iCs/>
                <w:color w:val="000000"/>
                <w:sz w:val="20"/>
                <w:szCs w:val="20"/>
                <w:lang w:eastAsia="ru-RU"/>
              </w:rPr>
            </w:pPr>
            <w:r w:rsidRPr="00EF6048">
              <w:rPr>
                <w:rFonts w:ascii="Arial" w:hAnsi="Arial" w:cs="Arial"/>
                <w:b/>
                <w:sz w:val="20"/>
                <w:szCs w:val="20"/>
              </w:rPr>
              <w:t xml:space="preserve"> </w:t>
            </w:r>
            <w:r w:rsidR="00BA054D" w:rsidRPr="000D120B">
              <w:rPr>
                <w:rFonts w:ascii="Arial" w:hAnsi="Arial" w:cs="Arial"/>
                <w:b/>
                <w:sz w:val="20"/>
                <w:szCs w:val="20"/>
              </w:rPr>
              <w:t xml:space="preserve"> </w:t>
            </w:r>
            <w:r w:rsidR="00BA054D">
              <w:t>503</w:t>
            </w:r>
            <w:r w:rsidRPr="00EF6048">
              <w:rPr>
                <w:rFonts w:ascii="Arial" w:hAnsi="Arial" w:cs="Arial"/>
                <w:b/>
                <w:sz w:val="20"/>
                <w:szCs w:val="20"/>
              </w:rPr>
              <w:t xml:space="preserve"> </w:t>
            </w:r>
          </w:p>
        </w:tc>
        <w:tc>
          <w:tcPr>
            <w:tcW w:w="472" w:type="pct"/>
            <w:vAlign w:val="center"/>
          </w:tcPr>
          <w:p w14:paraId="4E5F7D74" w14:textId="1A9C1905" w:rsidR="00952E33" w:rsidRPr="00EF6048" w:rsidRDefault="00BA054D" w:rsidP="004B1C16">
            <w:pPr>
              <w:spacing w:after="0" w:line="240" w:lineRule="auto"/>
              <w:jc w:val="right"/>
              <w:rPr>
                <w:rFonts w:ascii="Arial" w:hAnsi="Arial" w:cs="Arial"/>
                <w:b/>
                <w:sz w:val="20"/>
                <w:szCs w:val="20"/>
              </w:rPr>
            </w:pPr>
            <w:r w:rsidRPr="000D120B">
              <w:rPr>
                <w:rFonts w:ascii="Arial" w:hAnsi="Arial" w:cs="Arial"/>
                <w:b/>
                <w:sz w:val="20"/>
                <w:szCs w:val="20"/>
              </w:rPr>
              <w:t>-49%</w:t>
            </w:r>
          </w:p>
        </w:tc>
      </w:tr>
      <w:tr w:rsidR="00EB71AB" w:rsidRPr="00EF6048" w14:paraId="2D064AC1" w14:textId="405CA55B" w:rsidTr="00EB71AB">
        <w:trPr>
          <w:trHeight w:val="20"/>
        </w:trPr>
        <w:tc>
          <w:tcPr>
            <w:tcW w:w="1757" w:type="pct"/>
            <w:tcBorders>
              <w:bottom w:val="single" w:sz="2" w:space="0" w:color="auto"/>
            </w:tcBorders>
            <w:shd w:val="clear" w:color="auto" w:fill="auto"/>
            <w:noWrap/>
            <w:vAlign w:val="center"/>
            <w:hideMark/>
          </w:tcPr>
          <w:p w14:paraId="30CE0F3E" w14:textId="77777777" w:rsidR="00952E33" w:rsidRPr="00EF6048" w:rsidRDefault="00952E33" w:rsidP="000C1D3E">
            <w:pPr>
              <w:spacing w:after="0"/>
              <w:jc w:val="both"/>
              <w:rPr>
                <w:rFonts w:ascii="Arial" w:hAnsi="Arial" w:cs="Arial"/>
                <w:i/>
                <w:iCs/>
                <w:sz w:val="20"/>
                <w:szCs w:val="20"/>
                <w:lang w:eastAsia="ru-RU"/>
              </w:rPr>
            </w:pPr>
            <w:r w:rsidRPr="00EF6048">
              <w:rPr>
                <w:rFonts w:ascii="Arial" w:hAnsi="Arial" w:cs="Arial"/>
                <w:i/>
                <w:iCs/>
                <w:sz w:val="20"/>
                <w:szCs w:val="20"/>
                <w:lang w:eastAsia="ru-RU"/>
              </w:rPr>
              <w:t>Operating profit margin</w:t>
            </w:r>
          </w:p>
        </w:tc>
        <w:tc>
          <w:tcPr>
            <w:tcW w:w="135" w:type="pct"/>
          </w:tcPr>
          <w:p w14:paraId="6C2B96B0" w14:textId="77777777" w:rsidR="00952E33" w:rsidRPr="00EF6048" w:rsidRDefault="00952E33" w:rsidP="000C1D3E">
            <w:pPr>
              <w:spacing w:after="0"/>
              <w:jc w:val="right"/>
              <w:rPr>
                <w:rFonts w:ascii="Arial" w:hAnsi="Arial" w:cs="Arial"/>
                <w:i/>
                <w:iCs/>
                <w:sz w:val="20"/>
                <w:szCs w:val="20"/>
                <w:lang w:eastAsia="ru-RU"/>
              </w:rPr>
            </w:pPr>
          </w:p>
        </w:tc>
        <w:tc>
          <w:tcPr>
            <w:tcW w:w="473" w:type="pct"/>
            <w:tcBorders>
              <w:bottom w:val="single" w:sz="2" w:space="0" w:color="auto"/>
            </w:tcBorders>
            <w:shd w:val="clear" w:color="auto" w:fill="auto"/>
            <w:noWrap/>
            <w:vAlign w:val="center"/>
          </w:tcPr>
          <w:p w14:paraId="5F40BD9F" w14:textId="061B99C7"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10%</w:t>
            </w:r>
          </w:p>
        </w:tc>
        <w:tc>
          <w:tcPr>
            <w:tcW w:w="135" w:type="pct"/>
            <w:tcBorders>
              <w:bottom w:val="single" w:sz="2" w:space="0" w:color="auto"/>
            </w:tcBorders>
            <w:vAlign w:val="center"/>
          </w:tcPr>
          <w:p w14:paraId="51B754F4" w14:textId="77777777" w:rsidR="00952E33" w:rsidRPr="00EF6048" w:rsidRDefault="00952E33" w:rsidP="004B1C16">
            <w:pPr>
              <w:spacing w:after="0" w:line="240" w:lineRule="auto"/>
              <w:jc w:val="right"/>
              <w:rPr>
                <w:rFonts w:ascii="Arial" w:hAnsi="Arial" w:cs="Arial"/>
                <w:i/>
                <w:sz w:val="20"/>
                <w:szCs w:val="20"/>
              </w:rPr>
            </w:pPr>
          </w:p>
        </w:tc>
        <w:tc>
          <w:tcPr>
            <w:tcW w:w="473" w:type="pct"/>
            <w:tcBorders>
              <w:bottom w:val="single" w:sz="2" w:space="0" w:color="auto"/>
            </w:tcBorders>
            <w:shd w:val="clear" w:color="auto" w:fill="auto"/>
            <w:noWrap/>
            <w:vAlign w:val="center"/>
          </w:tcPr>
          <w:p w14:paraId="0142E677" w14:textId="0FAA5CF4"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12%</w:t>
            </w:r>
          </w:p>
        </w:tc>
        <w:tc>
          <w:tcPr>
            <w:tcW w:w="474" w:type="pct"/>
            <w:tcBorders>
              <w:bottom w:val="single" w:sz="2" w:space="0" w:color="auto"/>
            </w:tcBorders>
            <w:shd w:val="clear" w:color="auto" w:fill="auto"/>
            <w:noWrap/>
            <w:vAlign w:val="center"/>
          </w:tcPr>
          <w:p w14:paraId="7E902431" w14:textId="31BF4A21"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 xml:space="preserve">-2 </w:t>
            </w:r>
            <w:proofErr w:type="spellStart"/>
            <w:r w:rsidRPr="000D120B">
              <w:rPr>
                <w:rFonts w:ascii="Arial" w:hAnsi="Arial" w:cs="Arial"/>
                <w:i/>
                <w:sz w:val="20"/>
                <w:szCs w:val="20"/>
              </w:rPr>
              <w:t>pps</w:t>
            </w:r>
            <w:proofErr w:type="spellEnd"/>
          </w:p>
        </w:tc>
        <w:tc>
          <w:tcPr>
            <w:tcW w:w="134" w:type="pct"/>
            <w:tcBorders>
              <w:bottom w:val="single" w:sz="2" w:space="0" w:color="auto"/>
            </w:tcBorders>
            <w:vAlign w:val="center"/>
          </w:tcPr>
          <w:p w14:paraId="71985E77" w14:textId="77777777" w:rsidR="00952E33" w:rsidRPr="00EF6048" w:rsidRDefault="00952E33" w:rsidP="004B1C16">
            <w:pPr>
              <w:spacing w:after="0" w:line="240" w:lineRule="auto"/>
              <w:jc w:val="right"/>
              <w:rPr>
                <w:rFonts w:ascii="Arial" w:hAnsi="Arial" w:cs="Arial"/>
                <w:i/>
                <w:sz w:val="20"/>
                <w:szCs w:val="20"/>
              </w:rPr>
            </w:pPr>
          </w:p>
        </w:tc>
        <w:tc>
          <w:tcPr>
            <w:tcW w:w="473" w:type="pct"/>
            <w:tcBorders>
              <w:bottom w:val="single" w:sz="2" w:space="0" w:color="auto"/>
            </w:tcBorders>
            <w:vAlign w:val="center"/>
          </w:tcPr>
          <w:p w14:paraId="023FED8D" w14:textId="04309EAA"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10%</w:t>
            </w:r>
          </w:p>
        </w:tc>
        <w:tc>
          <w:tcPr>
            <w:tcW w:w="474" w:type="pct"/>
            <w:tcBorders>
              <w:bottom w:val="single" w:sz="2" w:space="0" w:color="auto"/>
            </w:tcBorders>
            <w:vAlign w:val="center"/>
          </w:tcPr>
          <w:p w14:paraId="5F35D9A1" w14:textId="207E5C64"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21%</w:t>
            </w:r>
          </w:p>
        </w:tc>
        <w:tc>
          <w:tcPr>
            <w:tcW w:w="472" w:type="pct"/>
            <w:tcBorders>
              <w:bottom w:val="single" w:sz="2" w:space="0" w:color="auto"/>
            </w:tcBorders>
            <w:vAlign w:val="center"/>
          </w:tcPr>
          <w:p w14:paraId="3D406236" w14:textId="34EADAD2"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 xml:space="preserve">-11 </w:t>
            </w:r>
            <w:proofErr w:type="spellStart"/>
            <w:r w:rsidRPr="000D120B">
              <w:rPr>
                <w:rFonts w:ascii="Arial" w:hAnsi="Arial" w:cs="Arial"/>
                <w:i/>
                <w:sz w:val="20"/>
                <w:szCs w:val="20"/>
              </w:rPr>
              <w:t>pps</w:t>
            </w:r>
            <w:proofErr w:type="spellEnd"/>
          </w:p>
        </w:tc>
      </w:tr>
      <w:tr w:rsidR="00EB71AB" w:rsidRPr="00EF6048" w14:paraId="75EA3A65" w14:textId="6A047666" w:rsidTr="00EB71AB">
        <w:trPr>
          <w:trHeight w:val="20"/>
        </w:trPr>
        <w:tc>
          <w:tcPr>
            <w:tcW w:w="1757" w:type="pct"/>
            <w:tcBorders>
              <w:top w:val="single" w:sz="2" w:space="0" w:color="auto"/>
            </w:tcBorders>
            <w:shd w:val="clear" w:color="auto" w:fill="auto"/>
            <w:noWrap/>
            <w:vAlign w:val="center"/>
          </w:tcPr>
          <w:p w14:paraId="656E925F" w14:textId="77777777" w:rsidR="00952E33" w:rsidRPr="00EF6048" w:rsidRDefault="00952E33" w:rsidP="000C1D3E">
            <w:pPr>
              <w:spacing w:after="0"/>
              <w:jc w:val="both"/>
              <w:rPr>
                <w:rFonts w:ascii="Arial" w:hAnsi="Arial" w:cs="Arial"/>
                <w:b/>
                <w:bCs/>
                <w:sz w:val="20"/>
                <w:szCs w:val="20"/>
                <w:lang w:eastAsia="ru-RU"/>
              </w:rPr>
            </w:pPr>
          </w:p>
        </w:tc>
        <w:tc>
          <w:tcPr>
            <w:tcW w:w="135" w:type="pct"/>
          </w:tcPr>
          <w:p w14:paraId="5DF2328F" w14:textId="77777777" w:rsidR="00952E33" w:rsidRPr="00EF6048" w:rsidRDefault="00952E33" w:rsidP="000C1D3E">
            <w:pPr>
              <w:spacing w:after="0"/>
              <w:jc w:val="right"/>
              <w:rPr>
                <w:rFonts w:ascii="Arial" w:hAnsi="Arial" w:cs="Arial"/>
                <w:b/>
                <w:bCs/>
                <w:sz w:val="20"/>
                <w:szCs w:val="20"/>
                <w:lang w:eastAsia="ru-RU"/>
              </w:rPr>
            </w:pPr>
          </w:p>
        </w:tc>
        <w:tc>
          <w:tcPr>
            <w:tcW w:w="473" w:type="pct"/>
            <w:tcBorders>
              <w:top w:val="single" w:sz="2" w:space="0" w:color="auto"/>
            </w:tcBorders>
            <w:shd w:val="clear" w:color="auto" w:fill="auto"/>
            <w:noWrap/>
            <w:vAlign w:val="center"/>
          </w:tcPr>
          <w:p w14:paraId="2F8A6EF1" w14:textId="77777777" w:rsidR="00952E33" w:rsidRPr="00EF6048" w:rsidRDefault="00952E33" w:rsidP="004B1C16">
            <w:pPr>
              <w:spacing w:after="0" w:line="240" w:lineRule="auto"/>
              <w:jc w:val="right"/>
              <w:rPr>
                <w:rFonts w:ascii="Arial" w:eastAsia="Times New Roman" w:hAnsi="Arial" w:cs="Arial"/>
                <w:b/>
                <w:bCs/>
                <w:color w:val="000000"/>
                <w:sz w:val="20"/>
                <w:szCs w:val="20"/>
                <w:lang w:eastAsia="ru-RU"/>
              </w:rPr>
            </w:pPr>
          </w:p>
        </w:tc>
        <w:tc>
          <w:tcPr>
            <w:tcW w:w="135" w:type="pct"/>
            <w:tcBorders>
              <w:top w:val="single" w:sz="2" w:space="0" w:color="auto"/>
            </w:tcBorders>
            <w:vAlign w:val="center"/>
          </w:tcPr>
          <w:p w14:paraId="6CCEE8F7" w14:textId="77777777" w:rsidR="00952E33" w:rsidRPr="00EF6048" w:rsidRDefault="00952E33" w:rsidP="004B1C16">
            <w:pPr>
              <w:spacing w:after="0" w:line="240" w:lineRule="auto"/>
              <w:jc w:val="right"/>
              <w:rPr>
                <w:rFonts w:ascii="Arial" w:eastAsia="Times New Roman" w:hAnsi="Arial" w:cs="Arial"/>
                <w:b/>
                <w:bCs/>
                <w:color w:val="000000"/>
                <w:sz w:val="20"/>
                <w:szCs w:val="20"/>
                <w:lang w:eastAsia="ru-RU"/>
              </w:rPr>
            </w:pPr>
          </w:p>
        </w:tc>
        <w:tc>
          <w:tcPr>
            <w:tcW w:w="473" w:type="pct"/>
            <w:tcBorders>
              <w:top w:val="single" w:sz="2" w:space="0" w:color="auto"/>
            </w:tcBorders>
            <w:shd w:val="clear" w:color="auto" w:fill="auto"/>
            <w:noWrap/>
            <w:vAlign w:val="center"/>
          </w:tcPr>
          <w:p w14:paraId="58CC4EA1" w14:textId="77777777" w:rsidR="00952E33" w:rsidRPr="00EF6048" w:rsidRDefault="00952E33" w:rsidP="004B1C16">
            <w:pPr>
              <w:spacing w:after="0" w:line="240" w:lineRule="auto"/>
              <w:jc w:val="right"/>
              <w:rPr>
                <w:rFonts w:ascii="Arial" w:eastAsia="Times New Roman" w:hAnsi="Arial" w:cs="Arial"/>
                <w:b/>
                <w:bCs/>
                <w:iCs/>
                <w:color w:val="000000"/>
                <w:sz w:val="20"/>
                <w:szCs w:val="20"/>
                <w:lang w:eastAsia="ru-RU"/>
              </w:rPr>
            </w:pPr>
          </w:p>
        </w:tc>
        <w:tc>
          <w:tcPr>
            <w:tcW w:w="474" w:type="pct"/>
            <w:tcBorders>
              <w:top w:val="single" w:sz="2" w:space="0" w:color="auto"/>
            </w:tcBorders>
            <w:shd w:val="clear" w:color="auto" w:fill="auto"/>
            <w:noWrap/>
            <w:vAlign w:val="center"/>
          </w:tcPr>
          <w:p w14:paraId="30F15CEB" w14:textId="77777777" w:rsidR="00952E33" w:rsidRPr="00EF6048" w:rsidRDefault="00952E33" w:rsidP="004B1C16">
            <w:pPr>
              <w:spacing w:after="0" w:line="240" w:lineRule="auto"/>
              <w:jc w:val="right"/>
              <w:rPr>
                <w:rFonts w:ascii="Arial" w:eastAsia="Times New Roman" w:hAnsi="Arial" w:cs="Arial"/>
                <w:b/>
                <w:i/>
                <w:iCs/>
                <w:color w:val="000000"/>
                <w:sz w:val="20"/>
                <w:szCs w:val="20"/>
                <w:lang w:eastAsia="ru-RU"/>
              </w:rPr>
            </w:pPr>
          </w:p>
        </w:tc>
        <w:tc>
          <w:tcPr>
            <w:tcW w:w="134" w:type="pct"/>
            <w:tcBorders>
              <w:top w:val="single" w:sz="2" w:space="0" w:color="auto"/>
            </w:tcBorders>
            <w:vAlign w:val="center"/>
          </w:tcPr>
          <w:p w14:paraId="57477678" w14:textId="77777777" w:rsidR="00952E33" w:rsidRPr="00EF6048" w:rsidRDefault="00952E33" w:rsidP="004B1C16">
            <w:pPr>
              <w:spacing w:after="0" w:line="240" w:lineRule="auto"/>
              <w:jc w:val="right"/>
              <w:rPr>
                <w:rFonts w:ascii="Arial" w:eastAsia="Times New Roman" w:hAnsi="Arial" w:cs="Arial"/>
                <w:b/>
                <w:i/>
                <w:iCs/>
                <w:color w:val="000000"/>
                <w:sz w:val="20"/>
                <w:szCs w:val="20"/>
                <w:lang w:eastAsia="ru-RU"/>
              </w:rPr>
            </w:pPr>
          </w:p>
        </w:tc>
        <w:tc>
          <w:tcPr>
            <w:tcW w:w="473" w:type="pct"/>
            <w:tcBorders>
              <w:top w:val="single" w:sz="2" w:space="0" w:color="auto"/>
            </w:tcBorders>
            <w:vAlign w:val="center"/>
          </w:tcPr>
          <w:p w14:paraId="42C95816" w14:textId="77777777" w:rsidR="00952E33" w:rsidRPr="00EF6048" w:rsidRDefault="00952E33" w:rsidP="004B1C16">
            <w:pPr>
              <w:spacing w:after="0" w:line="240" w:lineRule="auto"/>
              <w:jc w:val="right"/>
              <w:rPr>
                <w:rFonts w:ascii="Arial" w:eastAsia="Times New Roman" w:hAnsi="Arial" w:cs="Arial"/>
                <w:b/>
                <w:i/>
                <w:iCs/>
                <w:color w:val="000000"/>
                <w:sz w:val="20"/>
                <w:szCs w:val="20"/>
                <w:lang w:eastAsia="ru-RU"/>
              </w:rPr>
            </w:pPr>
          </w:p>
        </w:tc>
        <w:tc>
          <w:tcPr>
            <w:tcW w:w="474" w:type="pct"/>
            <w:tcBorders>
              <w:top w:val="single" w:sz="2" w:space="0" w:color="auto"/>
            </w:tcBorders>
            <w:vAlign w:val="center"/>
          </w:tcPr>
          <w:p w14:paraId="5EA4D53D" w14:textId="77777777" w:rsidR="00952E33" w:rsidRPr="00EF6048" w:rsidRDefault="00952E33" w:rsidP="004B1C16">
            <w:pPr>
              <w:spacing w:after="0" w:line="240" w:lineRule="auto"/>
              <w:jc w:val="right"/>
              <w:rPr>
                <w:rFonts w:ascii="Arial" w:eastAsia="Times New Roman" w:hAnsi="Arial" w:cs="Arial"/>
                <w:b/>
                <w:i/>
                <w:iCs/>
                <w:color w:val="000000"/>
                <w:sz w:val="20"/>
                <w:szCs w:val="20"/>
                <w:lang w:eastAsia="ru-RU"/>
              </w:rPr>
            </w:pPr>
          </w:p>
        </w:tc>
        <w:tc>
          <w:tcPr>
            <w:tcW w:w="472" w:type="pct"/>
            <w:tcBorders>
              <w:top w:val="single" w:sz="2" w:space="0" w:color="auto"/>
            </w:tcBorders>
            <w:vAlign w:val="center"/>
          </w:tcPr>
          <w:p w14:paraId="483F1D84" w14:textId="77777777" w:rsidR="00952E33" w:rsidRPr="00EF6048" w:rsidRDefault="00952E33" w:rsidP="004B1C16">
            <w:pPr>
              <w:spacing w:after="0" w:line="240" w:lineRule="auto"/>
              <w:jc w:val="right"/>
              <w:rPr>
                <w:rFonts w:ascii="Arial" w:hAnsi="Arial" w:cs="Arial"/>
                <w:b/>
                <w:sz w:val="20"/>
                <w:szCs w:val="20"/>
              </w:rPr>
            </w:pPr>
          </w:p>
        </w:tc>
      </w:tr>
      <w:tr w:rsidR="00EB71AB" w:rsidRPr="00EF6048" w14:paraId="275B1028" w14:textId="385C3176" w:rsidTr="00EB71AB">
        <w:trPr>
          <w:trHeight w:val="20"/>
        </w:trPr>
        <w:tc>
          <w:tcPr>
            <w:tcW w:w="1757" w:type="pct"/>
            <w:shd w:val="clear" w:color="auto" w:fill="auto"/>
            <w:noWrap/>
            <w:vAlign w:val="center"/>
            <w:hideMark/>
          </w:tcPr>
          <w:p w14:paraId="35CF2B61" w14:textId="35863331" w:rsidR="00952E33" w:rsidRPr="00EF6048" w:rsidRDefault="00952E33" w:rsidP="000C1D3E">
            <w:pPr>
              <w:spacing w:after="0"/>
              <w:jc w:val="both"/>
              <w:rPr>
                <w:rFonts w:ascii="Arial" w:hAnsi="Arial" w:cs="Arial"/>
                <w:b/>
                <w:bCs/>
                <w:sz w:val="20"/>
                <w:szCs w:val="20"/>
                <w:lang w:eastAsia="ru-RU"/>
              </w:rPr>
            </w:pPr>
            <w:r w:rsidRPr="00EF6048">
              <w:rPr>
                <w:rFonts w:ascii="Arial" w:hAnsi="Arial" w:cs="Arial"/>
                <w:b/>
                <w:bCs/>
                <w:sz w:val="20"/>
                <w:szCs w:val="20"/>
                <w:lang w:eastAsia="ru-RU"/>
              </w:rPr>
              <w:t>Adjusted EBITDA</w:t>
            </w:r>
          </w:p>
        </w:tc>
        <w:tc>
          <w:tcPr>
            <w:tcW w:w="135" w:type="pct"/>
          </w:tcPr>
          <w:p w14:paraId="67BFF749" w14:textId="77777777" w:rsidR="00952E33" w:rsidRPr="00EF6048" w:rsidRDefault="00952E33" w:rsidP="000C1D3E">
            <w:pPr>
              <w:spacing w:after="0"/>
              <w:jc w:val="right"/>
              <w:rPr>
                <w:rFonts w:ascii="Arial" w:hAnsi="Arial" w:cs="Arial"/>
                <w:b/>
                <w:bCs/>
                <w:sz w:val="20"/>
                <w:szCs w:val="20"/>
                <w:lang w:eastAsia="ru-RU"/>
              </w:rPr>
            </w:pPr>
          </w:p>
        </w:tc>
        <w:tc>
          <w:tcPr>
            <w:tcW w:w="473" w:type="pct"/>
            <w:shd w:val="clear" w:color="auto" w:fill="auto"/>
            <w:noWrap/>
            <w:vAlign w:val="center"/>
          </w:tcPr>
          <w:p w14:paraId="4A7E9D8F" w14:textId="3FCFA6CD" w:rsidR="00952E33" w:rsidRPr="00EF6048" w:rsidRDefault="003C0E32" w:rsidP="004B1C16">
            <w:pPr>
              <w:spacing w:after="0" w:line="240" w:lineRule="auto"/>
              <w:jc w:val="right"/>
              <w:rPr>
                <w:rFonts w:ascii="Arial" w:hAnsi="Arial" w:cs="Arial"/>
                <w:b/>
                <w:bCs/>
                <w:sz w:val="20"/>
                <w:szCs w:val="20"/>
              </w:rPr>
            </w:pPr>
            <w:r w:rsidRPr="00EF6048">
              <w:rPr>
                <w:rFonts w:ascii="Arial" w:hAnsi="Arial" w:cs="Arial"/>
                <w:b/>
                <w:bCs/>
                <w:sz w:val="20"/>
                <w:szCs w:val="20"/>
              </w:rPr>
              <w:t xml:space="preserve"> </w:t>
            </w:r>
            <w:r w:rsidR="00BA054D" w:rsidRPr="000D120B">
              <w:rPr>
                <w:rFonts w:ascii="Arial" w:hAnsi="Arial" w:cs="Arial"/>
                <w:b/>
                <w:bCs/>
                <w:sz w:val="20"/>
                <w:szCs w:val="20"/>
              </w:rPr>
              <w:t xml:space="preserve"> 138</w:t>
            </w:r>
          </w:p>
        </w:tc>
        <w:tc>
          <w:tcPr>
            <w:tcW w:w="135" w:type="pct"/>
            <w:vAlign w:val="center"/>
          </w:tcPr>
          <w:p w14:paraId="766F6252" w14:textId="77777777" w:rsidR="00952E33" w:rsidRPr="00EF6048" w:rsidRDefault="00952E33" w:rsidP="004B1C16">
            <w:pPr>
              <w:spacing w:after="0" w:line="240" w:lineRule="auto"/>
              <w:jc w:val="right"/>
              <w:rPr>
                <w:rFonts w:ascii="Arial" w:hAnsi="Arial" w:cs="Arial"/>
                <w:b/>
                <w:bCs/>
                <w:sz w:val="20"/>
                <w:szCs w:val="20"/>
              </w:rPr>
            </w:pPr>
          </w:p>
        </w:tc>
        <w:tc>
          <w:tcPr>
            <w:tcW w:w="473" w:type="pct"/>
            <w:shd w:val="clear" w:color="auto" w:fill="auto"/>
            <w:noWrap/>
            <w:vAlign w:val="center"/>
          </w:tcPr>
          <w:p w14:paraId="2A1BC8CB" w14:textId="60D17CBB" w:rsidR="00952E33" w:rsidRPr="00EF6048" w:rsidRDefault="003C0E32" w:rsidP="004B1C16">
            <w:pPr>
              <w:spacing w:after="0" w:line="240" w:lineRule="auto"/>
              <w:jc w:val="right"/>
              <w:rPr>
                <w:rFonts w:ascii="Arial" w:hAnsi="Arial" w:cs="Arial"/>
                <w:b/>
                <w:bCs/>
                <w:sz w:val="20"/>
                <w:szCs w:val="20"/>
              </w:rPr>
            </w:pPr>
            <w:r w:rsidRPr="00EF6048">
              <w:rPr>
                <w:rFonts w:ascii="Arial" w:hAnsi="Arial" w:cs="Arial"/>
                <w:b/>
                <w:bCs/>
                <w:sz w:val="20"/>
                <w:szCs w:val="20"/>
              </w:rPr>
              <w:t xml:space="preserve"> </w:t>
            </w:r>
            <w:r w:rsidR="00BA054D" w:rsidRPr="000D120B">
              <w:rPr>
                <w:rFonts w:ascii="Arial" w:hAnsi="Arial" w:cs="Arial"/>
                <w:b/>
                <w:bCs/>
                <w:sz w:val="20"/>
                <w:szCs w:val="20"/>
              </w:rPr>
              <w:t xml:space="preserve"> 157</w:t>
            </w:r>
          </w:p>
        </w:tc>
        <w:tc>
          <w:tcPr>
            <w:tcW w:w="474" w:type="pct"/>
            <w:shd w:val="clear" w:color="auto" w:fill="auto"/>
            <w:noWrap/>
            <w:vAlign w:val="center"/>
          </w:tcPr>
          <w:p w14:paraId="06F2E7E5" w14:textId="5DF5C93B" w:rsidR="00952E33" w:rsidRPr="00EF6048" w:rsidRDefault="00BA054D" w:rsidP="004B1C16">
            <w:pPr>
              <w:spacing w:after="0" w:line="240" w:lineRule="auto"/>
              <w:jc w:val="right"/>
              <w:rPr>
                <w:rFonts w:ascii="Arial" w:hAnsi="Arial" w:cs="Arial"/>
                <w:b/>
                <w:bCs/>
                <w:sz w:val="20"/>
                <w:szCs w:val="20"/>
              </w:rPr>
            </w:pPr>
            <w:r w:rsidRPr="000D120B">
              <w:rPr>
                <w:rFonts w:ascii="Arial" w:hAnsi="Arial" w:cs="Arial"/>
                <w:b/>
                <w:bCs/>
                <w:sz w:val="20"/>
                <w:szCs w:val="20"/>
              </w:rPr>
              <w:t>-12%</w:t>
            </w:r>
          </w:p>
        </w:tc>
        <w:tc>
          <w:tcPr>
            <w:tcW w:w="134" w:type="pct"/>
            <w:vAlign w:val="center"/>
          </w:tcPr>
          <w:p w14:paraId="5DCC281D" w14:textId="77777777" w:rsidR="00952E33" w:rsidRPr="00EF6048" w:rsidRDefault="00952E33" w:rsidP="004B1C16">
            <w:pPr>
              <w:spacing w:after="0" w:line="240" w:lineRule="auto"/>
              <w:jc w:val="right"/>
              <w:rPr>
                <w:rFonts w:ascii="Arial" w:eastAsia="Times New Roman" w:hAnsi="Arial" w:cs="Arial"/>
                <w:b/>
                <w:bCs/>
                <w:i/>
                <w:iCs/>
                <w:color w:val="000000"/>
                <w:sz w:val="20"/>
                <w:szCs w:val="20"/>
                <w:lang w:eastAsia="ru-RU"/>
              </w:rPr>
            </w:pPr>
          </w:p>
        </w:tc>
        <w:tc>
          <w:tcPr>
            <w:tcW w:w="473" w:type="pct"/>
            <w:vAlign w:val="center"/>
          </w:tcPr>
          <w:p w14:paraId="10B94708" w14:textId="3F4EBC56" w:rsidR="00952E33" w:rsidRPr="00EF6048" w:rsidRDefault="003C0E32" w:rsidP="004B1C16">
            <w:pPr>
              <w:spacing w:after="0" w:line="240" w:lineRule="auto"/>
              <w:jc w:val="right"/>
              <w:rPr>
                <w:rFonts w:ascii="Arial" w:eastAsia="Times New Roman" w:hAnsi="Arial" w:cs="Arial"/>
                <w:b/>
                <w:bCs/>
                <w:i/>
                <w:iCs/>
                <w:color w:val="000000"/>
                <w:sz w:val="20"/>
                <w:szCs w:val="20"/>
                <w:lang w:eastAsia="ru-RU"/>
              </w:rPr>
            </w:pPr>
            <w:r w:rsidRPr="00EF6048">
              <w:rPr>
                <w:rFonts w:ascii="Arial" w:hAnsi="Arial" w:cs="Arial"/>
                <w:b/>
                <w:bCs/>
                <w:sz w:val="20"/>
                <w:szCs w:val="20"/>
              </w:rPr>
              <w:t xml:space="preserve"> </w:t>
            </w:r>
            <w:r w:rsidR="00BA054D" w:rsidRPr="000D120B">
              <w:rPr>
                <w:rFonts w:ascii="Arial" w:hAnsi="Arial" w:cs="Arial"/>
                <w:b/>
                <w:bCs/>
                <w:sz w:val="20"/>
                <w:szCs w:val="20"/>
              </w:rPr>
              <w:t xml:space="preserve"> 443</w:t>
            </w:r>
          </w:p>
        </w:tc>
        <w:tc>
          <w:tcPr>
            <w:tcW w:w="474" w:type="pct"/>
            <w:vAlign w:val="center"/>
          </w:tcPr>
          <w:p w14:paraId="21AF5192" w14:textId="47E09B2D" w:rsidR="00952E33" w:rsidRPr="00EF6048" w:rsidRDefault="003C0E32" w:rsidP="004B1C16">
            <w:pPr>
              <w:spacing w:after="0" w:line="240" w:lineRule="auto"/>
              <w:jc w:val="right"/>
              <w:rPr>
                <w:rFonts w:ascii="Arial" w:eastAsia="Times New Roman" w:hAnsi="Arial" w:cs="Arial"/>
                <w:b/>
                <w:bCs/>
                <w:i/>
                <w:iCs/>
                <w:color w:val="000000"/>
                <w:sz w:val="20"/>
                <w:szCs w:val="20"/>
                <w:lang w:eastAsia="ru-RU"/>
              </w:rPr>
            </w:pPr>
            <w:r w:rsidRPr="00EF6048">
              <w:rPr>
                <w:rFonts w:ascii="Arial" w:hAnsi="Arial" w:cs="Arial"/>
                <w:b/>
                <w:bCs/>
                <w:sz w:val="20"/>
                <w:szCs w:val="20"/>
              </w:rPr>
              <w:t xml:space="preserve"> </w:t>
            </w:r>
            <w:r w:rsidR="00BA054D" w:rsidRPr="000D120B">
              <w:rPr>
                <w:rFonts w:ascii="Arial" w:hAnsi="Arial" w:cs="Arial"/>
                <w:b/>
                <w:bCs/>
                <w:sz w:val="20"/>
                <w:szCs w:val="20"/>
              </w:rPr>
              <w:t xml:space="preserve"> 709</w:t>
            </w:r>
          </w:p>
        </w:tc>
        <w:tc>
          <w:tcPr>
            <w:tcW w:w="472" w:type="pct"/>
            <w:vAlign w:val="center"/>
          </w:tcPr>
          <w:p w14:paraId="43E253E8" w14:textId="1D339C2E" w:rsidR="00952E33" w:rsidRPr="00EF6048" w:rsidRDefault="00BA054D" w:rsidP="004B1C16">
            <w:pPr>
              <w:spacing w:after="0" w:line="240" w:lineRule="auto"/>
              <w:jc w:val="right"/>
              <w:rPr>
                <w:rFonts w:ascii="Arial" w:hAnsi="Arial" w:cs="Arial"/>
                <w:b/>
                <w:bCs/>
                <w:sz w:val="20"/>
                <w:szCs w:val="20"/>
              </w:rPr>
            </w:pPr>
            <w:r w:rsidRPr="000D120B">
              <w:rPr>
                <w:rFonts w:ascii="Arial" w:hAnsi="Arial" w:cs="Arial"/>
                <w:b/>
                <w:bCs/>
                <w:sz w:val="20"/>
                <w:szCs w:val="20"/>
              </w:rPr>
              <w:t>-38%</w:t>
            </w:r>
          </w:p>
        </w:tc>
      </w:tr>
      <w:tr w:rsidR="00EB71AB" w:rsidRPr="00EF6048" w14:paraId="40182046" w14:textId="5CB9D587" w:rsidTr="00EB71AB">
        <w:trPr>
          <w:trHeight w:val="20"/>
        </w:trPr>
        <w:tc>
          <w:tcPr>
            <w:tcW w:w="1757" w:type="pct"/>
            <w:tcBorders>
              <w:bottom w:val="single" w:sz="4" w:space="0" w:color="auto"/>
            </w:tcBorders>
            <w:shd w:val="clear" w:color="auto" w:fill="auto"/>
            <w:noWrap/>
            <w:vAlign w:val="center"/>
            <w:hideMark/>
          </w:tcPr>
          <w:p w14:paraId="6B879E8D" w14:textId="19334CD4" w:rsidR="00952E33" w:rsidRPr="00EF6048" w:rsidRDefault="00952E33" w:rsidP="000C1D3E">
            <w:pPr>
              <w:spacing w:after="0"/>
              <w:jc w:val="both"/>
              <w:rPr>
                <w:rFonts w:ascii="Arial" w:hAnsi="Arial" w:cs="Arial"/>
                <w:i/>
                <w:iCs/>
                <w:sz w:val="20"/>
                <w:szCs w:val="20"/>
                <w:lang w:eastAsia="ru-RU"/>
              </w:rPr>
            </w:pPr>
            <w:r w:rsidRPr="00EF6048">
              <w:rPr>
                <w:rFonts w:ascii="Arial" w:hAnsi="Arial" w:cs="Arial"/>
                <w:i/>
                <w:iCs/>
                <w:sz w:val="20"/>
                <w:szCs w:val="20"/>
                <w:lang w:eastAsia="ru-RU"/>
              </w:rPr>
              <w:t>Adjusted EBITDA margin</w:t>
            </w:r>
          </w:p>
        </w:tc>
        <w:tc>
          <w:tcPr>
            <w:tcW w:w="135" w:type="pct"/>
          </w:tcPr>
          <w:p w14:paraId="4CDA8720" w14:textId="77777777" w:rsidR="00952E33" w:rsidRPr="00EF6048" w:rsidRDefault="00952E33" w:rsidP="000C1D3E">
            <w:pPr>
              <w:spacing w:after="0"/>
              <w:jc w:val="right"/>
              <w:rPr>
                <w:rFonts w:ascii="Arial" w:hAnsi="Arial" w:cs="Arial"/>
                <w:i/>
                <w:iCs/>
                <w:sz w:val="20"/>
                <w:szCs w:val="20"/>
                <w:lang w:eastAsia="ru-RU"/>
              </w:rPr>
            </w:pPr>
          </w:p>
        </w:tc>
        <w:tc>
          <w:tcPr>
            <w:tcW w:w="473" w:type="pct"/>
            <w:tcBorders>
              <w:bottom w:val="single" w:sz="4" w:space="0" w:color="auto"/>
            </w:tcBorders>
            <w:shd w:val="clear" w:color="auto" w:fill="auto"/>
            <w:noWrap/>
            <w:vAlign w:val="center"/>
          </w:tcPr>
          <w:p w14:paraId="767EB2DC" w14:textId="1F2139BF"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18%</w:t>
            </w:r>
          </w:p>
        </w:tc>
        <w:tc>
          <w:tcPr>
            <w:tcW w:w="135" w:type="pct"/>
            <w:tcBorders>
              <w:bottom w:val="single" w:sz="4" w:space="0" w:color="auto"/>
            </w:tcBorders>
            <w:vAlign w:val="center"/>
          </w:tcPr>
          <w:p w14:paraId="75A092C3" w14:textId="77777777" w:rsidR="00952E33" w:rsidRPr="00EF6048" w:rsidRDefault="00952E33" w:rsidP="004B1C16">
            <w:pPr>
              <w:spacing w:after="0" w:line="240" w:lineRule="auto"/>
              <w:jc w:val="right"/>
              <w:rPr>
                <w:rFonts w:ascii="Arial" w:hAnsi="Arial" w:cs="Arial"/>
                <w:i/>
                <w:sz w:val="20"/>
                <w:szCs w:val="20"/>
              </w:rPr>
            </w:pPr>
          </w:p>
        </w:tc>
        <w:tc>
          <w:tcPr>
            <w:tcW w:w="473" w:type="pct"/>
            <w:tcBorders>
              <w:bottom w:val="single" w:sz="4" w:space="0" w:color="auto"/>
            </w:tcBorders>
            <w:shd w:val="clear" w:color="auto" w:fill="auto"/>
            <w:noWrap/>
            <w:vAlign w:val="center"/>
          </w:tcPr>
          <w:p w14:paraId="2C2B31F6" w14:textId="65FA8770"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22%</w:t>
            </w:r>
          </w:p>
        </w:tc>
        <w:tc>
          <w:tcPr>
            <w:tcW w:w="474" w:type="pct"/>
            <w:tcBorders>
              <w:bottom w:val="single" w:sz="4" w:space="0" w:color="auto"/>
            </w:tcBorders>
            <w:shd w:val="clear" w:color="auto" w:fill="auto"/>
            <w:noWrap/>
            <w:vAlign w:val="center"/>
          </w:tcPr>
          <w:p w14:paraId="10286C3B" w14:textId="300EB5AF"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 xml:space="preserve">-4 </w:t>
            </w:r>
            <w:proofErr w:type="spellStart"/>
            <w:r w:rsidRPr="000D120B">
              <w:rPr>
                <w:rFonts w:ascii="Arial" w:hAnsi="Arial" w:cs="Arial"/>
                <w:i/>
                <w:sz w:val="20"/>
                <w:szCs w:val="20"/>
              </w:rPr>
              <w:t>pps</w:t>
            </w:r>
            <w:proofErr w:type="spellEnd"/>
          </w:p>
        </w:tc>
        <w:tc>
          <w:tcPr>
            <w:tcW w:w="134" w:type="pct"/>
            <w:tcBorders>
              <w:bottom w:val="single" w:sz="4" w:space="0" w:color="auto"/>
            </w:tcBorders>
            <w:vAlign w:val="center"/>
          </w:tcPr>
          <w:p w14:paraId="365A325F" w14:textId="77777777" w:rsidR="00952E33" w:rsidRPr="00EF6048" w:rsidRDefault="00952E33" w:rsidP="004B1C16">
            <w:pPr>
              <w:spacing w:after="0" w:line="240" w:lineRule="auto"/>
              <w:jc w:val="right"/>
              <w:rPr>
                <w:rFonts w:ascii="Arial" w:hAnsi="Arial" w:cs="Arial"/>
                <w:i/>
                <w:sz w:val="20"/>
                <w:szCs w:val="20"/>
              </w:rPr>
            </w:pPr>
          </w:p>
        </w:tc>
        <w:tc>
          <w:tcPr>
            <w:tcW w:w="473" w:type="pct"/>
            <w:tcBorders>
              <w:bottom w:val="single" w:sz="4" w:space="0" w:color="auto"/>
            </w:tcBorders>
            <w:vAlign w:val="center"/>
          </w:tcPr>
          <w:p w14:paraId="6560550E" w14:textId="57858FED"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17%</w:t>
            </w:r>
          </w:p>
        </w:tc>
        <w:tc>
          <w:tcPr>
            <w:tcW w:w="474" w:type="pct"/>
            <w:tcBorders>
              <w:bottom w:val="single" w:sz="4" w:space="0" w:color="auto"/>
            </w:tcBorders>
            <w:vAlign w:val="center"/>
          </w:tcPr>
          <w:p w14:paraId="6B7D5B35" w14:textId="13D9615C"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30%</w:t>
            </w:r>
          </w:p>
        </w:tc>
        <w:tc>
          <w:tcPr>
            <w:tcW w:w="472" w:type="pct"/>
            <w:tcBorders>
              <w:bottom w:val="single" w:sz="4" w:space="0" w:color="auto"/>
            </w:tcBorders>
            <w:vAlign w:val="center"/>
          </w:tcPr>
          <w:p w14:paraId="60418B9C" w14:textId="55264C12"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 xml:space="preserve">-13 </w:t>
            </w:r>
            <w:proofErr w:type="spellStart"/>
            <w:r w:rsidRPr="000D120B">
              <w:rPr>
                <w:rFonts w:ascii="Arial" w:hAnsi="Arial" w:cs="Arial"/>
                <w:i/>
                <w:sz w:val="20"/>
                <w:szCs w:val="20"/>
              </w:rPr>
              <w:t>pps</w:t>
            </w:r>
            <w:proofErr w:type="spellEnd"/>
          </w:p>
        </w:tc>
      </w:tr>
      <w:tr w:rsidR="00EB71AB" w:rsidRPr="00EF6048" w14:paraId="16B8BA91" w14:textId="4D95CB45" w:rsidTr="00EB71AB">
        <w:trPr>
          <w:trHeight w:val="20"/>
        </w:trPr>
        <w:tc>
          <w:tcPr>
            <w:tcW w:w="1757" w:type="pct"/>
            <w:tcBorders>
              <w:top w:val="single" w:sz="4" w:space="0" w:color="auto"/>
            </w:tcBorders>
            <w:shd w:val="clear" w:color="auto" w:fill="auto"/>
            <w:noWrap/>
            <w:vAlign w:val="center"/>
          </w:tcPr>
          <w:p w14:paraId="12BE7B00" w14:textId="2D9CEFA9" w:rsidR="00952E33" w:rsidRPr="00EF6048" w:rsidRDefault="00952E33" w:rsidP="000C1D3E">
            <w:pPr>
              <w:spacing w:after="0"/>
              <w:jc w:val="both"/>
              <w:rPr>
                <w:rFonts w:ascii="Arial" w:hAnsi="Arial" w:cs="Arial"/>
                <w:i/>
                <w:iCs/>
                <w:sz w:val="20"/>
                <w:szCs w:val="20"/>
                <w:lang w:eastAsia="ru-RU"/>
              </w:rPr>
            </w:pPr>
            <w:r w:rsidRPr="00EF6048">
              <w:rPr>
                <w:rFonts w:ascii="Arial" w:hAnsi="Arial" w:cs="Arial"/>
                <w:b/>
                <w:bCs/>
                <w:sz w:val="20"/>
                <w:szCs w:val="20"/>
                <w:lang w:eastAsia="ru-RU"/>
              </w:rPr>
              <w:t xml:space="preserve">Adjusted EBITDA </w:t>
            </w:r>
            <w:r w:rsidRPr="00EF6048">
              <w:rPr>
                <w:rFonts w:ascii="Arial" w:hAnsi="Arial" w:cs="Arial"/>
                <w:bCs/>
                <w:i/>
                <w:sz w:val="20"/>
                <w:szCs w:val="20"/>
                <w:lang w:eastAsia="ru-RU"/>
              </w:rPr>
              <w:t>(net of IFRS 16)</w:t>
            </w:r>
          </w:p>
        </w:tc>
        <w:tc>
          <w:tcPr>
            <w:tcW w:w="135" w:type="pct"/>
          </w:tcPr>
          <w:p w14:paraId="30816ACB" w14:textId="77777777" w:rsidR="00952E33" w:rsidRPr="00EF6048" w:rsidRDefault="00952E33" w:rsidP="000C1D3E">
            <w:pPr>
              <w:spacing w:after="0"/>
              <w:jc w:val="right"/>
              <w:rPr>
                <w:rFonts w:ascii="Arial" w:hAnsi="Arial" w:cs="Arial"/>
                <w:i/>
                <w:iCs/>
                <w:sz w:val="20"/>
                <w:szCs w:val="20"/>
                <w:lang w:eastAsia="ru-RU"/>
              </w:rPr>
            </w:pPr>
          </w:p>
        </w:tc>
        <w:tc>
          <w:tcPr>
            <w:tcW w:w="473" w:type="pct"/>
            <w:tcBorders>
              <w:top w:val="single" w:sz="4" w:space="0" w:color="auto"/>
            </w:tcBorders>
            <w:shd w:val="clear" w:color="auto" w:fill="auto"/>
            <w:noWrap/>
            <w:vAlign w:val="center"/>
          </w:tcPr>
          <w:p w14:paraId="6FEAC5A2" w14:textId="0B23A3D8" w:rsidR="00952E33" w:rsidRPr="00EF6048" w:rsidRDefault="003C0E32" w:rsidP="004B1C16">
            <w:pPr>
              <w:spacing w:after="0" w:line="240" w:lineRule="auto"/>
              <w:jc w:val="right"/>
              <w:rPr>
                <w:rFonts w:ascii="Arial" w:hAnsi="Arial" w:cs="Arial"/>
                <w:b/>
                <w:sz w:val="20"/>
                <w:szCs w:val="20"/>
              </w:rPr>
            </w:pPr>
            <w:r w:rsidRPr="00EF6048">
              <w:rPr>
                <w:rFonts w:ascii="Arial" w:hAnsi="Arial" w:cs="Arial"/>
                <w:b/>
                <w:sz w:val="20"/>
                <w:szCs w:val="20"/>
              </w:rPr>
              <w:t xml:space="preserve"> </w:t>
            </w:r>
            <w:r w:rsidR="00BA054D" w:rsidRPr="000D120B">
              <w:rPr>
                <w:rFonts w:ascii="Arial" w:hAnsi="Arial" w:cs="Arial"/>
                <w:b/>
                <w:sz w:val="20"/>
                <w:szCs w:val="20"/>
              </w:rPr>
              <w:t xml:space="preserve"> 109</w:t>
            </w:r>
          </w:p>
        </w:tc>
        <w:tc>
          <w:tcPr>
            <w:tcW w:w="135" w:type="pct"/>
            <w:tcBorders>
              <w:top w:val="single" w:sz="4" w:space="0" w:color="auto"/>
            </w:tcBorders>
            <w:vAlign w:val="center"/>
          </w:tcPr>
          <w:p w14:paraId="1CACDA87" w14:textId="77777777" w:rsidR="00952E33" w:rsidRPr="00EF6048" w:rsidRDefault="00952E33" w:rsidP="004B1C16">
            <w:pPr>
              <w:spacing w:after="0" w:line="240" w:lineRule="auto"/>
              <w:jc w:val="right"/>
              <w:rPr>
                <w:rFonts w:ascii="Arial" w:hAnsi="Arial" w:cs="Arial"/>
                <w:b/>
                <w:sz w:val="20"/>
                <w:szCs w:val="20"/>
              </w:rPr>
            </w:pPr>
          </w:p>
        </w:tc>
        <w:tc>
          <w:tcPr>
            <w:tcW w:w="473" w:type="pct"/>
            <w:tcBorders>
              <w:top w:val="single" w:sz="4" w:space="0" w:color="auto"/>
            </w:tcBorders>
            <w:shd w:val="clear" w:color="auto" w:fill="auto"/>
            <w:noWrap/>
            <w:vAlign w:val="center"/>
          </w:tcPr>
          <w:p w14:paraId="2E483E7E" w14:textId="0A5C519C" w:rsidR="00952E33" w:rsidRPr="00EF6048" w:rsidRDefault="003C0E32" w:rsidP="004B1C16">
            <w:pPr>
              <w:spacing w:after="0" w:line="240" w:lineRule="auto"/>
              <w:jc w:val="right"/>
              <w:rPr>
                <w:rFonts w:ascii="Arial" w:hAnsi="Arial" w:cs="Arial"/>
                <w:b/>
                <w:sz w:val="20"/>
                <w:szCs w:val="20"/>
              </w:rPr>
            </w:pPr>
            <w:r w:rsidRPr="00EF6048">
              <w:rPr>
                <w:rFonts w:ascii="Arial" w:hAnsi="Arial" w:cs="Arial"/>
                <w:b/>
                <w:sz w:val="20"/>
                <w:szCs w:val="20"/>
              </w:rPr>
              <w:t xml:space="preserve"> </w:t>
            </w:r>
            <w:r w:rsidR="00BA054D" w:rsidRPr="000D120B">
              <w:rPr>
                <w:rFonts w:ascii="Arial" w:hAnsi="Arial" w:cs="Arial"/>
                <w:b/>
                <w:sz w:val="20"/>
                <w:szCs w:val="20"/>
              </w:rPr>
              <w:t xml:space="preserve"> 129</w:t>
            </w:r>
          </w:p>
        </w:tc>
        <w:tc>
          <w:tcPr>
            <w:tcW w:w="474" w:type="pct"/>
            <w:tcBorders>
              <w:top w:val="single" w:sz="4" w:space="0" w:color="auto"/>
            </w:tcBorders>
            <w:shd w:val="clear" w:color="auto" w:fill="auto"/>
            <w:noWrap/>
            <w:vAlign w:val="center"/>
          </w:tcPr>
          <w:p w14:paraId="24922C43" w14:textId="1FB0A8F8" w:rsidR="00952E33" w:rsidRPr="00EF6048" w:rsidRDefault="00BA054D" w:rsidP="004B1C16">
            <w:pPr>
              <w:spacing w:after="0" w:line="240" w:lineRule="auto"/>
              <w:jc w:val="right"/>
              <w:rPr>
                <w:rFonts w:ascii="Arial" w:hAnsi="Arial" w:cs="Arial"/>
                <w:b/>
                <w:sz w:val="20"/>
                <w:szCs w:val="20"/>
              </w:rPr>
            </w:pPr>
            <w:r w:rsidRPr="000D120B">
              <w:rPr>
                <w:rFonts w:ascii="Arial" w:hAnsi="Arial" w:cs="Arial"/>
                <w:b/>
                <w:sz w:val="20"/>
                <w:szCs w:val="20"/>
              </w:rPr>
              <w:t>-16%</w:t>
            </w:r>
          </w:p>
        </w:tc>
        <w:tc>
          <w:tcPr>
            <w:tcW w:w="134" w:type="pct"/>
            <w:tcBorders>
              <w:top w:val="single" w:sz="4" w:space="0" w:color="auto"/>
            </w:tcBorders>
            <w:vAlign w:val="center"/>
          </w:tcPr>
          <w:p w14:paraId="0C497EDA" w14:textId="77777777" w:rsidR="00952E33" w:rsidRPr="00EF6048" w:rsidRDefault="00952E33" w:rsidP="004B1C16">
            <w:pPr>
              <w:spacing w:after="0" w:line="240" w:lineRule="auto"/>
              <w:jc w:val="right"/>
              <w:rPr>
                <w:rFonts w:ascii="Arial" w:hAnsi="Arial" w:cs="Arial"/>
                <w:b/>
                <w:sz w:val="20"/>
                <w:szCs w:val="20"/>
              </w:rPr>
            </w:pPr>
          </w:p>
        </w:tc>
        <w:tc>
          <w:tcPr>
            <w:tcW w:w="473" w:type="pct"/>
            <w:tcBorders>
              <w:top w:val="single" w:sz="4" w:space="0" w:color="auto"/>
            </w:tcBorders>
            <w:vAlign w:val="center"/>
          </w:tcPr>
          <w:p w14:paraId="4A2A5A0E" w14:textId="28FC7E1F" w:rsidR="00952E33" w:rsidRPr="00EF6048" w:rsidRDefault="003C0E32" w:rsidP="004B1C16">
            <w:pPr>
              <w:spacing w:after="0" w:line="240" w:lineRule="auto"/>
              <w:jc w:val="right"/>
              <w:rPr>
                <w:rFonts w:ascii="Arial" w:hAnsi="Arial" w:cs="Arial"/>
                <w:b/>
                <w:sz w:val="20"/>
                <w:szCs w:val="20"/>
              </w:rPr>
            </w:pPr>
            <w:r w:rsidRPr="00EF6048">
              <w:rPr>
                <w:rFonts w:ascii="Arial" w:hAnsi="Arial" w:cs="Arial"/>
                <w:b/>
                <w:sz w:val="20"/>
                <w:szCs w:val="20"/>
              </w:rPr>
              <w:t xml:space="preserve"> </w:t>
            </w:r>
            <w:r w:rsidR="00BA054D" w:rsidRPr="000D120B">
              <w:rPr>
                <w:rFonts w:ascii="Arial" w:hAnsi="Arial" w:cs="Arial"/>
                <w:b/>
                <w:sz w:val="20"/>
                <w:szCs w:val="20"/>
              </w:rPr>
              <w:t xml:space="preserve"> 384</w:t>
            </w:r>
          </w:p>
        </w:tc>
        <w:tc>
          <w:tcPr>
            <w:tcW w:w="474" w:type="pct"/>
            <w:tcBorders>
              <w:top w:val="single" w:sz="4" w:space="0" w:color="auto"/>
            </w:tcBorders>
            <w:vAlign w:val="center"/>
          </w:tcPr>
          <w:p w14:paraId="5F97CE3D" w14:textId="2B2D660E" w:rsidR="00952E33" w:rsidRPr="00EF6048" w:rsidRDefault="003C0E32" w:rsidP="004B1C16">
            <w:pPr>
              <w:spacing w:after="0" w:line="240" w:lineRule="auto"/>
              <w:jc w:val="right"/>
              <w:rPr>
                <w:rFonts w:ascii="Arial" w:hAnsi="Arial" w:cs="Arial"/>
                <w:b/>
                <w:sz w:val="20"/>
                <w:szCs w:val="20"/>
              </w:rPr>
            </w:pPr>
            <w:r w:rsidRPr="00EF6048">
              <w:rPr>
                <w:rFonts w:ascii="Arial" w:hAnsi="Arial" w:cs="Arial"/>
                <w:b/>
                <w:sz w:val="20"/>
                <w:szCs w:val="20"/>
              </w:rPr>
              <w:t xml:space="preserve"> </w:t>
            </w:r>
            <w:r w:rsidR="00BA054D" w:rsidRPr="000D120B">
              <w:rPr>
                <w:rFonts w:ascii="Arial" w:hAnsi="Arial" w:cs="Arial"/>
                <w:b/>
                <w:sz w:val="20"/>
                <w:szCs w:val="20"/>
              </w:rPr>
              <w:t xml:space="preserve"> 648</w:t>
            </w:r>
          </w:p>
        </w:tc>
        <w:tc>
          <w:tcPr>
            <w:tcW w:w="472" w:type="pct"/>
            <w:tcBorders>
              <w:top w:val="single" w:sz="4" w:space="0" w:color="auto"/>
            </w:tcBorders>
            <w:vAlign w:val="center"/>
          </w:tcPr>
          <w:p w14:paraId="06A3E99E" w14:textId="6A0C324E" w:rsidR="00952E33" w:rsidRPr="00EF6048" w:rsidRDefault="00BA054D" w:rsidP="004B1C16">
            <w:pPr>
              <w:spacing w:after="0" w:line="240" w:lineRule="auto"/>
              <w:jc w:val="right"/>
              <w:rPr>
                <w:rFonts w:ascii="Arial" w:hAnsi="Arial" w:cs="Arial"/>
                <w:b/>
                <w:sz w:val="20"/>
                <w:szCs w:val="20"/>
              </w:rPr>
            </w:pPr>
            <w:r w:rsidRPr="000D120B">
              <w:rPr>
                <w:rFonts w:ascii="Arial" w:hAnsi="Arial" w:cs="Arial"/>
                <w:b/>
                <w:sz w:val="20"/>
                <w:szCs w:val="20"/>
              </w:rPr>
              <w:t>-41%</w:t>
            </w:r>
          </w:p>
        </w:tc>
      </w:tr>
      <w:tr w:rsidR="00EB71AB" w:rsidRPr="00EF6048" w14:paraId="7ECAEC9A" w14:textId="5945F3D1" w:rsidTr="00EB71AB">
        <w:trPr>
          <w:trHeight w:val="20"/>
        </w:trPr>
        <w:tc>
          <w:tcPr>
            <w:tcW w:w="1757" w:type="pct"/>
            <w:tcBorders>
              <w:bottom w:val="single" w:sz="2" w:space="0" w:color="auto"/>
            </w:tcBorders>
            <w:shd w:val="clear" w:color="auto" w:fill="auto"/>
            <w:noWrap/>
            <w:vAlign w:val="center"/>
          </w:tcPr>
          <w:p w14:paraId="18DF3A44" w14:textId="1D63F9CE" w:rsidR="00952E33" w:rsidRPr="00EF6048" w:rsidRDefault="00952E33" w:rsidP="000C1D3E">
            <w:pPr>
              <w:spacing w:after="0"/>
              <w:jc w:val="both"/>
              <w:rPr>
                <w:rFonts w:ascii="Arial" w:hAnsi="Arial" w:cs="Arial"/>
                <w:i/>
                <w:iCs/>
                <w:sz w:val="20"/>
                <w:szCs w:val="20"/>
                <w:lang w:eastAsia="ru-RU"/>
              </w:rPr>
            </w:pPr>
            <w:r w:rsidRPr="00EF6048">
              <w:rPr>
                <w:rFonts w:ascii="Arial" w:hAnsi="Arial" w:cs="Arial"/>
                <w:i/>
                <w:iCs/>
                <w:sz w:val="20"/>
                <w:szCs w:val="20"/>
                <w:lang w:eastAsia="ru-RU"/>
              </w:rPr>
              <w:t>Adjusted EBITDA margin (</w:t>
            </w:r>
            <w:r w:rsidRPr="00EF6048">
              <w:rPr>
                <w:rFonts w:ascii="Arial" w:hAnsi="Arial" w:cs="Arial"/>
                <w:bCs/>
                <w:i/>
                <w:sz w:val="20"/>
                <w:szCs w:val="20"/>
                <w:lang w:eastAsia="ru-RU"/>
              </w:rPr>
              <w:t>net of IFRS 16)</w:t>
            </w:r>
          </w:p>
        </w:tc>
        <w:tc>
          <w:tcPr>
            <w:tcW w:w="135" w:type="pct"/>
          </w:tcPr>
          <w:p w14:paraId="46CAF548" w14:textId="77777777" w:rsidR="00952E33" w:rsidRPr="00EF6048" w:rsidRDefault="00952E33" w:rsidP="000C1D3E">
            <w:pPr>
              <w:spacing w:after="0"/>
              <w:jc w:val="right"/>
              <w:rPr>
                <w:rFonts w:ascii="Arial" w:hAnsi="Arial" w:cs="Arial"/>
                <w:i/>
                <w:iCs/>
                <w:sz w:val="20"/>
                <w:szCs w:val="20"/>
                <w:lang w:eastAsia="ru-RU"/>
              </w:rPr>
            </w:pPr>
          </w:p>
        </w:tc>
        <w:tc>
          <w:tcPr>
            <w:tcW w:w="473" w:type="pct"/>
            <w:tcBorders>
              <w:bottom w:val="single" w:sz="2" w:space="0" w:color="auto"/>
            </w:tcBorders>
            <w:shd w:val="clear" w:color="auto" w:fill="auto"/>
            <w:noWrap/>
            <w:vAlign w:val="center"/>
          </w:tcPr>
          <w:p w14:paraId="733095EF" w14:textId="3840ED76" w:rsidR="00952E33" w:rsidRPr="00EF6048" w:rsidRDefault="00BA054D" w:rsidP="004B1C16">
            <w:pPr>
              <w:spacing w:after="0" w:line="240" w:lineRule="auto"/>
              <w:jc w:val="right"/>
              <w:rPr>
                <w:rFonts w:ascii="Arial" w:hAnsi="Arial" w:cs="Arial"/>
                <w:i/>
                <w:iCs/>
                <w:sz w:val="20"/>
                <w:szCs w:val="20"/>
              </w:rPr>
            </w:pPr>
            <w:r w:rsidRPr="000D120B">
              <w:rPr>
                <w:rFonts w:ascii="Arial" w:hAnsi="Arial" w:cs="Arial"/>
                <w:i/>
                <w:iCs/>
                <w:sz w:val="20"/>
                <w:szCs w:val="20"/>
              </w:rPr>
              <w:t>14%</w:t>
            </w:r>
          </w:p>
        </w:tc>
        <w:tc>
          <w:tcPr>
            <w:tcW w:w="135" w:type="pct"/>
            <w:tcBorders>
              <w:bottom w:val="single" w:sz="2" w:space="0" w:color="auto"/>
            </w:tcBorders>
            <w:vAlign w:val="center"/>
          </w:tcPr>
          <w:p w14:paraId="29F4D64E" w14:textId="77777777" w:rsidR="00952E33" w:rsidRPr="00EF6048" w:rsidRDefault="00952E33" w:rsidP="004B1C16">
            <w:pPr>
              <w:spacing w:after="0" w:line="240" w:lineRule="auto"/>
              <w:jc w:val="right"/>
              <w:rPr>
                <w:rFonts w:ascii="Arial" w:hAnsi="Arial" w:cs="Arial"/>
                <w:i/>
                <w:iCs/>
                <w:sz w:val="20"/>
                <w:szCs w:val="20"/>
              </w:rPr>
            </w:pPr>
          </w:p>
        </w:tc>
        <w:tc>
          <w:tcPr>
            <w:tcW w:w="473" w:type="pct"/>
            <w:tcBorders>
              <w:bottom w:val="single" w:sz="2" w:space="0" w:color="auto"/>
            </w:tcBorders>
            <w:shd w:val="clear" w:color="auto" w:fill="auto"/>
            <w:noWrap/>
            <w:vAlign w:val="center"/>
          </w:tcPr>
          <w:p w14:paraId="30CE3824" w14:textId="401C01A1" w:rsidR="00952E33" w:rsidRPr="00EF6048" w:rsidRDefault="00BA054D" w:rsidP="004B1C16">
            <w:pPr>
              <w:spacing w:after="0" w:line="240" w:lineRule="auto"/>
              <w:jc w:val="right"/>
              <w:rPr>
                <w:rFonts w:ascii="Arial" w:hAnsi="Arial" w:cs="Arial"/>
                <w:i/>
                <w:iCs/>
                <w:sz w:val="20"/>
                <w:szCs w:val="20"/>
              </w:rPr>
            </w:pPr>
            <w:r w:rsidRPr="000D120B">
              <w:rPr>
                <w:rFonts w:ascii="Arial" w:hAnsi="Arial" w:cs="Arial"/>
                <w:i/>
                <w:iCs/>
                <w:sz w:val="20"/>
                <w:szCs w:val="20"/>
              </w:rPr>
              <w:t>18%</w:t>
            </w:r>
          </w:p>
        </w:tc>
        <w:tc>
          <w:tcPr>
            <w:tcW w:w="474" w:type="pct"/>
            <w:tcBorders>
              <w:bottom w:val="single" w:sz="2" w:space="0" w:color="auto"/>
            </w:tcBorders>
            <w:shd w:val="clear" w:color="auto" w:fill="auto"/>
            <w:noWrap/>
            <w:vAlign w:val="center"/>
          </w:tcPr>
          <w:p w14:paraId="724C93B1" w14:textId="439D9767" w:rsidR="00952E33" w:rsidRPr="00EF6048" w:rsidRDefault="00BA054D" w:rsidP="004B1C16">
            <w:pPr>
              <w:spacing w:after="0" w:line="240" w:lineRule="auto"/>
              <w:jc w:val="right"/>
              <w:rPr>
                <w:rFonts w:ascii="Arial" w:hAnsi="Arial" w:cs="Arial"/>
                <w:i/>
                <w:iCs/>
                <w:sz w:val="20"/>
                <w:szCs w:val="20"/>
              </w:rPr>
            </w:pPr>
            <w:r w:rsidRPr="000D120B">
              <w:rPr>
                <w:rFonts w:ascii="Arial" w:hAnsi="Arial" w:cs="Arial"/>
                <w:i/>
                <w:iCs/>
                <w:sz w:val="20"/>
                <w:szCs w:val="20"/>
              </w:rPr>
              <w:t xml:space="preserve">-4 </w:t>
            </w:r>
            <w:proofErr w:type="spellStart"/>
            <w:r w:rsidRPr="000D120B">
              <w:rPr>
                <w:rFonts w:ascii="Arial" w:hAnsi="Arial" w:cs="Arial"/>
                <w:i/>
                <w:iCs/>
                <w:sz w:val="20"/>
                <w:szCs w:val="20"/>
              </w:rPr>
              <w:t>pps</w:t>
            </w:r>
            <w:proofErr w:type="spellEnd"/>
          </w:p>
        </w:tc>
        <w:tc>
          <w:tcPr>
            <w:tcW w:w="134" w:type="pct"/>
            <w:tcBorders>
              <w:bottom w:val="single" w:sz="2" w:space="0" w:color="auto"/>
            </w:tcBorders>
            <w:vAlign w:val="center"/>
          </w:tcPr>
          <w:p w14:paraId="20DF65B1" w14:textId="77777777" w:rsidR="00952E33" w:rsidRPr="00EF6048" w:rsidRDefault="00952E33" w:rsidP="004B1C16">
            <w:pPr>
              <w:spacing w:after="0" w:line="240" w:lineRule="auto"/>
              <w:jc w:val="right"/>
              <w:rPr>
                <w:rFonts w:ascii="Arial" w:hAnsi="Arial" w:cs="Arial"/>
                <w:i/>
                <w:iCs/>
                <w:sz w:val="20"/>
                <w:szCs w:val="20"/>
              </w:rPr>
            </w:pPr>
          </w:p>
        </w:tc>
        <w:tc>
          <w:tcPr>
            <w:tcW w:w="473" w:type="pct"/>
            <w:tcBorders>
              <w:bottom w:val="single" w:sz="2" w:space="0" w:color="auto"/>
            </w:tcBorders>
            <w:vAlign w:val="center"/>
          </w:tcPr>
          <w:p w14:paraId="4BB31B7D" w14:textId="506FC992" w:rsidR="00952E33" w:rsidRPr="00EF6048" w:rsidRDefault="00BA054D" w:rsidP="004B1C16">
            <w:pPr>
              <w:spacing w:after="0" w:line="240" w:lineRule="auto"/>
              <w:jc w:val="right"/>
              <w:rPr>
                <w:rFonts w:ascii="Arial" w:hAnsi="Arial" w:cs="Arial"/>
                <w:i/>
                <w:iCs/>
                <w:sz w:val="20"/>
                <w:szCs w:val="20"/>
              </w:rPr>
            </w:pPr>
            <w:r w:rsidRPr="000D120B">
              <w:rPr>
                <w:rFonts w:ascii="Arial" w:hAnsi="Arial" w:cs="Arial"/>
                <w:i/>
                <w:iCs/>
                <w:sz w:val="20"/>
                <w:szCs w:val="20"/>
              </w:rPr>
              <w:t>15%</w:t>
            </w:r>
          </w:p>
        </w:tc>
        <w:tc>
          <w:tcPr>
            <w:tcW w:w="474" w:type="pct"/>
            <w:tcBorders>
              <w:bottom w:val="single" w:sz="2" w:space="0" w:color="auto"/>
            </w:tcBorders>
            <w:vAlign w:val="center"/>
          </w:tcPr>
          <w:p w14:paraId="0B0D1E44" w14:textId="42A07676" w:rsidR="00952E33" w:rsidRPr="00EF6048" w:rsidRDefault="00BA054D" w:rsidP="004B1C16">
            <w:pPr>
              <w:spacing w:after="0" w:line="240" w:lineRule="auto"/>
              <w:jc w:val="right"/>
              <w:rPr>
                <w:rFonts w:ascii="Arial" w:hAnsi="Arial" w:cs="Arial"/>
                <w:i/>
                <w:iCs/>
                <w:sz w:val="20"/>
                <w:szCs w:val="20"/>
              </w:rPr>
            </w:pPr>
            <w:r w:rsidRPr="000D120B">
              <w:rPr>
                <w:rFonts w:ascii="Arial" w:hAnsi="Arial" w:cs="Arial"/>
                <w:i/>
                <w:iCs/>
                <w:sz w:val="20"/>
                <w:szCs w:val="20"/>
              </w:rPr>
              <w:t>27%</w:t>
            </w:r>
          </w:p>
        </w:tc>
        <w:tc>
          <w:tcPr>
            <w:tcW w:w="472" w:type="pct"/>
            <w:tcBorders>
              <w:bottom w:val="single" w:sz="2" w:space="0" w:color="auto"/>
            </w:tcBorders>
            <w:vAlign w:val="center"/>
          </w:tcPr>
          <w:p w14:paraId="6BA77336" w14:textId="18F2B98B" w:rsidR="00952E33" w:rsidRPr="00EF6048" w:rsidRDefault="00BA054D" w:rsidP="004B1C16">
            <w:pPr>
              <w:spacing w:after="0" w:line="240" w:lineRule="auto"/>
              <w:jc w:val="right"/>
              <w:rPr>
                <w:rFonts w:ascii="Arial" w:hAnsi="Arial" w:cs="Arial"/>
                <w:i/>
                <w:iCs/>
                <w:sz w:val="20"/>
                <w:szCs w:val="20"/>
              </w:rPr>
            </w:pPr>
            <w:r w:rsidRPr="000D120B">
              <w:rPr>
                <w:rFonts w:ascii="Arial" w:hAnsi="Arial" w:cs="Arial"/>
                <w:i/>
                <w:iCs/>
                <w:sz w:val="20"/>
                <w:szCs w:val="20"/>
              </w:rPr>
              <w:t xml:space="preserve">-12 </w:t>
            </w:r>
            <w:proofErr w:type="spellStart"/>
            <w:r w:rsidRPr="000D120B">
              <w:rPr>
                <w:rFonts w:ascii="Arial" w:hAnsi="Arial" w:cs="Arial"/>
                <w:i/>
                <w:iCs/>
                <w:sz w:val="20"/>
                <w:szCs w:val="20"/>
              </w:rPr>
              <w:t>pps</w:t>
            </w:r>
            <w:proofErr w:type="spellEnd"/>
          </w:p>
        </w:tc>
      </w:tr>
      <w:tr w:rsidR="00EB71AB" w:rsidRPr="00EF6048" w14:paraId="5DE04394" w14:textId="11FBDA1A" w:rsidTr="00EB71AB">
        <w:trPr>
          <w:trHeight w:val="20"/>
        </w:trPr>
        <w:tc>
          <w:tcPr>
            <w:tcW w:w="1757" w:type="pct"/>
            <w:shd w:val="clear" w:color="auto" w:fill="auto"/>
            <w:noWrap/>
            <w:vAlign w:val="center"/>
          </w:tcPr>
          <w:p w14:paraId="789AF099" w14:textId="77777777" w:rsidR="00952E33" w:rsidRPr="00EF6048" w:rsidRDefault="00952E33" w:rsidP="000C1D3E">
            <w:pPr>
              <w:spacing w:after="0"/>
              <w:jc w:val="both"/>
              <w:rPr>
                <w:rFonts w:ascii="Arial" w:hAnsi="Arial" w:cs="Arial"/>
                <w:b/>
                <w:bCs/>
                <w:sz w:val="20"/>
                <w:szCs w:val="20"/>
                <w:lang w:eastAsia="ru-RU"/>
              </w:rPr>
            </w:pPr>
          </w:p>
        </w:tc>
        <w:tc>
          <w:tcPr>
            <w:tcW w:w="135" w:type="pct"/>
          </w:tcPr>
          <w:p w14:paraId="6B0D0F3F" w14:textId="77777777" w:rsidR="00952E33" w:rsidRPr="00EF6048" w:rsidRDefault="00952E33" w:rsidP="000C1D3E">
            <w:pPr>
              <w:spacing w:after="0"/>
              <w:jc w:val="right"/>
              <w:rPr>
                <w:rFonts w:ascii="Arial" w:hAnsi="Arial" w:cs="Arial"/>
                <w:b/>
                <w:bCs/>
                <w:sz w:val="20"/>
                <w:szCs w:val="20"/>
                <w:lang w:eastAsia="ru-RU"/>
              </w:rPr>
            </w:pPr>
          </w:p>
        </w:tc>
        <w:tc>
          <w:tcPr>
            <w:tcW w:w="473" w:type="pct"/>
            <w:tcBorders>
              <w:top w:val="single" w:sz="2" w:space="0" w:color="auto"/>
            </w:tcBorders>
            <w:shd w:val="clear" w:color="auto" w:fill="auto"/>
            <w:noWrap/>
            <w:vAlign w:val="center"/>
          </w:tcPr>
          <w:p w14:paraId="6F0ED2DA" w14:textId="77777777" w:rsidR="00952E33" w:rsidRPr="00EF6048" w:rsidRDefault="00952E33" w:rsidP="004B1C16">
            <w:pPr>
              <w:spacing w:after="0"/>
              <w:jc w:val="right"/>
              <w:rPr>
                <w:rFonts w:ascii="Arial" w:hAnsi="Arial" w:cs="Arial"/>
                <w:b/>
                <w:bCs/>
                <w:sz w:val="20"/>
                <w:szCs w:val="20"/>
                <w:lang w:eastAsia="ru-RU"/>
              </w:rPr>
            </w:pPr>
          </w:p>
        </w:tc>
        <w:tc>
          <w:tcPr>
            <w:tcW w:w="135" w:type="pct"/>
            <w:tcBorders>
              <w:top w:val="single" w:sz="2" w:space="0" w:color="auto"/>
            </w:tcBorders>
            <w:vAlign w:val="center"/>
          </w:tcPr>
          <w:p w14:paraId="26BBF5D9" w14:textId="77777777" w:rsidR="00952E33" w:rsidRPr="00EF6048" w:rsidRDefault="00952E33" w:rsidP="004B1C16">
            <w:pPr>
              <w:spacing w:after="0"/>
              <w:jc w:val="right"/>
              <w:rPr>
                <w:rFonts w:ascii="Arial" w:hAnsi="Arial" w:cs="Arial"/>
                <w:b/>
                <w:bCs/>
                <w:sz w:val="20"/>
                <w:szCs w:val="20"/>
                <w:lang w:eastAsia="ru-RU"/>
              </w:rPr>
            </w:pPr>
          </w:p>
        </w:tc>
        <w:tc>
          <w:tcPr>
            <w:tcW w:w="473" w:type="pct"/>
            <w:tcBorders>
              <w:top w:val="single" w:sz="2" w:space="0" w:color="auto"/>
            </w:tcBorders>
            <w:shd w:val="clear" w:color="auto" w:fill="auto"/>
            <w:noWrap/>
            <w:vAlign w:val="center"/>
          </w:tcPr>
          <w:p w14:paraId="13D35B07" w14:textId="77777777" w:rsidR="00952E33" w:rsidRPr="00EF6048" w:rsidRDefault="00952E33" w:rsidP="004B1C16">
            <w:pPr>
              <w:spacing w:after="0"/>
              <w:jc w:val="right"/>
              <w:rPr>
                <w:rFonts w:ascii="Arial" w:hAnsi="Arial" w:cs="Arial"/>
                <w:b/>
                <w:bCs/>
                <w:iCs/>
                <w:sz w:val="20"/>
                <w:szCs w:val="20"/>
                <w:lang w:eastAsia="ru-RU"/>
              </w:rPr>
            </w:pPr>
          </w:p>
        </w:tc>
        <w:tc>
          <w:tcPr>
            <w:tcW w:w="474" w:type="pct"/>
            <w:tcBorders>
              <w:top w:val="single" w:sz="2" w:space="0" w:color="auto"/>
            </w:tcBorders>
            <w:shd w:val="clear" w:color="auto" w:fill="auto"/>
            <w:noWrap/>
            <w:vAlign w:val="center"/>
          </w:tcPr>
          <w:p w14:paraId="2E57E32D" w14:textId="77777777" w:rsidR="00952E33" w:rsidRPr="00EF6048" w:rsidRDefault="00952E33" w:rsidP="004B1C16">
            <w:pPr>
              <w:spacing w:after="0"/>
              <w:jc w:val="right"/>
              <w:rPr>
                <w:rFonts w:ascii="Arial" w:hAnsi="Arial" w:cs="Arial"/>
                <w:i/>
                <w:iCs/>
                <w:sz w:val="20"/>
                <w:szCs w:val="20"/>
                <w:lang w:eastAsia="ru-RU"/>
              </w:rPr>
            </w:pPr>
          </w:p>
        </w:tc>
        <w:tc>
          <w:tcPr>
            <w:tcW w:w="134" w:type="pct"/>
            <w:tcBorders>
              <w:top w:val="single" w:sz="2" w:space="0" w:color="auto"/>
            </w:tcBorders>
            <w:vAlign w:val="center"/>
          </w:tcPr>
          <w:p w14:paraId="6663FD19" w14:textId="77777777" w:rsidR="00952E33" w:rsidRPr="00EF6048" w:rsidRDefault="00952E33" w:rsidP="004B1C16">
            <w:pPr>
              <w:spacing w:after="0"/>
              <w:jc w:val="right"/>
              <w:rPr>
                <w:rFonts w:ascii="Arial" w:hAnsi="Arial" w:cs="Arial"/>
                <w:i/>
                <w:iCs/>
                <w:sz w:val="20"/>
                <w:szCs w:val="20"/>
                <w:lang w:eastAsia="ru-RU"/>
              </w:rPr>
            </w:pPr>
          </w:p>
        </w:tc>
        <w:tc>
          <w:tcPr>
            <w:tcW w:w="473" w:type="pct"/>
            <w:tcBorders>
              <w:top w:val="single" w:sz="2" w:space="0" w:color="auto"/>
            </w:tcBorders>
            <w:vAlign w:val="center"/>
          </w:tcPr>
          <w:p w14:paraId="738AB072" w14:textId="77777777" w:rsidR="00952E33" w:rsidRPr="00EF6048" w:rsidRDefault="00952E33" w:rsidP="004B1C16">
            <w:pPr>
              <w:spacing w:after="0"/>
              <w:jc w:val="right"/>
              <w:rPr>
                <w:rFonts w:ascii="Arial" w:hAnsi="Arial" w:cs="Arial"/>
                <w:i/>
                <w:iCs/>
                <w:sz w:val="20"/>
                <w:szCs w:val="20"/>
                <w:lang w:eastAsia="ru-RU"/>
              </w:rPr>
            </w:pPr>
          </w:p>
        </w:tc>
        <w:tc>
          <w:tcPr>
            <w:tcW w:w="474" w:type="pct"/>
            <w:tcBorders>
              <w:top w:val="single" w:sz="2" w:space="0" w:color="auto"/>
            </w:tcBorders>
            <w:vAlign w:val="center"/>
          </w:tcPr>
          <w:p w14:paraId="19D1144E" w14:textId="77777777" w:rsidR="00952E33" w:rsidRPr="00EF6048" w:rsidRDefault="00952E33" w:rsidP="004B1C16">
            <w:pPr>
              <w:spacing w:after="0"/>
              <w:jc w:val="right"/>
              <w:rPr>
                <w:rFonts w:ascii="Arial" w:hAnsi="Arial" w:cs="Arial"/>
                <w:i/>
                <w:iCs/>
                <w:sz w:val="20"/>
                <w:szCs w:val="20"/>
                <w:lang w:eastAsia="ru-RU"/>
              </w:rPr>
            </w:pPr>
          </w:p>
        </w:tc>
        <w:tc>
          <w:tcPr>
            <w:tcW w:w="472" w:type="pct"/>
            <w:tcBorders>
              <w:top w:val="single" w:sz="2" w:space="0" w:color="auto"/>
            </w:tcBorders>
            <w:vAlign w:val="center"/>
          </w:tcPr>
          <w:p w14:paraId="05EAD81D" w14:textId="77777777" w:rsidR="00952E33" w:rsidRPr="00EF6048" w:rsidRDefault="00952E33" w:rsidP="004B1C16">
            <w:pPr>
              <w:spacing w:after="0" w:line="240" w:lineRule="auto"/>
              <w:jc w:val="right"/>
              <w:rPr>
                <w:rFonts w:ascii="Arial" w:hAnsi="Arial" w:cs="Arial"/>
                <w:b/>
                <w:sz w:val="20"/>
                <w:szCs w:val="20"/>
              </w:rPr>
            </w:pPr>
          </w:p>
        </w:tc>
      </w:tr>
      <w:tr w:rsidR="00EB71AB" w:rsidRPr="00EF6048" w14:paraId="7B4A0B6B" w14:textId="206D4528" w:rsidTr="00EB71AB">
        <w:trPr>
          <w:trHeight w:val="20"/>
        </w:trPr>
        <w:tc>
          <w:tcPr>
            <w:tcW w:w="1757" w:type="pct"/>
            <w:shd w:val="clear" w:color="auto" w:fill="auto"/>
            <w:noWrap/>
            <w:vAlign w:val="center"/>
            <w:hideMark/>
          </w:tcPr>
          <w:p w14:paraId="21554B69" w14:textId="0FFDD020" w:rsidR="00952E33" w:rsidRPr="00EF6048" w:rsidRDefault="00952E33" w:rsidP="000C1D3E">
            <w:pPr>
              <w:spacing w:after="0"/>
              <w:jc w:val="both"/>
              <w:rPr>
                <w:rFonts w:ascii="Arial" w:hAnsi="Arial" w:cs="Arial"/>
                <w:b/>
                <w:bCs/>
                <w:sz w:val="20"/>
                <w:szCs w:val="20"/>
                <w:lang w:eastAsia="ru-RU"/>
              </w:rPr>
            </w:pPr>
            <w:r w:rsidRPr="00EF6048">
              <w:rPr>
                <w:rFonts w:ascii="Arial" w:hAnsi="Arial" w:cs="Arial"/>
                <w:b/>
                <w:bCs/>
                <w:sz w:val="20"/>
                <w:szCs w:val="20"/>
                <w:lang w:eastAsia="ru-RU"/>
              </w:rPr>
              <w:t xml:space="preserve">Net </w:t>
            </w:r>
            <w:r w:rsidR="00C93F05" w:rsidRPr="00EF6048">
              <w:rPr>
                <w:rFonts w:ascii="Arial" w:hAnsi="Arial" w:cs="Arial"/>
                <w:b/>
                <w:bCs/>
                <w:sz w:val="20"/>
                <w:szCs w:val="20"/>
                <w:lang w:eastAsia="ru-RU"/>
              </w:rPr>
              <w:t xml:space="preserve">profit </w:t>
            </w:r>
            <w:r w:rsidRPr="00EF6048">
              <w:rPr>
                <w:rFonts w:ascii="Arial" w:hAnsi="Arial" w:cs="Arial"/>
                <w:b/>
                <w:bCs/>
                <w:sz w:val="20"/>
                <w:szCs w:val="20"/>
                <w:lang w:eastAsia="ru-RU"/>
              </w:rPr>
              <w:t>/</w:t>
            </w:r>
            <w:r w:rsidR="00C93F05" w:rsidRPr="00EF6048">
              <w:rPr>
                <w:rFonts w:ascii="Arial" w:hAnsi="Arial" w:cs="Arial"/>
                <w:b/>
                <w:bCs/>
                <w:sz w:val="20"/>
                <w:szCs w:val="20"/>
                <w:lang w:val="uk-UA" w:eastAsia="ru-RU"/>
              </w:rPr>
              <w:t>(</w:t>
            </w:r>
            <w:r w:rsidR="00C93F05" w:rsidRPr="00EF6048">
              <w:rPr>
                <w:rFonts w:ascii="Arial" w:hAnsi="Arial" w:cs="Arial"/>
                <w:b/>
                <w:bCs/>
                <w:sz w:val="20"/>
                <w:szCs w:val="20"/>
                <w:lang w:eastAsia="ru-RU"/>
              </w:rPr>
              <w:t>loss)</w:t>
            </w:r>
          </w:p>
        </w:tc>
        <w:tc>
          <w:tcPr>
            <w:tcW w:w="135" w:type="pct"/>
          </w:tcPr>
          <w:p w14:paraId="603ACB8A" w14:textId="77777777" w:rsidR="00952E33" w:rsidRPr="00EF6048" w:rsidRDefault="00952E33" w:rsidP="000C1D3E">
            <w:pPr>
              <w:spacing w:after="0"/>
              <w:jc w:val="right"/>
              <w:rPr>
                <w:rFonts w:ascii="Arial" w:hAnsi="Arial" w:cs="Arial"/>
                <w:b/>
                <w:bCs/>
                <w:sz w:val="20"/>
                <w:szCs w:val="20"/>
                <w:lang w:eastAsia="ru-RU"/>
              </w:rPr>
            </w:pPr>
          </w:p>
        </w:tc>
        <w:tc>
          <w:tcPr>
            <w:tcW w:w="473" w:type="pct"/>
            <w:shd w:val="clear" w:color="auto" w:fill="auto"/>
            <w:noWrap/>
            <w:vAlign w:val="center"/>
          </w:tcPr>
          <w:p w14:paraId="4A9F6983" w14:textId="6D249A75" w:rsidR="00952E33" w:rsidRPr="00EF6048" w:rsidRDefault="00D02B2C" w:rsidP="004B1C16">
            <w:pPr>
              <w:spacing w:after="0" w:line="240" w:lineRule="auto"/>
              <w:jc w:val="right"/>
              <w:rPr>
                <w:rFonts w:ascii="Arial" w:hAnsi="Arial" w:cs="Arial"/>
                <w:b/>
                <w:sz w:val="20"/>
                <w:szCs w:val="20"/>
              </w:rPr>
            </w:pPr>
            <w:r w:rsidRPr="00EF6048">
              <w:rPr>
                <w:rFonts w:ascii="Arial" w:hAnsi="Arial" w:cs="Arial"/>
                <w:b/>
                <w:sz w:val="20"/>
                <w:szCs w:val="20"/>
              </w:rPr>
              <w:t xml:space="preserve"> </w:t>
            </w:r>
            <w:r w:rsidR="00BA054D" w:rsidRPr="000D120B">
              <w:rPr>
                <w:rFonts w:ascii="Arial" w:hAnsi="Arial" w:cs="Arial"/>
                <w:b/>
                <w:sz w:val="20"/>
                <w:szCs w:val="20"/>
              </w:rPr>
              <w:t xml:space="preserve"> 38</w:t>
            </w:r>
            <w:r w:rsidRPr="00EF6048">
              <w:rPr>
                <w:rFonts w:ascii="Arial" w:hAnsi="Arial" w:cs="Arial"/>
                <w:b/>
                <w:sz w:val="20"/>
                <w:szCs w:val="20"/>
              </w:rPr>
              <w:t xml:space="preserve">   </w:t>
            </w:r>
          </w:p>
        </w:tc>
        <w:tc>
          <w:tcPr>
            <w:tcW w:w="135" w:type="pct"/>
            <w:vAlign w:val="center"/>
          </w:tcPr>
          <w:p w14:paraId="609FB482" w14:textId="77777777" w:rsidR="00952E33" w:rsidRPr="00EF6048" w:rsidRDefault="00952E33" w:rsidP="004B1C16">
            <w:pPr>
              <w:spacing w:after="0" w:line="240" w:lineRule="auto"/>
              <w:jc w:val="right"/>
              <w:rPr>
                <w:rFonts w:ascii="Arial" w:hAnsi="Arial" w:cs="Arial"/>
                <w:b/>
                <w:sz w:val="20"/>
                <w:szCs w:val="20"/>
              </w:rPr>
            </w:pPr>
          </w:p>
        </w:tc>
        <w:tc>
          <w:tcPr>
            <w:tcW w:w="473" w:type="pct"/>
            <w:shd w:val="clear" w:color="auto" w:fill="auto"/>
            <w:noWrap/>
            <w:vAlign w:val="center"/>
          </w:tcPr>
          <w:p w14:paraId="69DCCAF9" w14:textId="465FDC82" w:rsidR="00952E33" w:rsidRPr="00EF6048" w:rsidRDefault="00D02B2C" w:rsidP="004B1C16">
            <w:pPr>
              <w:spacing w:after="0" w:line="240" w:lineRule="auto"/>
              <w:jc w:val="right"/>
              <w:rPr>
                <w:rFonts w:ascii="Arial" w:hAnsi="Arial" w:cs="Arial"/>
                <w:b/>
                <w:sz w:val="20"/>
                <w:szCs w:val="20"/>
              </w:rPr>
            </w:pPr>
            <w:r w:rsidRPr="00EF6048">
              <w:rPr>
                <w:rFonts w:ascii="Arial" w:hAnsi="Arial" w:cs="Arial"/>
                <w:b/>
                <w:sz w:val="20"/>
                <w:szCs w:val="20"/>
              </w:rPr>
              <w:t xml:space="preserve"> </w:t>
            </w:r>
            <w:r w:rsidR="00BA054D" w:rsidRPr="000D120B">
              <w:rPr>
                <w:rFonts w:ascii="Arial" w:hAnsi="Arial" w:cs="Arial"/>
                <w:b/>
                <w:sz w:val="20"/>
                <w:szCs w:val="20"/>
              </w:rPr>
              <w:t xml:space="preserve"> 16</w:t>
            </w:r>
            <w:r w:rsidRPr="00EF6048">
              <w:rPr>
                <w:rFonts w:ascii="Arial" w:hAnsi="Arial" w:cs="Arial"/>
                <w:b/>
                <w:sz w:val="20"/>
                <w:szCs w:val="20"/>
              </w:rPr>
              <w:t xml:space="preserve">   </w:t>
            </w:r>
          </w:p>
        </w:tc>
        <w:tc>
          <w:tcPr>
            <w:tcW w:w="474" w:type="pct"/>
            <w:shd w:val="clear" w:color="auto" w:fill="auto"/>
            <w:noWrap/>
            <w:vAlign w:val="center"/>
          </w:tcPr>
          <w:p w14:paraId="566393F0" w14:textId="31274A8B" w:rsidR="00952E33" w:rsidRPr="00EF6048" w:rsidRDefault="009E6818" w:rsidP="004B1C16">
            <w:pPr>
              <w:spacing w:after="0" w:line="240" w:lineRule="auto"/>
              <w:jc w:val="right"/>
              <w:rPr>
                <w:rFonts w:ascii="Arial" w:hAnsi="Arial" w:cs="Arial"/>
                <w:b/>
                <w:sz w:val="20"/>
                <w:szCs w:val="20"/>
              </w:rPr>
            </w:pPr>
            <w:r w:rsidRPr="009E6818">
              <w:rPr>
                <w:rFonts w:ascii="Arial" w:hAnsi="Arial" w:cs="Arial"/>
                <w:b/>
                <w:sz w:val="20"/>
                <w:szCs w:val="20"/>
              </w:rPr>
              <w:t>138%</w:t>
            </w:r>
          </w:p>
        </w:tc>
        <w:tc>
          <w:tcPr>
            <w:tcW w:w="134" w:type="pct"/>
            <w:vAlign w:val="center"/>
          </w:tcPr>
          <w:p w14:paraId="4436775F" w14:textId="77777777" w:rsidR="00952E33" w:rsidRPr="00EF6048" w:rsidRDefault="00952E33" w:rsidP="004B1C16">
            <w:pPr>
              <w:spacing w:after="0" w:line="240" w:lineRule="auto"/>
              <w:jc w:val="right"/>
              <w:rPr>
                <w:rFonts w:ascii="Arial" w:hAnsi="Arial" w:cs="Arial"/>
                <w:b/>
                <w:sz w:val="20"/>
                <w:szCs w:val="20"/>
              </w:rPr>
            </w:pPr>
          </w:p>
        </w:tc>
        <w:tc>
          <w:tcPr>
            <w:tcW w:w="473" w:type="pct"/>
            <w:vAlign w:val="center"/>
          </w:tcPr>
          <w:p w14:paraId="54C5757E" w14:textId="16E0DB70" w:rsidR="00952E33" w:rsidRPr="00EF6048" w:rsidRDefault="00BA054D" w:rsidP="004B1C16">
            <w:pPr>
              <w:spacing w:after="0" w:line="240" w:lineRule="auto"/>
              <w:jc w:val="right"/>
              <w:rPr>
                <w:rFonts w:ascii="Arial" w:hAnsi="Arial" w:cs="Arial"/>
                <w:b/>
                <w:sz w:val="20"/>
                <w:szCs w:val="20"/>
              </w:rPr>
            </w:pPr>
            <w:r w:rsidRPr="000D120B">
              <w:rPr>
                <w:rFonts w:ascii="Arial" w:hAnsi="Arial" w:cs="Arial"/>
                <w:b/>
                <w:sz w:val="20"/>
                <w:szCs w:val="20"/>
              </w:rPr>
              <w:t>(231)</w:t>
            </w:r>
          </w:p>
        </w:tc>
        <w:tc>
          <w:tcPr>
            <w:tcW w:w="474" w:type="pct"/>
            <w:vAlign w:val="center"/>
          </w:tcPr>
          <w:p w14:paraId="09B1F585" w14:textId="74C4491E" w:rsidR="00952E33" w:rsidRPr="00EF6048" w:rsidRDefault="00BA054D" w:rsidP="004B1C16">
            <w:pPr>
              <w:spacing w:after="0" w:line="240" w:lineRule="auto"/>
              <w:jc w:val="right"/>
              <w:rPr>
                <w:rFonts w:ascii="Arial" w:hAnsi="Arial" w:cs="Arial"/>
                <w:b/>
                <w:sz w:val="20"/>
                <w:szCs w:val="20"/>
              </w:rPr>
            </w:pPr>
            <w:r w:rsidRPr="000D120B">
              <w:rPr>
                <w:rFonts w:ascii="Arial" w:hAnsi="Arial" w:cs="Arial"/>
                <w:b/>
                <w:sz w:val="20"/>
                <w:szCs w:val="20"/>
              </w:rPr>
              <w:t>393</w:t>
            </w:r>
          </w:p>
        </w:tc>
        <w:tc>
          <w:tcPr>
            <w:tcW w:w="472" w:type="pct"/>
            <w:vAlign w:val="center"/>
          </w:tcPr>
          <w:p w14:paraId="1B02D4FE" w14:textId="70C0B0B2" w:rsidR="00952E33" w:rsidRPr="00EF6048" w:rsidRDefault="00BA054D" w:rsidP="004B1C16">
            <w:pPr>
              <w:spacing w:after="0" w:line="240" w:lineRule="auto"/>
              <w:jc w:val="right"/>
              <w:rPr>
                <w:rFonts w:ascii="Arial" w:hAnsi="Arial" w:cs="Arial"/>
                <w:b/>
                <w:sz w:val="20"/>
                <w:szCs w:val="20"/>
              </w:rPr>
            </w:pPr>
            <w:r w:rsidRPr="000D120B">
              <w:rPr>
                <w:rFonts w:ascii="Arial" w:hAnsi="Arial" w:cs="Arial"/>
                <w:b/>
                <w:sz w:val="20"/>
                <w:szCs w:val="20"/>
              </w:rPr>
              <w:t>-159%</w:t>
            </w:r>
          </w:p>
        </w:tc>
      </w:tr>
      <w:tr w:rsidR="00EB71AB" w:rsidRPr="00EF6048" w14:paraId="62825B91" w14:textId="56B1D65C" w:rsidTr="00EB71AB">
        <w:trPr>
          <w:trHeight w:val="20"/>
        </w:trPr>
        <w:tc>
          <w:tcPr>
            <w:tcW w:w="1757" w:type="pct"/>
            <w:tcBorders>
              <w:bottom w:val="single" w:sz="12" w:space="0" w:color="auto"/>
            </w:tcBorders>
            <w:shd w:val="clear" w:color="auto" w:fill="auto"/>
            <w:noWrap/>
            <w:vAlign w:val="center"/>
            <w:hideMark/>
          </w:tcPr>
          <w:p w14:paraId="62A509DF" w14:textId="17261E2A" w:rsidR="00952E33" w:rsidRPr="00EF6048" w:rsidRDefault="00952E33" w:rsidP="000C1D3E">
            <w:pPr>
              <w:spacing w:after="0"/>
              <w:jc w:val="both"/>
              <w:rPr>
                <w:rFonts w:ascii="Arial" w:hAnsi="Arial" w:cs="Arial"/>
                <w:i/>
                <w:iCs/>
                <w:sz w:val="20"/>
                <w:szCs w:val="20"/>
                <w:lang w:eastAsia="ru-RU"/>
              </w:rPr>
            </w:pPr>
            <w:r w:rsidRPr="00EF6048">
              <w:rPr>
                <w:rFonts w:ascii="Arial" w:hAnsi="Arial" w:cs="Arial"/>
                <w:i/>
                <w:iCs/>
                <w:sz w:val="20"/>
                <w:szCs w:val="20"/>
                <w:lang w:eastAsia="ru-RU"/>
              </w:rPr>
              <w:t>Net  profit</w:t>
            </w:r>
            <w:r w:rsidR="00C93F05" w:rsidRPr="00EF6048">
              <w:rPr>
                <w:rFonts w:ascii="Arial" w:hAnsi="Arial" w:cs="Arial"/>
                <w:i/>
                <w:iCs/>
                <w:sz w:val="20"/>
                <w:szCs w:val="20"/>
                <w:lang w:eastAsia="ru-RU"/>
              </w:rPr>
              <w:t>/(loss)</w:t>
            </w:r>
            <w:r w:rsidRPr="00EF6048">
              <w:rPr>
                <w:rFonts w:ascii="Arial" w:hAnsi="Arial" w:cs="Arial"/>
                <w:i/>
                <w:iCs/>
                <w:sz w:val="20"/>
                <w:szCs w:val="20"/>
                <w:lang w:eastAsia="ru-RU"/>
              </w:rPr>
              <w:t xml:space="preserve"> margin</w:t>
            </w:r>
          </w:p>
        </w:tc>
        <w:tc>
          <w:tcPr>
            <w:tcW w:w="135" w:type="pct"/>
          </w:tcPr>
          <w:p w14:paraId="70788F8B" w14:textId="77777777" w:rsidR="00952E33" w:rsidRPr="00EF6048" w:rsidRDefault="00952E33" w:rsidP="000C1D3E">
            <w:pPr>
              <w:spacing w:after="0"/>
              <w:jc w:val="right"/>
              <w:rPr>
                <w:rFonts w:ascii="Arial" w:hAnsi="Arial" w:cs="Arial"/>
                <w:i/>
                <w:iCs/>
                <w:sz w:val="20"/>
                <w:szCs w:val="20"/>
                <w:lang w:eastAsia="ru-RU"/>
              </w:rPr>
            </w:pPr>
          </w:p>
        </w:tc>
        <w:tc>
          <w:tcPr>
            <w:tcW w:w="473" w:type="pct"/>
            <w:tcBorders>
              <w:bottom w:val="single" w:sz="12" w:space="0" w:color="auto"/>
            </w:tcBorders>
            <w:shd w:val="clear" w:color="auto" w:fill="auto"/>
            <w:noWrap/>
            <w:vAlign w:val="center"/>
          </w:tcPr>
          <w:p w14:paraId="5C27B809" w14:textId="631F5D4D"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5%</w:t>
            </w:r>
          </w:p>
        </w:tc>
        <w:tc>
          <w:tcPr>
            <w:tcW w:w="135" w:type="pct"/>
            <w:tcBorders>
              <w:bottom w:val="single" w:sz="12" w:space="0" w:color="auto"/>
            </w:tcBorders>
            <w:vAlign w:val="center"/>
          </w:tcPr>
          <w:p w14:paraId="7ACC2AE0" w14:textId="77777777" w:rsidR="00952E33" w:rsidRPr="00EF6048" w:rsidRDefault="00952E33" w:rsidP="004B1C16">
            <w:pPr>
              <w:spacing w:after="0" w:line="240" w:lineRule="auto"/>
              <w:jc w:val="right"/>
              <w:rPr>
                <w:rFonts w:ascii="Arial" w:hAnsi="Arial" w:cs="Arial"/>
                <w:i/>
                <w:sz w:val="20"/>
                <w:szCs w:val="20"/>
              </w:rPr>
            </w:pPr>
          </w:p>
        </w:tc>
        <w:tc>
          <w:tcPr>
            <w:tcW w:w="473" w:type="pct"/>
            <w:tcBorders>
              <w:bottom w:val="single" w:sz="12" w:space="0" w:color="auto"/>
            </w:tcBorders>
            <w:shd w:val="clear" w:color="auto" w:fill="auto"/>
            <w:noWrap/>
            <w:vAlign w:val="center"/>
          </w:tcPr>
          <w:p w14:paraId="0595CC03" w14:textId="34841E97"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2%</w:t>
            </w:r>
          </w:p>
        </w:tc>
        <w:tc>
          <w:tcPr>
            <w:tcW w:w="474" w:type="pct"/>
            <w:tcBorders>
              <w:bottom w:val="single" w:sz="12" w:space="0" w:color="auto"/>
            </w:tcBorders>
            <w:shd w:val="clear" w:color="auto" w:fill="auto"/>
            <w:noWrap/>
            <w:vAlign w:val="center"/>
          </w:tcPr>
          <w:p w14:paraId="5EC053A6" w14:textId="17E61852"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 xml:space="preserve">3 </w:t>
            </w:r>
            <w:proofErr w:type="spellStart"/>
            <w:r w:rsidRPr="000D120B">
              <w:rPr>
                <w:rFonts w:ascii="Arial" w:hAnsi="Arial" w:cs="Arial"/>
                <w:i/>
                <w:sz w:val="20"/>
                <w:szCs w:val="20"/>
              </w:rPr>
              <w:t>pps</w:t>
            </w:r>
            <w:proofErr w:type="spellEnd"/>
          </w:p>
        </w:tc>
        <w:tc>
          <w:tcPr>
            <w:tcW w:w="134" w:type="pct"/>
            <w:tcBorders>
              <w:bottom w:val="single" w:sz="12" w:space="0" w:color="auto"/>
            </w:tcBorders>
            <w:vAlign w:val="center"/>
          </w:tcPr>
          <w:p w14:paraId="040ADB72" w14:textId="77777777" w:rsidR="00952E33" w:rsidRPr="00EF6048" w:rsidRDefault="00952E33" w:rsidP="004B1C16">
            <w:pPr>
              <w:spacing w:after="0" w:line="240" w:lineRule="auto"/>
              <w:jc w:val="right"/>
              <w:rPr>
                <w:rFonts w:ascii="Arial" w:hAnsi="Arial" w:cs="Arial"/>
                <w:i/>
                <w:sz w:val="20"/>
                <w:szCs w:val="20"/>
              </w:rPr>
            </w:pPr>
          </w:p>
        </w:tc>
        <w:tc>
          <w:tcPr>
            <w:tcW w:w="473" w:type="pct"/>
            <w:tcBorders>
              <w:bottom w:val="single" w:sz="12" w:space="0" w:color="auto"/>
            </w:tcBorders>
            <w:vAlign w:val="center"/>
          </w:tcPr>
          <w:p w14:paraId="4BF12F0D" w14:textId="31FB2D16"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-9%</w:t>
            </w:r>
          </w:p>
        </w:tc>
        <w:tc>
          <w:tcPr>
            <w:tcW w:w="474" w:type="pct"/>
            <w:tcBorders>
              <w:bottom w:val="single" w:sz="12" w:space="0" w:color="auto"/>
            </w:tcBorders>
            <w:vAlign w:val="center"/>
          </w:tcPr>
          <w:p w14:paraId="1988A045" w14:textId="15FD0573"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17%</w:t>
            </w:r>
          </w:p>
        </w:tc>
        <w:tc>
          <w:tcPr>
            <w:tcW w:w="472" w:type="pct"/>
            <w:tcBorders>
              <w:bottom w:val="single" w:sz="12" w:space="0" w:color="auto"/>
            </w:tcBorders>
            <w:vAlign w:val="center"/>
          </w:tcPr>
          <w:p w14:paraId="7F796933" w14:textId="029BFBA9" w:rsidR="00952E33" w:rsidRPr="00EF6048" w:rsidRDefault="00BA054D" w:rsidP="004B1C16">
            <w:pPr>
              <w:spacing w:after="0" w:line="240" w:lineRule="auto"/>
              <w:jc w:val="right"/>
              <w:rPr>
                <w:rFonts w:ascii="Arial" w:hAnsi="Arial" w:cs="Arial"/>
                <w:i/>
                <w:sz w:val="20"/>
                <w:szCs w:val="20"/>
              </w:rPr>
            </w:pPr>
            <w:r w:rsidRPr="000D120B">
              <w:rPr>
                <w:rFonts w:ascii="Arial" w:hAnsi="Arial" w:cs="Arial"/>
                <w:i/>
                <w:sz w:val="20"/>
                <w:szCs w:val="20"/>
              </w:rPr>
              <w:t xml:space="preserve">-26 </w:t>
            </w:r>
            <w:proofErr w:type="spellStart"/>
            <w:r w:rsidRPr="000D120B">
              <w:rPr>
                <w:rFonts w:ascii="Arial" w:hAnsi="Arial" w:cs="Arial"/>
                <w:i/>
                <w:sz w:val="20"/>
                <w:szCs w:val="20"/>
              </w:rPr>
              <w:t>pps</w:t>
            </w:r>
            <w:proofErr w:type="spellEnd"/>
          </w:p>
        </w:tc>
      </w:tr>
    </w:tbl>
    <w:p w14:paraId="3DFFAE88" w14:textId="4D426B3F" w:rsidR="00603C1B" w:rsidRPr="003F5E19" w:rsidRDefault="00A82631" w:rsidP="000C1D3E">
      <w:pPr>
        <w:spacing w:after="0"/>
        <w:rPr>
          <w:rFonts w:ascii="Arial" w:hAnsi="Arial" w:cs="Arial"/>
          <w:i/>
          <w:iCs/>
          <w:sz w:val="16"/>
          <w:szCs w:val="16"/>
        </w:rPr>
      </w:pPr>
      <w:r w:rsidRPr="003F5E19">
        <w:rPr>
          <w:rFonts w:ascii="Arial" w:hAnsi="Arial" w:cs="Arial"/>
          <w:i/>
          <w:iCs/>
          <w:sz w:val="16"/>
          <w:szCs w:val="16"/>
          <w:vertAlign w:val="superscript"/>
        </w:rPr>
        <w:t>1)</w:t>
      </w:r>
      <w:r w:rsidR="00603C1B" w:rsidRPr="003F5E19">
        <w:rPr>
          <w:rFonts w:ascii="Arial" w:hAnsi="Arial" w:cs="Arial"/>
          <w:i/>
          <w:iCs/>
          <w:sz w:val="16"/>
          <w:szCs w:val="16"/>
        </w:rPr>
        <w:t xml:space="preserve"> </w:t>
      </w:r>
      <w:proofErr w:type="spellStart"/>
      <w:r w:rsidR="00603C1B" w:rsidRPr="003F5E19">
        <w:rPr>
          <w:rFonts w:ascii="Arial" w:hAnsi="Arial" w:cs="Arial"/>
          <w:i/>
          <w:iCs/>
          <w:sz w:val="16"/>
          <w:szCs w:val="16"/>
        </w:rPr>
        <w:t>pps</w:t>
      </w:r>
      <w:proofErr w:type="spellEnd"/>
      <w:r w:rsidR="00603C1B" w:rsidRPr="003F5E19">
        <w:rPr>
          <w:rFonts w:ascii="Arial" w:hAnsi="Arial" w:cs="Arial"/>
          <w:i/>
          <w:iCs/>
          <w:sz w:val="16"/>
          <w:szCs w:val="16"/>
        </w:rPr>
        <w:t xml:space="preserve"> – percentage points</w:t>
      </w:r>
    </w:p>
    <w:p w14:paraId="6638E12B" w14:textId="77777777" w:rsidR="004F0FA1" w:rsidRPr="004C7A68" w:rsidRDefault="004F0FA1" w:rsidP="000C1D3E">
      <w:pPr>
        <w:spacing w:after="0"/>
        <w:rPr>
          <w:rFonts w:ascii="Arial" w:hAnsi="Arial" w:cs="Arial"/>
          <w:i/>
          <w:iCs/>
          <w:sz w:val="16"/>
          <w:szCs w:val="16"/>
          <w:highlight w:val="yellow"/>
        </w:rPr>
      </w:pPr>
    </w:p>
    <w:p w14:paraId="79AE94B4" w14:textId="49A53B68" w:rsidR="00D2387E" w:rsidRPr="00B00930" w:rsidRDefault="00603C1B" w:rsidP="000C1D3E">
      <w:pPr>
        <w:spacing w:after="0"/>
        <w:rPr>
          <w:rFonts w:ascii="Arial" w:hAnsi="Arial" w:cs="Arial"/>
          <w:i/>
          <w:iCs/>
          <w:sz w:val="16"/>
          <w:szCs w:val="16"/>
        </w:rPr>
      </w:pPr>
      <w:r w:rsidRPr="00B00930">
        <w:rPr>
          <w:rFonts w:ascii="Arial" w:hAnsi="Arial" w:cs="Arial"/>
          <w:i/>
          <w:iCs/>
          <w:sz w:val="16"/>
          <w:szCs w:val="16"/>
        </w:rPr>
        <w:t>Average official</w:t>
      </w:r>
      <w:r w:rsidR="00231935" w:rsidRPr="00B00930">
        <w:rPr>
          <w:rFonts w:ascii="Arial" w:hAnsi="Arial" w:cs="Arial"/>
          <w:i/>
          <w:iCs/>
          <w:sz w:val="16"/>
          <w:szCs w:val="16"/>
        </w:rPr>
        <w:t xml:space="preserve"> FX rate for Q</w:t>
      </w:r>
      <w:r w:rsidR="00E152E5" w:rsidRPr="00B00930">
        <w:rPr>
          <w:rFonts w:ascii="Arial" w:hAnsi="Arial" w:cs="Arial"/>
          <w:i/>
          <w:iCs/>
          <w:sz w:val="16"/>
          <w:szCs w:val="16"/>
        </w:rPr>
        <w:t>4</w:t>
      </w:r>
      <w:r w:rsidR="00231935" w:rsidRPr="00B00930">
        <w:rPr>
          <w:rFonts w:ascii="Arial" w:hAnsi="Arial" w:cs="Arial"/>
          <w:i/>
          <w:iCs/>
          <w:sz w:val="16"/>
          <w:szCs w:val="16"/>
        </w:rPr>
        <w:t xml:space="preserve">: UAH/US$ </w:t>
      </w:r>
      <w:r w:rsidR="00DB5AAE" w:rsidRPr="000D120B">
        <w:rPr>
          <w:rFonts w:ascii="Arial" w:hAnsi="Arial" w:cs="Arial"/>
          <w:i/>
          <w:iCs/>
          <w:sz w:val="16"/>
          <w:szCs w:val="16"/>
        </w:rPr>
        <w:t>36.57</w:t>
      </w:r>
      <w:r w:rsidR="00231935" w:rsidRPr="00B00930">
        <w:rPr>
          <w:rFonts w:ascii="Arial" w:hAnsi="Arial" w:cs="Arial"/>
          <w:i/>
          <w:iCs/>
          <w:sz w:val="16"/>
          <w:szCs w:val="16"/>
        </w:rPr>
        <w:t xml:space="preserve"> in </w:t>
      </w:r>
      <w:r w:rsidR="00E22622" w:rsidRPr="00B00930">
        <w:rPr>
          <w:rFonts w:ascii="Arial" w:hAnsi="Arial" w:cs="Arial"/>
          <w:i/>
          <w:iCs/>
          <w:sz w:val="16"/>
          <w:szCs w:val="16"/>
        </w:rPr>
        <w:t>2022</w:t>
      </w:r>
      <w:r w:rsidR="00231935" w:rsidRPr="00B00930">
        <w:rPr>
          <w:rFonts w:ascii="Arial" w:hAnsi="Arial" w:cs="Arial"/>
          <w:i/>
          <w:iCs/>
          <w:sz w:val="16"/>
          <w:szCs w:val="16"/>
        </w:rPr>
        <w:t xml:space="preserve"> and UAH/US$ </w:t>
      </w:r>
      <w:r w:rsidR="00DB5AAE" w:rsidRPr="000D120B">
        <w:rPr>
          <w:rFonts w:ascii="Arial" w:hAnsi="Arial" w:cs="Arial"/>
          <w:i/>
          <w:iCs/>
          <w:sz w:val="16"/>
          <w:szCs w:val="16"/>
        </w:rPr>
        <w:t>26.68</w:t>
      </w:r>
      <w:r w:rsidR="003F6856" w:rsidRPr="00B00930">
        <w:rPr>
          <w:rFonts w:ascii="Arial" w:hAnsi="Arial" w:cs="Arial"/>
          <w:i/>
          <w:iCs/>
          <w:sz w:val="16"/>
          <w:szCs w:val="16"/>
        </w:rPr>
        <w:t xml:space="preserve"> </w:t>
      </w:r>
      <w:r w:rsidRPr="00B00930">
        <w:rPr>
          <w:rFonts w:ascii="Arial" w:hAnsi="Arial" w:cs="Arial"/>
          <w:i/>
          <w:iCs/>
          <w:sz w:val="16"/>
          <w:szCs w:val="16"/>
        </w:rPr>
        <w:t xml:space="preserve">in </w:t>
      </w:r>
      <w:r w:rsidR="00E22622" w:rsidRPr="00B00930">
        <w:rPr>
          <w:rFonts w:ascii="Arial" w:hAnsi="Arial" w:cs="Arial"/>
          <w:i/>
          <w:iCs/>
          <w:sz w:val="16"/>
          <w:szCs w:val="16"/>
        </w:rPr>
        <w:t>2021</w:t>
      </w:r>
      <w:r w:rsidR="002B5012" w:rsidRPr="00B00930">
        <w:rPr>
          <w:rFonts w:ascii="Arial" w:hAnsi="Arial" w:cs="Arial"/>
          <w:i/>
          <w:iCs/>
          <w:sz w:val="16"/>
          <w:szCs w:val="16"/>
        </w:rPr>
        <w:t>.</w:t>
      </w:r>
    </w:p>
    <w:p w14:paraId="179E68D6" w14:textId="301C8F2B" w:rsidR="001C756E" w:rsidRPr="00B00930" w:rsidRDefault="001C756E" w:rsidP="001C756E">
      <w:pPr>
        <w:spacing w:after="0"/>
        <w:rPr>
          <w:rFonts w:ascii="Arial" w:hAnsi="Arial" w:cs="Arial"/>
          <w:i/>
          <w:iCs/>
          <w:sz w:val="16"/>
          <w:szCs w:val="16"/>
        </w:rPr>
      </w:pPr>
      <w:r w:rsidRPr="00B00930">
        <w:rPr>
          <w:rFonts w:ascii="Arial" w:hAnsi="Arial" w:cs="Arial"/>
          <w:i/>
          <w:iCs/>
          <w:sz w:val="16"/>
          <w:szCs w:val="16"/>
        </w:rPr>
        <w:t xml:space="preserve">Average official FX rate for </w:t>
      </w:r>
      <w:r w:rsidR="00E152E5" w:rsidRPr="00B00930">
        <w:rPr>
          <w:rFonts w:ascii="Arial" w:hAnsi="Arial" w:cs="Arial"/>
          <w:i/>
          <w:iCs/>
          <w:sz w:val="16"/>
          <w:szCs w:val="16"/>
        </w:rPr>
        <w:t>12</w:t>
      </w:r>
      <w:r w:rsidR="00212B45" w:rsidRPr="00B00930">
        <w:rPr>
          <w:rFonts w:ascii="Arial" w:hAnsi="Arial" w:cs="Arial"/>
          <w:i/>
          <w:iCs/>
          <w:sz w:val="16"/>
          <w:szCs w:val="16"/>
        </w:rPr>
        <w:t>M</w:t>
      </w:r>
      <w:r w:rsidRPr="00B00930">
        <w:rPr>
          <w:rFonts w:ascii="Arial" w:hAnsi="Arial" w:cs="Arial"/>
          <w:i/>
          <w:iCs/>
          <w:sz w:val="16"/>
          <w:szCs w:val="16"/>
        </w:rPr>
        <w:t xml:space="preserve"> 2022 UAH/US$ </w:t>
      </w:r>
      <w:r w:rsidR="00DB5AAE" w:rsidRPr="000D120B">
        <w:rPr>
          <w:rFonts w:ascii="Arial" w:hAnsi="Arial" w:cs="Arial"/>
          <w:i/>
          <w:iCs/>
          <w:sz w:val="16"/>
          <w:szCs w:val="16"/>
        </w:rPr>
        <w:t>32.37</w:t>
      </w:r>
      <w:r w:rsidRPr="00B00930">
        <w:rPr>
          <w:rFonts w:ascii="Arial" w:hAnsi="Arial" w:cs="Arial"/>
          <w:i/>
          <w:iCs/>
          <w:sz w:val="16"/>
          <w:szCs w:val="16"/>
        </w:rPr>
        <w:t xml:space="preserve"> and</w:t>
      </w:r>
      <w:r w:rsidR="00B00930" w:rsidRPr="00B00930">
        <w:rPr>
          <w:rFonts w:ascii="Arial" w:hAnsi="Arial" w:cs="Arial"/>
          <w:i/>
          <w:iCs/>
          <w:sz w:val="16"/>
          <w:szCs w:val="16"/>
        </w:rPr>
        <w:t xml:space="preserve"> UAH/US$</w:t>
      </w:r>
      <w:r w:rsidRPr="00B00930">
        <w:rPr>
          <w:rFonts w:ascii="Arial" w:hAnsi="Arial" w:cs="Arial"/>
          <w:i/>
          <w:iCs/>
          <w:sz w:val="16"/>
          <w:szCs w:val="16"/>
        </w:rPr>
        <w:t xml:space="preserve"> </w:t>
      </w:r>
      <w:r w:rsidR="00DB5AAE" w:rsidRPr="000D120B">
        <w:rPr>
          <w:rFonts w:ascii="Arial" w:hAnsi="Arial" w:cs="Arial"/>
          <w:i/>
          <w:iCs/>
          <w:sz w:val="16"/>
          <w:szCs w:val="16"/>
        </w:rPr>
        <w:t>27.28</w:t>
      </w:r>
      <w:r w:rsidR="00B00930" w:rsidRPr="00B00930">
        <w:rPr>
          <w:rFonts w:ascii="Arial" w:hAnsi="Arial" w:cs="Arial"/>
          <w:i/>
          <w:iCs/>
          <w:sz w:val="16"/>
          <w:szCs w:val="16"/>
        </w:rPr>
        <w:t xml:space="preserve"> </w:t>
      </w:r>
      <w:r w:rsidRPr="00B00930">
        <w:rPr>
          <w:rFonts w:ascii="Arial" w:hAnsi="Arial" w:cs="Arial"/>
          <w:i/>
          <w:iCs/>
          <w:sz w:val="16"/>
          <w:szCs w:val="16"/>
        </w:rPr>
        <w:t xml:space="preserve">for </w:t>
      </w:r>
      <w:r w:rsidR="00E152E5" w:rsidRPr="00B00930">
        <w:rPr>
          <w:rFonts w:ascii="Arial" w:hAnsi="Arial" w:cs="Arial"/>
          <w:i/>
          <w:iCs/>
          <w:sz w:val="16"/>
          <w:szCs w:val="16"/>
        </w:rPr>
        <w:t>12</w:t>
      </w:r>
      <w:r w:rsidR="00212B45" w:rsidRPr="00B00930">
        <w:rPr>
          <w:rFonts w:ascii="Arial" w:hAnsi="Arial" w:cs="Arial"/>
          <w:i/>
          <w:iCs/>
          <w:sz w:val="16"/>
          <w:szCs w:val="16"/>
        </w:rPr>
        <w:t>M</w:t>
      </w:r>
      <w:r w:rsidRPr="00B00930">
        <w:rPr>
          <w:rFonts w:ascii="Arial" w:hAnsi="Arial" w:cs="Arial"/>
          <w:i/>
          <w:iCs/>
          <w:sz w:val="16"/>
          <w:szCs w:val="16"/>
        </w:rPr>
        <w:t xml:space="preserve"> 2021.</w:t>
      </w:r>
    </w:p>
    <w:p w14:paraId="6D7C06B5" w14:textId="6161CD86" w:rsidR="001C756E" w:rsidRPr="004C7A68" w:rsidRDefault="001C756E" w:rsidP="000C1D3E">
      <w:pPr>
        <w:spacing w:after="0"/>
        <w:rPr>
          <w:rFonts w:ascii="Arial" w:hAnsi="Arial" w:cs="Arial"/>
          <w:i/>
          <w:iCs/>
          <w:sz w:val="16"/>
          <w:szCs w:val="16"/>
          <w:highlight w:val="yellow"/>
        </w:rPr>
      </w:pPr>
    </w:p>
    <w:p w14:paraId="001684BF" w14:textId="7AEF388C" w:rsidR="0072061A" w:rsidRPr="004C7A68" w:rsidRDefault="0072061A" w:rsidP="000C1D3E">
      <w:pPr>
        <w:spacing w:after="0"/>
        <w:rPr>
          <w:rFonts w:ascii="Arial" w:hAnsi="Arial" w:cs="Arial"/>
          <w:i/>
          <w:iCs/>
          <w:sz w:val="16"/>
          <w:szCs w:val="16"/>
          <w:highlight w:val="yellow"/>
        </w:rPr>
      </w:pPr>
    </w:p>
    <w:p w14:paraId="465956A9" w14:textId="6C5E65FC" w:rsidR="0072061A" w:rsidRPr="004C7A68" w:rsidRDefault="0072061A" w:rsidP="000C1D3E">
      <w:pPr>
        <w:spacing w:after="0"/>
        <w:rPr>
          <w:rFonts w:ascii="Arial" w:hAnsi="Arial" w:cs="Arial"/>
          <w:i/>
          <w:iCs/>
          <w:sz w:val="16"/>
          <w:szCs w:val="16"/>
          <w:highlight w:val="yellow"/>
        </w:rPr>
      </w:pPr>
    </w:p>
    <w:p w14:paraId="7C7B7785" w14:textId="77777777" w:rsidR="0072061A" w:rsidRPr="004C7A68" w:rsidRDefault="0072061A" w:rsidP="000C1D3E">
      <w:pPr>
        <w:spacing w:after="0"/>
        <w:rPr>
          <w:rFonts w:ascii="Arial" w:hAnsi="Arial" w:cs="Arial"/>
          <w:i/>
          <w:iCs/>
          <w:sz w:val="16"/>
          <w:szCs w:val="16"/>
          <w:highlight w:val="yellow"/>
        </w:rPr>
      </w:pPr>
    </w:p>
    <w:p w14:paraId="393AC34E" w14:textId="4C258F8E" w:rsidR="006D4F22" w:rsidRPr="004343DD" w:rsidRDefault="00EB71AB" w:rsidP="00157294">
      <w:pPr>
        <w:spacing w:before="120" w:after="120"/>
        <w:jc w:val="both"/>
        <w:rPr>
          <w:rFonts w:ascii="Arial" w:hAnsi="Arial" w:cs="Arial"/>
          <w:b/>
          <w:color w:val="000000" w:themeColor="text1"/>
          <w:szCs w:val="20"/>
        </w:rPr>
      </w:pPr>
      <w:r w:rsidRPr="004C7A68">
        <w:rPr>
          <w:rFonts w:ascii="Arial" w:hAnsi="Arial" w:cs="Arial"/>
          <w:b/>
          <w:sz w:val="20"/>
          <w:szCs w:val="20"/>
          <w:highlight w:val="yellow"/>
        </w:rPr>
        <w:br w:type="column"/>
      </w:r>
      <w:r w:rsidR="006D4F22" w:rsidRPr="004343DD">
        <w:rPr>
          <w:rFonts w:ascii="Arial" w:hAnsi="Arial" w:cs="Arial"/>
          <w:b/>
          <w:color w:val="000000" w:themeColor="text1"/>
          <w:szCs w:val="20"/>
        </w:rPr>
        <w:lastRenderedPageBreak/>
        <w:t>DIAL-IN DETAILS</w:t>
      </w:r>
    </w:p>
    <w:p w14:paraId="1E635A22" w14:textId="77777777" w:rsidR="006D4F22" w:rsidRPr="004343DD" w:rsidRDefault="006D4F22" w:rsidP="000C1D3E">
      <w:pPr>
        <w:pStyle w:val="TMMPlaintext1"/>
        <w:rPr>
          <w:rFonts w:ascii="Arial" w:eastAsiaTheme="minorHAnsi" w:hAnsi="Arial" w:cs="Arial"/>
          <w:color w:val="auto"/>
          <w:szCs w:val="20"/>
          <w:lang w:eastAsia="en-US"/>
        </w:rPr>
      </w:pPr>
      <w:r w:rsidRPr="004343DD">
        <w:rPr>
          <w:rFonts w:ascii="Arial" w:eastAsiaTheme="minorHAnsi" w:hAnsi="Arial" w:cs="Arial"/>
          <w:color w:val="auto"/>
          <w:szCs w:val="20"/>
          <w:lang w:eastAsia="en-US"/>
        </w:rPr>
        <w:t xml:space="preserve">MHP’s management will host a conference call for investors and analysts followed by Q&amp;A on the day of the results. </w:t>
      </w:r>
    </w:p>
    <w:p w14:paraId="6485992D" w14:textId="77777777" w:rsidR="006D4F22" w:rsidRPr="004343DD" w:rsidRDefault="006D4F22" w:rsidP="000C1D3E">
      <w:pPr>
        <w:pStyle w:val="TMMPlaintext1"/>
        <w:rPr>
          <w:rFonts w:ascii="Arial" w:eastAsiaTheme="minorHAnsi" w:hAnsi="Arial" w:cs="Arial"/>
          <w:color w:val="auto"/>
          <w:szCs w:val="20"/>
          <w:lang w:eastAsia="en-US"/>
        </w:rPr>
      </w:pPr>
      <w:r w:rsidRPr="004343DD">
        <w:rPr>
          <w:rFonts w:ascii="Arial" w:eastAsiaTheme="minorHAnsi" w:hAnsi="Arial" w:cs="Arial"/>
          <w:color w:val="auto"/>
          <w:szCs w:val="20"/>
          <w:lang w:eastAsia="en-US"/>
        </w:rPr>
        <w:t>The dial-in details are:</w:t>
      </w:r>
    </w:p>
    <w:p w14:paraId="312A71AC" w14:textId="77777777" w:rsidR="00157294" w:rsidRPr="004343DD" w:rsidRDefault="00157294" w:rsidP="00157294">
      <w:pPr>
        <w:pStyle w:val="TMMPlaintext1"/>
        <w:rPr>
          <w:rFonts w:ascii="Arial" w:eastAsiaTheme="minorHAnsi" w:hAnsi="Arial" w:cs="Arial"/>
          <w:color w:val="auto"/>
          <w:szCs w:val="20"/>
          <w:lang w:eastAsia="en-US"/>
        </w:rPr>
      </w:pPr>
      <w:r w:rsidRPr="004343DD">
        <w:rPr>
          <w:rFonts w:ascii="Arial" w:eastAsiaTheme="minorHAnsi" w:hAnsi="Arial" w:cs="Arial"/>
          <w:color w:val="auto"/>
          <w:szCs w:val="20"/>
          <w:lang w:eastAsia="en-US"/>
        </w:rPr>
        <w:t xml:space="preserve">Time:         </w:t>
      </w:r>
      <w:r w:rsidRPr="004343DD">
        <w:rPr>
          <w:rFonts w:ascii="Arial" w:eastAsiaTheme="minorHAnsi" w:hAnsi="Arial" w:cs="Arial"/>
          <w:color w:val="auto"/>
          <w:szCs w:val="20"/>
          <w:lang w:eastAsia="en-US"/>
        </w:rPr>
        <w:tab/>
        <w:t xml:space="preserve">           </w:t>
      </w:r>
      <w:r w:rsidRPr="004343DD">
        <w:rPr>
          <w:rFonts w:ascii="Arial" w:eastAsiaTheme="minorHAnsi" w:hAnsi="Arial" w:cs="Arial"/>
          <w:color w:val="auto"/>
          <w:szCs w:val="20"/>
          <w:lang w:eastAsia="en-US"/>
        </w:rPr>
        <w:tab/>
        <w:t>14.00 London / 16.00 Kyiv / 09.00 New York</w:t>
      </w:r>
    </w:p>
    <w:p w14:paraId="4457AE73" w14:textId="32657B29" w:rsidR="00157294" w:rsidRPr="004343DD" w:rsidRDefault="00157294" w:rsidP="00157294">
      <w:pPr>
        <w:pStyle w:val="TMMPlaintext1"/>
        <w:rPr>
          <w:rFonts w:ascii="Arial" w:eastAsiaTheme="minorHAnsi" w:hAnsi="Arial" w:cs="Arial"/>
          <w:color w:val="auto"/>
          <w:szCs w:val="20"/>
          <w:lang w:eastAsia="en-US"/>
        </w:rPr>
      </w:pPr>
      <w:r w:rsidRPr="004343DD">
        <w:rPr>
          <w:rFonts w:ascii="Arial" w:eastAsiaTheme="minorHAnsi" w:hAnsi="Arial" w:cs="Arial"/>
          <w:color w:val="auto"/>
          <w:szCs w:val="20"/>
          <w:lang w:eastAsia="en-US"/>
        </w:rPr>
        <w:t>Title:</w:t>
      </w:r>
      <w:r w:rsidRPr="004343DD">
        <w:rPr>
          <w:rFonts w:ascii="Arial" w:eastAsiaTheme="minorHAnsi" w:hAnsi="Arial" w:cs="Arial"/>
          <w:color w:val="auto"/>
          <w:szCs w:val="20"/>
          <w:lang w:eastAsia="en-US"/>
        </w:rPr>
        <w:tab/>
      </w:r>
      <w:r w:rsidRPr="004343DD">
        <w:rPr>
          <w:rFonts w:ascii="Arial" w:eastAsiaTheme="minorHAnsi" w:hAnsi="Arial" w:cs="Arial"/>
          <w:color w:val="auto"/>
          <w:szCs w:val="20"/>
          <w:lang w:eastAsia="en-US"/>
        </w:rPr>
        <w:tab/>
      </w:r>
      <w:r w:rsidRPr="004343DD">
        <w:rPr>
          <w:rFonts w:ascii="Arial" w:eastAsiaTheme="minorHAnsi" w:hAnsi="Arial" w:cs="Arial"/>
          <w:color w:val="auto"/>
          <w:szCs w:val="20"/>
          <w:lang w:eastAsia="en-US"/>
        </w:rPr>
        <w:tab/>
        <w:t>Financial results for Q</w:t>
      </w:r>
      <w:r w:rsidR="00ED4AAB">
        <w:rPr>
          <w:rFonts w:ascii="Arial" w:eastAsiaTheme="minorHAnsi" w:hAnsi="Arial" w:cs="Arial"/>
          <w:color w:val="auto"/>
          <w:szCs w:val="20"/>
          <w:lang w:eastAsia="en-US"/>
        </w:rPr>
        <w:t>4</w:t>
      </w:r>
      <w:r w:rsidRPr="004343DD">
        <w:rPr>
          <w:rFonts w:ascii="Arial" w:eastAsiaTheme="minorHAnsi" w:hAnsi="Arial" w:cs="Arial"/>
          <w:color w:val="auto"/>
          <w:szCs w:val="20"/>
          <w:lang w:eastAsia="en-US"/>
        </w:rPr>
        <w:t xml:space="preserve"> and </w:t>
      </w:r>
      <w:r w:rsidR="00ED4AAB">
        <w:rPr>
          <w:rFonts w:ascii="Arial" w:eastAsiaTheme="minorHAnsi" w:hAnsi="Arial" w:cs="Arial"/>
          <w:color w:val="auto"/>
          <w:szCs w:val="20"/>
          <w:lang w:eastAsia="en-US"/>
        </w:rPr>
        <w:t>12M</w:t>
      </w:r>
      <w:r w:rsidR="00ED4AAB" w:rsidRPr="004343DD">
        <w:rPr>
          <w:rFonts w:ascii="Arial" w:eastAsiaTheme="minorHAnsi" w:hAnsi="Arial" w:cs="Arial"/>
          <w:color w:val="auto"/>
          <w:szCs w:val="20"/>
          <w:lang w:eastAsia="en-US"/>
        </w:rPr>
        <w:t xml:space="preserve"> </w:t>
      </w:r>
      <w:r w:rsidRPr="004343DD">
        <w:rPr>
          <w:rFonts w:ascii="Arial" w:eastAsiaTheme="minorHAnsi" w:hAnsi="Arial" w:cs="Arial"/>
          <w:color w:val="auto"/>
          <w:szCs w:val="20"/>
          <w:lang w:eastAsia="en-US"/>
        </w:rPr>
        <w:t>2022</w:t>
      </w:r>
    </w:p>
    <w:p w14:paraId="72CC38E2" w14:textId="77777777" w:rsidR="00157294" w:rsidRPr="004343DD" w:rsidRDefault="00157294" w:rsidP="00157294">
      <w:pPr>
        <w:pStyle w:val="TMMPlaintext1"/>
        <w:rPr>
          <w:rFonts w:ascii="Arial" w:eastAsiaTheme="minorHAnsi" w:hAnsi="Arial" w:cs="Arial"/>
          <w:color w:val="auto"/>
          <w:szCs w:val="20"/>
          <w:lang w:eastAsia="en-US"/>
        </w:rPr>
      </w:pPr>
      <w:r w:rsidRPr="004343DD">
        <w:rPr>
          <w:rFonts w:ascii="Arial" w:eastAsiaTheme="minorHAnsi" w:hAnsi="Arial" w:cs="Arial"/>
          <w:color w:val="auto"/>
          <w:szCs w:val="20"/>
          <w:lang w:eastAsia="en-US"/>
        </w:rPr>
        <w:t>UK:</w:t>
      </w:r>
      <w:r w:rsidRPr="004343DD">
        <w:rPr>
          <w:rFonts w:ascii="Arial" w:eastAsiaTheme="minorHAnsi" w:hAnsi="Arial" w:cs="Arial"/>
          <w:color w:val="auto"/>
          <w:szCs w:val="20"/>
          <w:lang w:eastAsia="en-US"/>
        </w:rPr>
        <w:tab/>
      </w:r>
      <w:r w:rsidRPr="004343DD">
        <w:rPr>
          <w:rFonts w:ascii="Arial" w:eastAsiaTheme="minorHAnsi" w:hAnsi="Arial" w:cs="Arial"/>
          <w:color w:val="auto"/>
          <w:szCs w:val="20"/>
          <w:lang w:eastAsia="en-US"/>
        </w:rPr>
        <w:tab/>
      </w:r>
      <w:r w:rsidRPr="004343DD">
        <w:rPr>
          <w:rFonts w:ascii="Arial" w:eastAsiaTheme="minorHAnsi" w:hAnsi="Arial" w:cs="Arial"/>
          <w:color w:val="auto"/>
          <w:szCs w:val="20"/>
          <w:lang w:eastAsia="en-US"/>
        </w:rPr>
        <w:tab/>
        <w:t>+44 203 984 9844</w:t>
      </w:r>
    </w:p>
    <w:p w14:paraId="1FAF1E67" w14:textId="77777777" w:rsidR="00157294" w:rsidRPr="004343DD" w:rsidRDefault="00157294" w:rsidP="00157294">
      <w:pPr>
        <w:pStyle w:val="TMMPlaintext1"/>
        <w:rPr>
          <w:rFonts w:ascii="Arial" w:eastAsiaTheme="minorHAnsi" w:hAnsi="Arial" w:cs="Arial"/>
          <w:color w:val="auto"/>
          <w:szCs w:val="20"/>
          <w:lang w:eastAsia="en-US"/>
        </w:rPr>
      </w:pPr>
      <w:r w:rsidRPr="004343DD">
        <w:rPr>
          <w:rFonts w:ascii="Arial" w:eastAsiaTheme="minorHAnsi" w:hAnsi="Arial" w:cs="Arial"/>
          <w:color w:val="auto"/>
          <w:szCs w:val="20"/>
          <w:lang w:eastAsia="en-US"/>
        </w:rPr>
        <w:t xml:space="preserve">Ukraine: </w:t>
      </w:r>
      <w:r w:rsidRPr="004343DD">
        <w:rPr>
          <w:rFonts w:ascii="Arial" w:eastAsiaTheme="minorHAnsi" w:hAnsi="Arial" w:cs="Arial"/>
          <w:color w:val="auto"/>
          <w:szCs w:val="20"/>
          <w:lang w:eastAsia="en-US"/>
        </w:rPr>
        <w:tab/>
      </w:r>
      <w:r w:rsidRPr="004343DD">
        <w:rPr>
          <w:rFonts w:ascii="Arial" w:eastAsiaTheme="minorHAnsi" w:hAnsi="Arial" w:cs="Arial"/>
          <w:color w:val="auto"/>
          <w:szCs w:val="20"/>
          <w:lang w:eastAsia="en-US"/>
        </w:rPr>
        <w:tab/>
        <w:t>+380 89 324 0624</w:t>
      </w:r>
    </w:p>
    <w:p w14:paraId="1C2E2944" w14:textId="77777777" w:rsidR="00157294" w:rsidRPr="004343DD" w:rsidRDefault="00157294" w:rsidP="00157294">
      <w:pPr>
        <w:pStyle w:val="TMMPlaintext1"/>
        <w:rPr>
          <w:rFonts w:ascii="Arial" w:eastAsiaTheme="minorHAnsi" w:hAnsi="Arial" w:cs="Arial"/>
          <w:color w:val="auto"/>
          <w:szCs w:val="20"/>
          <w:lang w:eastAsia="en-US"/>
        </w:rPr>
      </w:pPr>
      <w:r w:rsidRPr="004343DD">
        <w:rPr>
          <w:rFonts w:ascii="Arial" w:eastAsiaTheme="minorHAnsi" w:hAnsi="Arial" w:cs="Arial"/>
          <w:color w:val="auto"/>
          <w:szCs w:val="20"/>
          <w:lang w:eastAsia="en-US"/>
        </w:rPr>
        <w:t>USA:</w:t>
      </w:r>
      <w:r w:rsidRPr="004343DD">
        <w:rPr>
          <w:rFonts w:ascii="Arial" w:eastAsiaTheme="minorHAnsi" w:hAnsi="Arial" w:cs="Arial"/>
          <w:color w:val="auto"/>
          <w:szCs w:val="20"/>
          <w:lang w:eastAsia="en-US"/>
        </w:rPr>
        <w:tab/>
      </w:r>
      <w:r w:rsidRPr="004343DD">
        <w:rPr>
          <w:rFonts w:ascii="Arial" w:eastAsiaTheme="minorHAnsi" w:hAnsi="Arial" w:cs="Arial"/>
          <w:color w:val="auto"/>
          <w:szCs w:val="20"/>
          <w:lang w:eastAsia="en-US"/>
        </w:rPr>
        <w:tab/>
      </w:r>
      <w:r w:rsidRPr="004343DD">
        <w:rPr>
          <w:rFonts w:ascii="Arial" w:eastAsiaTheme="minorHAnsi" w:hAnsi="Arial" w:cs="Arial"/>
          <w:color w:val="auto"/>
          <w:szCs w:val="20"/>
          <w:lang w:eastAsia="en-US"/>
        </w:rPr>
        <w:tab/>
        <w:t>+1 718 866 4614</w:t>
      </w:r>
    </w:p>
    <w:p w14:paraId="31F1D2FF" w14:textId="77777777" w:rsidR="00157294" w:rsidRPr="004343DD" w:rsidRDefault="00157294" w:rsidP="00157294">
      <w:pPr>
        <w:pStyle w:val="TMMPlaintext1"/>
        <w:rPr>
          <w:rFonts w:ascii="Arial" w:eastAsiaTheme="minorHAnsi" w:hAnsi="Arial" w:cs="Arial"/>
          <w:color w:val="auto"/>
          <w:szCs w:val="20"/>
          <w:lang w:eastAsia="en-US"/>
        </w:rPr>
      </w:pPr>
      <w:r w:rsidRPr="004343DD">
        <w:rPr>
          <w:rFonts w:ascii="Arial" w:eastAsiaTheme="minorHAnsi" w:hAnsi="Arial" w:cs="Arial"/>
          <w:color w:val="auto"/>
          <w:szCs w:val="20"/>
          <w:lang w:eastAsia="en-US"/>
        </w:rPr>
        <w:t>PIN code:</w:t>
      </w:r>
      <w:r w:rsidRPr="004343DD">
        <w:rPr>
          <w:rFonts w:ascii="Arial" w:eastAsiaTheme="minorHAnsi" w:hAnsi="Arial" w:cs="Arial"/>
          <w:color w:val="auto"/>
          <w:szCs w:val="20"/>
          <w:lang w:eastAsia="en-US"/>
        </w:rPr>
        <w:tab/>
      </w:r>
      <w:r w:rsidRPr="004343DD">
        <w:rPr>
          <w:rFonts w:ascii="Arial" w:eastAsiaTheme="minorHAnsi" w:hAnsi="Arial" w:cs="Arial"/>
          <w:color w:val="auto"/>
          <w:szCs w:val="20"/>
          <w:lang w:eastAsia="en-US"/>
        </w:rPr>
        <w:tab/>
        <w:t>645982</w:t>
      </w:r>
    </w:p>
    <w:p w14:paraId="17DFFB40" w14:textId="77777777" w:rsidR="006D4F22" w:rsidRPr="004343DD" w:rsidRDefault="006D4F22" w:rsidP="000C1D3E">
      <w:pPr>
        <w:pStyle w:val="TMMPlaintext1"/>
        <w:rPr>
          <w:rFonts w:ascii="Arial" w:eastAsiaTheme="minorHAnsi" w:hAnsi="Arial" w:cs="Arial"/>
          <w:color w:val="auto"/>
          <w:szCs w:val="20"/>
          <w:lang w:eastAsia="en-US"/>
        </w:rPr>
      </w:pPr>
      <w:r w:rsidRPr="004343DD">
        <w:rPr>
          <w:rFonts w:ascii="Arial" w:eastAsiaTheme="minorHAnsi" w:hAnsi="Arial" w:cs="Arial"/>
          <w:color w:val="auto"/>
          <w:szCs w:val="20"/>
          <w:lang w:eastAsia="en-US"/>
        </w:rPr>
        <w:t xml:space="preserve">   </w:t>
      </w:r>
      <w:r w:rsidRPr="004343DD">
        <w:rPr>
          <w:rFonts w:ascii="Arial" w:eastAsiaTheme="minorHAnsi" w:hAnsi="Arial" w:cs="Arial"/>
          <w:color w:val="auto"/>
          <w:szCs w:val="20"/>
          <w:lang w:eastAsia="en-US"/>
        </w:rPr>
        <w:tab/>
      </w:r>
      <w:r w:rsidRPr="004343DD">
        <w:rPr>
          <w:rFonts w:ascii="Arial" w:eastAsiaTheme="minorHAnsi" w:hAnsi="Arial" w:cs="Arial"/>
          <w:color w:val="auto"/>
          <w:szCs w:val="20"/>
          <w:lang w:eastAsia="en-US"/>
        </w:rPr>
        <w:tab/>
      </w:r>
      <w:r w:rsidRPr="004343DD">
        <w:rPr>
          <w:rFonts w:ascii="Arial" w:eastAsiaTheme="minorHAnsi" w:hAnsi="Arial" w:cs="Arial"/>
          <w:color w:val="auto"/>
          <w:szCs w:val="20"/>
          <w:lang w:eastAsia="en-US"/>
        </w:rPr>
        <w:tab/>
      </w:r>
      <w:r w:rsidRPr="004343DD">
        <w:rPr>
          <w:rFonts w:ascii="Arial" w:eastAsiaTheme="minorHAnsi" w:hAnsi="Arial" w:cs="Arial"/>
          <w:color w:val="auto"/>
          <w:szCs w:val="20"/>
          <w:lang w:eastAsia="en-US"/>
        </w:rPr>
        <w:tab/>
      </w:r>
    </w:p>
    <w:p w14:paraId="06B6912F" w14:textId="04F51A56" w:rsidR="006D4F22" w:rsidRPr="004343DD" w:rsidRDefault="00ED4AAB" w:rsidP="000C1D3E">
      <w:pPr>
        <w:pStyle w:val="TMMPlaintext1"/>
        <w:rPr>
          <w:rFonts w:ascii="Arial" w:eastAsiaTheme="minorHAnsi" w:hAnsi="Arial" w:cs="Arial"/>
          <w:color w:val="auto"/>
          <w:szCs w:val="20"/>
          <w:lang w:eastAsia="en-US"/>
        </w:rPr>
      </w:pPr>
      <w:r>
        <w:rPr>
          <w:rFonts w:ascii="Arial" w:eastAsiaTheme="minorHAnsi" w:hAnsi="Arial" w:cs="Arial"/>
          <w:color w:val="auto"/>
          <w:szCs w:val="20"/>
          <w:lang w:eastAsia="en-US"/>
        </w:rPr>
        <w:t>T</w:t>
      </w:r>
      <w:r w:rsidR="006D4F22" w:rsidRPr="004343DD">
        <w:rPr>
          <w:rFonts w:ascii="Arial" w:eastAsiaTheme="minorHAnsi" w:hAnsi="Arial" w:cs="Arial"/>
          <w:color w:val="auto"/>
          <w:szCs w:val="20"/>
          <w:lang w:eastAsia="en-US"/>
        </w:rPr>
        <w:t>o follow the presentation with the management</w:t>
      </w:r>
      <w:r>
        <w:rPr>
          <w:rFonts w:ascii="Arial" w:eastAsiaTheme="minorHAnsi" w:hAnsi="Arial" w:cs="Arial"/>
          <w:color w:val="auto"/>
          <w:szCs w:val="20"/>
          <w:lang w:eastAsia="en-US"/>
        </w:rPr>
        <w:t xml:space="preserve"> team</w:t>
      </w:r>
      <w:r w:rsidR="006D4F22" w:rsidRPr="004343DD">
        <w:rPr>
          <w:rFonts w:ascii="Arial" w:eastAsiaTheme="minorHAnsi" w:hAnsi="Arial" w:cs="Arial"/>
          <w:color w:val="auto"/>
          <w:szCs w:val="20"/>
          <w:lang w:eastAsia="en-US"/>
        </w:rPr>
        <w:t xml:space="preserve">, please use the following link: </w:t>
      </w:r>
    </w:p>
    <w:p w14:paraId="3D5FE0AB" w14:textId="77777777" w:rsidR="00157294" w:rsidRPr="004343DD" w:rsidRDefault="00555EEE" w:rsidP="00157294">
      <w:pPr>
        <w:pStyle w:val="afc"/>
        <w:rPr>
          <w:rStyle w:val="a6"/>
          <w:rFonts w:ascii="Arial" w:hAnsi="Arial" w:cs="Arial"/>
          <w:sz w:val="20"/>
          <w:szCs w:val="20"/>
        </w:rPr>
      </w:pPr>
      <w:hyperlink r:id="rId9" w:history="1">
        <w:r w:rsidR="00157294" w:rsidRPr="004343DD">
          <w:rPr>
            <w:rStyle w:val="a6"/>
            <w:rFonts w:ascii="Arial" w:hAnsi="Arial" w:cs="Arial"/>
            <w:sz w:val="20"/>
            <w:szCs w:val="20"/>
          </w:rPr>
          <w:t>https://mm.closir.com/slides?id=645982</w:t>
        </w:r>
      </w:hyperlink>
    </w:p>
    <w:p w14:paraId="3AAF8A0D" w14:textId="77777777" w:rsidR="006D4F22" w:rsidRPr="004343DD" w:rsidRDefault="006D4F22" w:rsidP="000C1D3E">
      <w:pPr>
        <w:spacing w:after="120"/>
        <w:rPr>
          <w:rFonts w:ascii="Arial" w:hAnsi="Arial" w:cs="Arial"/>
          <w:b/>
          <w:bCs/>
          <w:sz w:val="20"/>
          <w:szCs w:val="20"/>
        </w:rPr>
      </w:pPr>
    </w:p>
    <w:p w14:paraId="0EA4AAA6" w14:textId="7DFBA9D7" w:rsidR="006D4F22" w:rsidRPr="004343DD" w:rsidRDefault="006D4F22" w:rsidP="000C1D3E">
      <w:pPr>
        <w:spacing w:after="120"/>
        <w:rPr>
          <w:rFonts w:ascii="Arial" w:hAnsi="Arial" w:cs="Arial"/>
          <w:sz w:val="20"/>
          <w:szCs w:val="20"/>
        </w:rPr>
      </w:pPr>
      <w:r w:rsidRPr="004343DD">
        <w:rPr>
          <w:rFonts w:ascii="Arial" w:hAnsi="Arial" w:cs="Arial"/>
          <w:b/>
          <w:bCs/>
          <w:sz w:val="20"/>
          <w:szCs w:val="20"/>
        </w:rPr>
        <w:t>For Investor Relations enquiries, please contact:</w:t>
      </w:r>
    </w:p>
    <w:p w14:paraId="1602FA00" w14:textId="77777777" w:rsidR="00532110" w:rsidRPr="004343DD" w:rsidRDefault="006D4F22" w:rsidP="000C1D3E">
      <w:pPr>
        <w:spacing w:after="120"/>
        <w:rPr>
          <w:rFonts w:ascii="Arial" w:hAnsi="Arial" w:cs="Arial"/>
          <w:sz w:val="20"/>
          <w:szCs w:val="20"/>
        </w:rPr>
      </w:pPr>
      <w:r w:rsidRPr="004343DD">
        <w:rPr>
          <w:rFonts w:ascii="Arial" w:hAnsi="Arial" w:cs="Arial"/>
          <w:sz w:val="20"/>
          <w:szCs w:val="20"/>
        </w:rPr>
        <w:t>Anastasia Sobotiuk (Kyiv)</w:t>
      </w:r>
      <w:r w:rsidRPr="004343DD">
        <w:rPr>
          <w:rFonts w:ascii="Arial" w:hAnsi="Arial" w:cs="Arial"/>
          <w:sz w:val="20"/>
          <w:szCs w:val="20"/>
        </w:rPr>
        <w:tab/>
      </w:r>
      <w:r w:rsidRPr="004343DD">
        <w:rPr>
          <w:rFonts w:ascii="Arial" w:hAnsi="Arial" w:cs="Arial"/>
          <w:sz w:val="20"/>
          <w:szCs w:val="20"/>
        </w:rPr>
        <w:tab/>
      </w:r>
      <w:r w:rsidR="00157294" w:rsidRPr="004343DD">
        <w:rPr>
          <w:rFonts w:ascii="Arial" w:hAnsi="Arial" w:cs="Arial"/>
          <w:sz w:val="20"/>
          <w:szCs w:val="20"/>
        </w:rPr>
        <w:t>+38 050 339 29 99</w:t>
      </w:r>
    </w:p>
    <w:p w14:paraId="5DD7F3EF" w14:textId="0D40D7A9" w:rsidR="006D4F22" w:rsidRPr="004343DD" w:rsidRDefault="00532110" w:rsidP="000C1D3E">
      <w:pPr>
        <w:spacing w:after="120"/>
        <w:rPr>
          <w:rStyle w:val="a6"/>
          <w:rFonts w:ascii="Arial" w:hAnsi="Arial" w:cs="Arial"/>
          <w:sz w:val="20"/>
          <w:szCs w:val="20"/>
        </w:rPr>
      </w:pPr>
      <w:r w:rsidRPr="004343DD">
        <w:rPr>
          <w:rFonts w:ascii="Arial" w:hAnsi="Arial" w:cs="Arial"/>
          <w:sz w:val="20"/>
          <w:szCs w:val="20"/>
        </w:rPr>
        <w:tab/>
      </w:r>
      <w:r w:rsidRPr="004343DD">
        <w:rPr>
          <w:rFonts w:ascii="Arial" w:hAnsi="Arial" w:cs="Arial"/>
          <w:sz w:val="20"/>
          <w:szCs w:val="20"/>
        </w:rPr>
        <w:tab/>
      </w:r>
      <w:r w:rsidRPr="004343DD">
        <w:rPr>
          <w:rFonts w:ascii="Arial" w:hAnsi="Arial" w:cs="Arial"/>
          <w:sz w:val="20"/>
          <w:szCs w:val="20"/>
        </w:rPr>
        <w:tab/>
      </w:r>
      <w:r w:rsidRPr="004343DD">
        <w:rPr>
          <w:rFonts w:ascii="Arial" w:hAnsi="Arial" w:cs="Arial"/>
          <w:sz w:val="20"/>
          <w:szCs w:val="20"/>
        </w:rPr>
        <w:tab/>
      </w:r>
      <w:r w:rsidRPr="004343DD">
        <w:rPr>
          <w:rFonts w:ascii="Arial" w:hAnsi="Arial" w:cs="Arial"/>
          <w:sz w:val="20"/>
          <w:szCs w:val="20"/>
        </w:rPr>
        <w:tab/>
        <w:t>+357 99 76 71 26</w:t>
      </w:r>
      <w:r w:rsidR="006D4F22" w:rsidRPr="004343DD">
        <w:rPr>
          <w:rFonts w:ascii="Arial" w:hAnsi="Arial" w:cs="Arial"/>
          <w:sz w:val="20"/>
          <w:szCs w:val="20"/>
        </w:rPr>
        <w:tab/>
      </w:r>
      <w:r w:rsidRPr="004343DD">
        <w:rPr>
          <w:rFonts w:ascii="Arial" w:hAnsi="Arial" w:cs="Arial"/>
          <w:sz w:val="20"/>
          <w:szCs w:val="20"/>
        </w:rPr>
        <w:tab/>
      </w:r>
      <w:hyperlink r:id="rId10" w:history="1">
        <w:r w:rsidRPr="004343DD">
          <w:rPr>
            <w:rStyle w:val="a6"/>
            <w:rFonts w:ascii="Arial" w:hAnsi="Arial" w:cs="Arial"/>
            <w:sz w:val="20"/>
            <w:szCs w:val="20"/>
          </w:rPr>
          <w:t>a.sobotyuk@mhp.com.ua</w:t>
        </w:r>
      </w:hyperlink>
    </w:p>
    <w:p w14:paraId="4403E51C" w14:textId="3DE59ED3" w:rsidR="00C62880" w:rsidRPr="004C7A68" w:rsidRDefault="00C62880" w:rsidP="000C1D3E">
      <w:pPr>
        <w:tabs>
          <w:tab w:val="left" w:pos="237"/>
        </w:tabs>
        <w:spacing w:after="120"/>
        <w:rPr>
          <w:rFonts w:ascii="Arial" w:hAnsi="Arial" w:cs="Arial"/>
          <w:color w:val="0000FF"/>
          <w:sz w:val="20"/>
          <w:szCs w:val="20"/>
          <w:highlight w:val="yellow"/>
          <w:u w:val="single"/>
        </w:rPr>
        <w:sectPr w:rsidR="00C62880" w:rsidRPr="004C7A68" w:rsidSect="000C1D3E">
          <w:footerReference w:type="default" r:id="rId11"/>
          <w:pgSz w:w="11906" w:h="16838"/>
          <w:pgMar w:top="851" w:right="707" w:bottom="851" w:left="709" w:header="708" w:footer="397" w:gutter="0"/>
          <w:cols w:space="708"/>
          <w:titlePg/>
          <w:docGrid w:linePitch="360"/>
        </w:sectPr>
      </w:pPr>
    </w:p>
    <w:p w14:paraId="0E346927" w14:textId="77777777" w:rsidR="00064F6B" w:rsidRPr="004C7A68" w:rsidRDefault="00064F6B" w:rsidP="000C1D3E">
      <w:pPr>
        <w:tabs>
          <w:tab w:val="left" w:pos="237"/>
        </w:tabs>
        <w:rPr>
          <w:rFonts w:ascii="Arial" w:hAnsi="Arial" w:cs="Arial"/>
          <w:b/>
          <w:sz w:val="20"/>
          <w:szCs w:val="20"/>
          <w:highlight w:val="yellow"/>
          <w:u w:val="single"/>
        </w:rPr>
        <w:sectPr w:rsidR="00064F6B" w:rsidRPr="004C7A68" w:rsidSect="000C1D3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709" w:header="708" w:footer="708" w:gutter="0"/>
          <w:cols w:space="708"/>
          <w:docGrid w:linePitch="360"/>
        </w:sectPr>
      </w:pPr>
    </w:p>
    <w:p w14:paraId="0BB2A6E8" w14:textId="77777777" w:rsidR="00400F1C" w:rsidRPr="008E3AB6" w:rsidRDefault="00400F1C" w:rsidP="000C1D3E">
      <w:pPr>
        <w:rPr>
          <w:rFonts w:ascii="Arial" w:hAnsi="Arial" w:cs="Arial"/>
          <w:b/>
          <w:sz w:val="20"/>
          <w:szCs w:val="20"/>
        </w:rPr>
      </w:pPr>
      <w:r w:rsidRPr="008E3AB6">
        <w:rPr>
          <w:rFonts w:ascii="Arial" w:hAnsi="Arial" w:cs="Arial"/>
          <w:b/>
          <w:sz w:val="20"/>
          <w:szCs w:val="20"/>
        </w:rPr>
        <w:lastRenderedPageBreak/>
        <w:t xml:space="preserve">Segment </w:t>
      </w:r>
      <w:r w:rsidR="00732FA2" w:rsidRPr="008E3AB6">
        <w:rPr>
          <w:rFonts w:ascii="Arial" w:hAnsi="Arial" w:cs="Arial"/>
          <w:b/>
          <w:sz w:val="20"/>
          <w:szCs w:val="20"/>
        </w:rPr>
        <w:t>P</w:t>
      </w:r>
      <w:r w:rsidRPr="008E3AB6">
        <w:rPr>
          <w:rFonts w:ascii="Arial" w:hAnsi="Arial" w:cs="Arial"/>
          <w:b/>
          <w:sz w:val="20"/>
          <w:szCs w:val="20"/>
        </w:rPr>
        <w:t>erformance</w:t>
      </w:r>
    </w:p>
    <w:p w14:paraId="5FB9CC6D" w14:textId="2D42108F" w:rsidR="007835C7" w:rsidRPr="008E3AB6" w:rsidRDefault="007835C7" w:rsidP="000C1D3E">
      <w:pPr>
        <w:tabs>
          <w:tab w:val="left" w:pos="237"/>
        </w:tabs>
        <w:rPr>
          <w:rFonts w:ascii="Arial" w:hAnsi="Arial" w:cs="Arial"/>
          <w:b/>
          <w:sz w:val="20"/>
          <w:szCs w:val="20"/>
        </w:rPr>
      </w:pPr>
      <w:bookmarkStart w:id="2" w:name="OLE_LINK6"/>
      <w:r w:rsidRPr="008E3AB6">
        <w:rPr>
          <w:rFonts w:ascii="Arial" w:hAnsi="Arial" w:cs="Arial"/>
          <w:b/>
          <w:sz w:val="20"/>
          <w:szCs w:val="20"/>
        </w:rPr>
        <w:t xml:space="preserve">Poultry and </w:t>
      </w:r>
      <w:r w:rsidR="00C07381">
        <w:rPr>
          <w:rFonts w:ascii="Arial" w:hAnsi="Arial" w:cs="Arial"/>
          <w:b/>
          <w:sz w:val="20"/>
          <w:szCs w:val="20"/>
        </w:rPr>
        <w:t>R</w:t>
      </w:r>
      <w:r w:rsidRPr="008E3AB6">
        <w:rPr>
          <w:rFonts w:ascii="Arial" w:hAnsi="Arial" w:cs="Arial"/>
          <w:b/>
          <w:sz w:val="20"/>
          <w:szCs w:val="20"/>
        </w:rPr>
        <w:t xml:space="preserve">elated </w:t>
      </w:r>
      <w:r w:rsidR="00C07381">
        <w:rPr>
          <w:rFonts w:ascii="Arial" w:hAnsi="Arial" w:cs="Arial"/>
          <w:b/>
          <w:sz w:val="20"/>
          <w:szCs w:val="20"/>
        </w:rPr>
        <w:t>O</w:t>
      </w:r>
      <w:r w:rsidRPr="008E3AB6">
        <w:rPr>
          <w:rFonts w:ascii="Arial" w:hAnsi="Arial" w:cs="Arial"/>
          <w:b/>
          <w:sz w:val="20"/>
          <w:szCs w:val="20"/>
        </w:rPr>
        <w:t>perations</w:t>
      </w:r>
      <w:r w:rsidR="009D6892" w:rsidRPr="008E3AB6">
        <w:rPr>
          <w:rFonts w:ascii="Arial" w:hAnsi="Arial" w:cs="Arial"/>
          <w:b/>
          <w:sz w:val="20"/>
          <w:szCs w:val="20"/>
        </w:rPr>
        <w:t xml:space="preserve"> </w:t>
      </w:r>
      <w:r w:rsidR="00C07381">
        <w:rPr>
          <w:rFonts w:ascii="Arial" w:hAnsi="Arial" w:cs="Arial"/>
          <w:b/>
          <w:sz w:val="20"/>
          <w:szCs w:val="20"/>
        </w:rPr>
        <w:t>S</w:t>
      </w:r>
      <w:r w:rsidR="009D6892" w:rsidRPr="008E3AB6">
        <w:rPr>
          <w:rFonts w:ascii="Arial" w:hAnsi="Arial" w:cs="Arial"/>
          <w:b/>
          <w:sz w:val="20"/>
          <w:szCs w:val="20"/>
        </w:rPr>
        <w:t>egment</w:t>
      </w:r>
    </w:p>
    <w:tbl>
      <w:tblPr>
        <w:tblW w:w="5000" w:type="pct"/>
        <w:tblLayout w:type="fixed"/>
        <w:tblLook w:val="04A0" w:firstRow="1" w:lastRow="0" w:firstColumn="1" w:lastColumn="0" w:noHBand="0" w:noVBand="1"/>
      </w:tblPr>
      <w:tblGrid>
        <w:gridCol w:w="1992"/>
        <w:gridCol w:w="236"/>
        <w:gridCol w:w="1018"/>
        <w:gridCol w:w="1149"/>
        <w:gridCol w:w="884"/>
        <w:gridCol w:w="1016"/>
        <w:gridCol w:w="1016"/>
        <w:gridCol w:w="1014"/>
        <w:gridCol w:w="1014"/>
        <w:gridCol w:w="1008"/>
      </w:tblGrid>
      <w:tr w:rsidR="00BE4343" w:rsidRPr="00E5440E" w14:paraId="54273040" w14:textId="02AAB103" w:rsidTr="006B28DA">
        <w:trPr>
          <w:trHeight w:val="368"/>
        </w:trPr>
        <w:tc>
          <w:tcPr>
            <w:tcW w:w="963" w:type="pct"/>
            <w:tcBorders>
              <w:top w:val="single" w:sz="12" w:space="0" w:color="auto"/>
              <w:bottom w:val="single" w:sz="12" w:space="0" w:color="auto"/>
            </w:tcBorders>
            <w:shd w:val="clear" w:color="auto" w:fill="auto"/>
            <w:noWrap/>
            <w:vAlign w:val="center"/>
          </w:tcPr>
          <w:p w14:paraId="538628B0" w14:textId="77777777" w:rsidR="00BE4343" w:rsidRPr="00E5440E" w:rsidRDefault="00BE4343" w:rsidP="00BE4343">
            <w:pPr>
              <w:spacing w:after="0" w:line="240" w:lineRule="auto"/>
              <w:jc w:val="right"/>
              <w:rPr>
                <w:rFonts w:ascii="Arial" w:eastAsia="Times New Roman" w:hAnsi="Arial" w:cs="Arial"/>
                <w:b/>
                <w:color w:val="000000"/>
                <w:sz w:val="20"/>
                <w:szCs w:val="20"/>
                <w:lang w:eastAsia="ru-RU"/>
              </w:rPr>
            </w:pPr>
            <w:bookmarkStart w:id="3" w:name="OLE_LINK7"/>
            <w:bookmarkEnd w:id="2"/>
          </w:p>
        </w:tc>
        <w:tc>
          <w:tcPr>
            <w:tcW w:w="114" w:type="pct"/>
            <w:vAlign w:val="center"/>
          </w:tcPr>
          <w:p w14:paraId="5CD3DBC6"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492" w:type="pct"/>
            <w:tcBorders>
              <w:top w:val="single" w:sz="12" w:space="0" w:color="auto"/>
              <w:bottom w:val="single" w:sz="12" w:space="0" w:color="auto"/>
            </w:tcBorders>
            <w:shd w:val="clear" w:color="auto" w:fill="auto"/>
            <w:noWrap/>
            <w:vAlign w:val="center"/>
          </w:tcPr>
          <w:p w14:paraId="46A33417" w14:textId="650F48E3" w:rsidR="00BE4343" w:rsidRPr="00E5440E" w:rsidRDefault="00BE4343" w:rsidP="00BE4343">
            <w:pPr>
              <w:spacing w:after="0" w:line="240" w:lineRule="auto"/>
              <w:jc w:val="right"/>
              <w:rPr>
                <w:rFonts w:ascii="Arial" w:eastAsia="Times New Roman" w:hAnsi="Arial" w:cs="Arial"/>
                <w:b/>
                <w:color w:val="000000"/>
                <w:sz w:val="20"/>
                <w:szCs w:val="20"/>
                <w:lang w:eastAsia="ru-RU"/>
              </w:rPr>
            </w:pPr>
            <w:r w:rsidRPr="00E5440E">
              <w:rPr>
                <w:rFonts w:ascii="Arial" w:eastAsia="Times New Roman" w:hAnsi="Arial" w:cs="Arial"/>
                <w:b/>
                <w:color w:val="000000"/>
                <w:sz w:val="20"/>
                <w:szCs w:val="20"/>
                <w:lang w:eastAsia="ru-RU"/>
              </w:rPr>
              <w:t>Q</w:t>
            </w:r>
            <w:r w:rsidR="00D2118D" w:rsidRPr="00E5440E">
              <w:rPr>
                <w:rFonts w:ascii="Arial" w:eastAsia="Times New Roman" w:hAnsi="Arial" w:cs="Arial"/>
                <w:b/>
                <w:color w:val="000000"/>
                <w:sz w:val="20"/>
                <w:szCs w:val="20"/>
                <w:lang w:eastAsia="ru-RU"/>
              </w:rPr>
              <w:t>4</w:t>
            </w:r>
            <w:r w:rsidRPr="00E5440E">
              <w:rPr>
                <w:rFonts w:ascii="Arial" w:eastAsia="Times New Roman" w:hAnsi="Arial" w:cs="Arial"/>
                <w:b/>
                <w:color w:val="000000"/>
                <w:sz w:val="20"/>
                <w:szCs w:val="20"/>
                <w:lang w:eastAsia="ru-RU"/>
              </w:rPr>
              <w:t xml:space="preserve"> 2022</w:t>
            </w:r>
          </w:p>
        </w:tc>
        <w:tc>
          <w:tcPr>
            <w:tcW w:w="555" w:type="pct"/>
            <w:tcBorders>
              <w:top w:val="single" w:sz="12" w:space="0" w:color="auto"/>
              <w:bottom w:val="single" w:sz="12" w:space="0" w:color="auto"/>
            </w:tcBorders>
            <w:shd w:val="clear" w:color="auto" w:fill="auto"/>
            <w:noWrap/>
            <w:vAlign w:val="center"/>
          </w:tcPr>
          <w:p w14:paraId="7E12252D" w14:textId="5A821B75" w:rsidR="00BE4343" w:rsidRPr="00E5440E" w:rsidRDefault="00BE4343" w:rsidP="00BE4343">
            <w:pPr>
              <w:spacing w:after="0" w:line="240" w:lineRule="auto"/>
              <w:jc w:val="right"/>
              <w:rPr>
                <w:rFonts w:ascii="Arial" w:eastAsia="Times New Roman" w:hAnsi="Arial" w:cs="Arial"/>
                <w:b/>
                <w:color w:val="000000"/>
                <w:sz w:val="20"/>
                <w:szCs w:val="20"/>
                <w:vertAlign w:val="superscript"/>
                <w:lang w:eastAsia="ru-RU"/>
              </w:rPr>
            </w:pPr>
            <w:r w:rsidRPr="00E5440E">
              <w:rPr>
                <w:rFonts w:ascii="Arial" w:eastAsia="Times New Roman" w:hAnsi="Arial" w:cs="Arial"/>
                <w:b/>
                <w:color w:val="000000"/>
                <w:sz w:val="20"/>
                <w:szCs w:val="20"/>
                <w:lang w:eastAsia="ru-RU"/>
              </w:rPr>
              <w:t>Q</w:t>
            </w:r>
            <w:r w:rsidR="00D2118D" w:rsidRPr="00E5440E">
              <w:rPr>
                <w:rFonts w:ascii="Arial" w:eastAsia="Times New Roman" w:hAnsi="Arial" w:cs="Arial"/>
                <w:b/>
                <w:color w:val="000000"/>
                <w:sz w:val="20"/>
                <w:szCs w:val="20"/>
                <w:lang w:eastAsia="ru-RU"/>
              </w:rPr>
              <w:t>4</w:t>
            </w:r>
            <w:r w:rsidRPr="00E5440E">
              <w:rPr>
                <w:rFonts w:ascii="Arial" w:eastAsia="Times New Roman" w:hAnsi="Arial" w:cs="Arial"/>
                <w:b/>
                <w:color w:val="000000"/>
                <w:sz w:val="20"/>
                <w:szCs w:val="20"/>
                <w:lang w:eastAsia="ru-RU"/>
              </w:rPr>
              <w:t xml:space="preserve"> 2021</w:t>
            </w:r>
          </w:p>
        </w:tc>
        <w:tc>
          <w:tcPr>
            <w:tcW w:w="427" w:type="pct"/>
            <w:tcBorders>
              <w:top w:val="single" w:sz="12" w:space="0" w:color="auto"/>
              <w:bottom w:val="single" w:sz="12" w:space="0" w:color="auto"/>
            </w:tcBorders>
            <w:shd w:val="clear" w:color="auto" w:fill="auto"/>
            <w:noWrap/>
            <w:vAlign w:val="center"/>
          </w:tcPr>
          <w:p w14:paraId="192932D9" w14:textId="4C644BB8" w:rsidR="00BE4343" w:rsidRPr="00E5440E" w:rsidRDefault="00BE4343" w:rsidP="00BE4343">
            <w:pPr>
              <w:spacing w:after="0" w:line="240" w:lineRule="auto"/>
              <w:jc w:val="right"/>
              <w:rPr>
                <w:rFonts w:ascii="Arial" w:eastAsia="Times New Roman" w:hAnsi="Arial" w:cs="Arial"/>
                <w:i/>
                <w:iCs/>
                <w:color w:val="000000"/>
                <w:sz w:val="20"/>
                <w:szCs w:val="20"/>
                <w:lang w:eastAsia="ru-RU"/>
              </w:rPr>
            </w:pPr>
            <w:r w:rsidRPr="00E5440E">
              <w:rPr>
                <w:rFonts w:ascii="Arial" w:eastAsia="Times New Roman" w:hAnsi="Arial" w:cs="Arial"/>
                <w:i/>
                <w:color w:val="000000"/>
                <w:sz w:val="20"/>
                <w:szCs w:val="20"/>
                <w:lang w:eastAsia="ru-RU"/>
              </w:rPr>
              <w:t>% change y/y</w:t>
            </w:r>
          </w:p>
        </w:tc>
        <w:tc>
          <w:tcPr>
            <w:tcW w:w="491" w:type="pct"/>
            <w:tcBorders>
              <w:top w:val="single" w:sz="12" w:space="0" w:color="auto"/>
              <w:bottom w:val="single" w:sz="12" w:space="0" w:color="auto"/>
            </w:tcBorders>
            <w:vAlign w:val="center"/>
          </w:tcPr>
          <w:p w14:paraId="61DF53BA" w14:textId="7577B95A" w:rsidR="00BE4343" w:rsidRPr="00E5440E" w:rsidRDefault="00BE4343" w:rsidP="00BE4343">
            <w:pPr>
              <w:spacing w:after="0" w:line="240" w:lineRule="auto"/>
              <w:jc w:val="right"/>
              <w:rPr>
                <w:rFonts w:ascii="Arial" w:eastAsia="Times New Roman" w:hAnsi="Arial" w:cs="Arial"/>
                <w:b/>
                <w:color w:val="000000"/>
                <w:sz w:val="20"/>
                <w:szCs w:val="20"/>
                <w:lang w:eastAsia="ru-RU"/>
              </w:rPr>
            </w:pPr>
            <w:r w:rsidRPr="00E5440E">
              <w:rPr>
                <w:rFonts w:ascii="Arial" w:eastAsia="Times New Roman" w:hAnsi="Arial" w:cs="Arial"/>
                <w:b/>
                <w:color w:val="000000"/>
                <w:sz w:val="20"/>
                <w:szCs w:val="20"/>
                <w:lang w:eastAsia="ru-RU"/>
              </w:rPr>
              <w:t>Q</w:t>
            </w:r>
            <w:r w:rsidR="00D2118D" w:rsidRPr="00E5440E">
              <w:rPr>
                <w:rFonts w:ascii="Arial" w:eastAsia="Times New Roman" w:hAnsi="Arial" w:cs="Arial"/>
                <w:b/>
                <w:color w:val="000000"/>
                <w:sz w:val="20"/>
                <w:szCs w:val="20"/>
                <w:lang w:eastAsia="ru-RU"/>
              </w:rPr>
              <w:t>3</w:t>
            </w:r>
            <w:r w:rsidRPr="00E5440E">
              <w:rPr>
                <w:rFonts w:ascii="Arial" w:eastAsia="Times New Roman" w:hAnsi="Arial" w:cs="Arial"/>
                <w:b/>
                <w:color w:val="000000"/>
                <w:sz w:val="20"/>
                <w:szCs w:val="20"/>
                <w:lang w:eastAsia="ru-RU"/>
              </w:rPr>
              <w:t xml:space="preserve"> 2022</w:t>
            </w:r>
          </w:p>
        </w:tc>
        <w:tc>
          <w:tcPr>
            <w:tcW w:w="491" w:type="pct"/>
            <w:tcBorders>
              <w:top w:val="single" w:sz="12" w:space="0" w:color="auto"/>
              <w:bottom w:val="single" w:sz="12" w:space="0" w:color="auto"/>
            </w:tcBorders>
            <w:vAlign w:val="center"/>
          </w:tcPr>
          <w:p w14:paraId="05CDB5FF" w14:textId="3EB9A11E" w:rsidR="00BE4343" w:rsidRPr="00E5440E" w:rsidRDefault="00BE4343" w:rsidP="00BE4343">
            <w:pPr>
              <w:spacing w:after="0" w:line="240" w:lineRule="auto"/>
              <w:jc w:val="right"/>
              <w:rPr>
                <w:rFonts w:ascii="Arial" w:eastAsia="Times New Roman" w:hAnsi="Arial" w:cs="Arial"/>
                <w:i/>
                <w:color w:val="000000"/>
                <w:sz w:val="20"/>
                <w:szCs w:val="20"/>
                <w:lang w:eastAsia="ru-RU"/>
              </w:rPr>
            </w:pPr>
            <w:r w:rsidRPr="00E5440E">
              <w:rPr>
                <w:rFonts w:ascii="Arial" w:eastAsia="Times New Roman" w:hAnsi="Arial" w:cs="Arial"/>
                <w:i/>
                <w:color w:val="000000"/>
                <w:sz w:val="20"/>
                <w:szCs w:val="20"/>
                <w:lang w:eastAsia="ru-RU"/>
              </w:rPr>
              <w:t>% change q/q</w:t>
            </w:r>
          </w:p>
        </w:tc>
        <w:tc>
          <w:tcPr>
            <w:tcW w:w="490" w:type="pct"/>
            <w:tcBorders>
              <w:top w:val="single" w:sz="12" w:space="0" w:color="auto"/>
              <w:bottom w:val="single" w:sz="12" w:space="0" w:color="auto"/>
            </w:tcBorders>
            <w:vAlign w:val="center"/>
          </w:tcPr>
          <w:p w14:paraId="2A47331E" w14:textId="2E8308F3" w:rsidR="00BE4343" w:rsidRPr="00E5440E" w:rsidRDefault="00D2118D" w:rsidP="00BE4343">
            <w:pPr>
              <w:spacing w:after="0" w:line="240" w:lineRule="auto"/>
              <w:jc w:val="right"/>
              <w:rPr>
                <w:rFonts w:ascii="Arial" w:eastAsia="Times New Roman" w:hAnsi="Arial" w:cs="Arial"/>
                <w:i/>
                <w:color w:val="000000"/>
                <w:sz w:val="20"/>
                <w:szCs w:val="20"/>
                <w:lang w:eastAsia="ru-RU"/>
              </w:rPr>
            </w:pPr>
            <w:r w:rsidRPr="00E5440E">
              <w:rPr>
                <w:rFonts w:ascii="Arial" w:eastAsia="Times New Roman" w:hAnsi="Arial" w:cs="Arial"/>
                <w:b/>
                <w:iCs/>
                <w:color w:val="000000"/>
                <w:sz w:val="20"/>
                <w:szCs w:val="20"/>
                <w:lang w:eastAsia="ru-RU"/>
              </w:rPr>
              <w:t>12</w:t>
            </w:r>
            <w:r w:rsidR="002B658D" w:rsidRPr="00E5440E">
              <w:rPr>
                <w:rFonts w:ascii="Arial" w:eastAsia="Times New Roman" w:hAnsi="Arial" w:cs="Arial"/>
                <w:b/>
                <w:iCs/>
                <w:color w:val="000000"/>
                <w:sz w:val="20"/>
                <w:szCs w:val="20"/>
                <w:lang w:eastAsia="ru-RU"/>
              </w:rPr>
              <w:t>M</w:t>
            </w:r>
            <w:r w:rsidR="00BE4343" w:rsidRPr="00E5440E">
              <w:rPr>
                <w:rFonts w:ascii="Arial" w:eastAsia="Times New Roman" w:hAnsi="Arial" w:cs="Arial"/>
                <w:b/>
                <w:iCs/>
                <w:color w:val="000000"/>
                <w:sz w:val="20"/>
                <w:szCs w:val="20"/>
                <w:lang w:eastAsia="ru-RU"/>
              </w:rPr>
              <w:t xml:space="preserve"> 2022</w:t>
            </w:r>
          </w:p>
        </w:tc>
        <w:tc>
          <w:tcPr>
            <w:tcW w:w="490" w:type="pct"/>
            <w:tcBorders>
              <w:top w:val="single" w:sz="12" w:space="0" w:color="auto"/>
              <w:bottom w:val="single" w:sz="12" w:space="0" w:color="auto"/>
            </w:tcBorders>
            <w:vAlign w:val="center"/>
          </w:tcPr>
          <w:p w14:paraId="5DB42E7A" w14:textId="18D8AC87" w:rsidR="00BE4343" w:rsidRPr="00E5440E" w:rsidRDefault="00D2118D" w:rsidP="00BE4343">
            <w:pPr>
              <w:spacing w:after="0" w:line="240" w:lineRule="auto"/>
              <w:jc w:val="right"/>
              <w:rPr>
                <w:rFonts w:ascii="Arial" w:eastAsia="Times New Roman" w:hAnsi="Arial" w:cs="Arial"/>
                <w:i/>
                <w:color w:val="000000"/>
                <w:sz w:val="20"/>
                <w:szCs w:val="20"/>
                <w:lang w:eastAsia="ru-RU"/>
              </w:rPr>
            </w:pPr>
            <w:r w:rsidRPr="00E5440E">
              <w:rPr>
                <w:rFonts w:ascii="Arial" w:eastAsia="Times New Roman" w:hAnsi="Arial" w:cs="Arial"/>
                <w:b/>
                <w:iCs/>
                <w:color w:val="000000"/>
                <w:sz w:val="20"/>
                <w:szCs w:val="20"/>
                <w:lang w:eastAsia="ru-RU"/>
              </w:rPr>
              <w:t>12</w:t>
            </w:r>
            <w:r w:rsidR="002B658D" w:rsidRPr="00E5440E">
              <w:rPr>
                <w:rFonts w:ascii="Arial" w:eastAsia="Times New Roman" w:hAnsi="Arial" w:cs="Arial"/>
                <w:b/>
                <w:iCs/>
                <w:color w:val="000000"/>
                <w:sz w:val="20"/>
                <w:szCs w:val="20"/>
                <w:lang w:eastAsia="ru-RU"/>
              </w:rPr>
              <w:t>M</w:t>
            </w:r>
            <w:r w:rsidR="00BE4343" w:rsidRPr="00E5440E">
              <w:rPr>
                <w:rFonts w:ascii="Arial" w:eastAsia="Times New Roman" w:hAnsi="Arial" w:cs="Arial"/>
                <w:b/>
                <w:iCs/>
                <w:color w:val="000000"/>
                <w:sz w:val="20"/>
                <w:szCs w:val="20"/>
                <w:lang w:eastAsia="ru-RU"/>
              </w:rPr>
              <w:t xml:space="preserve"> 2021</w:t>
            </w:r>
          </w:p>
        </w:tc>
        <w:tc>
          <w:tcPr>
            <w:tcW w:w="487" w:type="pct"/>
            <w:tcBorders>
              <w:top w:val="single" w:sz="12" w:space="0" w:color="auto"/>
              <w:bottom w:val="single" w:sz="12" w:space="0" w:color="auto"/>
            </w:tcBorders>
            <w:vAlign w:val="center"/>
          </w:tcPr>
          <w:p w14:paraId="695578E2" w14:textId="7266DC7A" w:rsidR="00BE4343" w:rsidRPr="00E5440E" w:rsidRDefault="00BE4343" w:rsidP="00BE4343">
            <w:pPr>
              <w:spacing w:after="0" w:line="240" w:lineRule="auto"/>
              <w:jc w:val="right"/>
              <w:rPr>
                <w:rFonts w:ascii="Arial" w:eastAsia="Times New Roman" w:hAnsi="Arial" w:cs="Arial"/>
                <w:i/>
                <w:color w:val="000000"/>
                <w:sz w:val="20"/>
                <w:szCs w:val="20"/>
                <w:lang w:eastAsia="ru-RU"/>
              </w:rPr>
            </w:pPr>
            <w:r w:rsidRPr="00E5440E">
              <w:rPr>
                <w:rFonts w:ascii="Arial" w:eastAsia="Times New Roman" w:hAnsi="Arial" w:cs="Arial"/>
                <w:i/>
                <w:color w:val="000000"/>
                <w:sz w:val="20"/>
                <w:szCs w:val="20"/>
                <w:lang w:eastAsia="ru-RU"/>
              </w:rPr>
              <w:t>% change</w:t>
            </w:r>
          </w:p>
        </w:tc>
      </w:tr>
      <w:tr w:rsidR="00BE4343" w:rsidRPr="00E5440E" w14:paraId="05697D26" w14:textId="0F0B6A2C" w:rsidTr="00BE4343">
        <w:trPr>
          <w:trHeight w:val="255"/>
        </w:trPr>
        <w:tc>
          <w:tcPr>
            <w:tcW w:w="963" w:type="pct"/>
            <w:tcBorders>
              <w:top w:val="single" w:sz="12" w:space="0" w:color="auto"/>
            </w:tcBorders>
            <w:shd w:val="clear" w:color="auto" w:fill="auto"/>
            <w:noWrap/>
            <w:vAlign w:val="center"/>
          </w:tcPr>
          <w:p w14:paraId="47CC44BC" w14:textId="77777777" w:rsidR="00BE4343" w:rsidRPr="00E5440E" w:rsidRDefault="00BE4343" w:rsidP="00BE4343">
            <w:pPr>
              <w:spacing w:after="0" w:line="240" w:lineRule="auto"/>
              <w:jc w:val="both"/>
              <w:rPr>
                <w:rFonts w:ascii="Arial" w:eastAsia="Times New Roman" w:hAnsi="Arial" w:cs="Arial"/>
                <w:b/>
                <w:color w:val="000000"/>
                <w:sz w:val="20"/>
                <w:szCs w:val="20"/>
                <w:lang w:eastAsia="ru-RU"/>
              </w:rPr>
            </w:pPr>
            <w:r w:rsidRPr="00E5440E">
              <w:rPr>
                <w:rFonts w:ascii="Arial" w:eastAsia="Times New Roman" w:hAnsi="Arial" w:cs="Arial"/>
                <w:b/>
                <w:color w:val="000000"/>
                <w:sz w:val="20"/>
                <w:szCs w:val="20"/>
                <w:lang w:eastAsia="ru-RU"/>
              </w:rPr>
              <w:t>Poultry</w:t>
            </w:r>
          </w:p>
        </w:tc>
        <w:tc>
          <w:tcPr>
            <w:tcW w:w="114" w:type="pct"/>
            <w:vAlign w:val="center"/>
          </w:tcPr>
          <w:p w14:paraId="0275B725"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492" w:type="pct"/>
            <w:tcBorders>
              <w:top w:val="single" w:sz="12" w:space="0" w:color="auto"/>
            </w:tcBorders>
            <w:shd w:val="clear" w:color="auto" w:fill="auto"/>
            <w:noWrap/>
            <w:vAlign w:val="center"/>
          </w:tcPr>
          <w:p w14:paraId="78FFA78E"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555" w:type="pct"/>
            <w:tcBorders>
              <w:top w:val="single" w:sz="12" w:space="0" w:color="auto"/>
            </w:tcBorders>
            <w:shd w:val="clear" w:color="auto" w:fill="auto"/>
            <w:noWrap/>
            <w:vAlign w:val="center"/>
          </w:tcPr>
          <w:p w14:paraId="02CBFDBC"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427" w:type="pct"/>
            <w:tcBorders>
              <w:top w:val="single" w:sz="12" w:space="0" w:color="auto"/>
            </w:tcBorders>
            <w:shd w:val="clear" w:color="auto" w:fill="auto"/>
            <w:noWrap/>
            <w:vAlign w:val="center"/>
          </w:tcPr>
          <w:p w14:paraId="66D1C52D" w14:textId="77777777" w:rsidR="00BE4343" w:rsidRPr="00E5440E" w:rsidRDefault="00BE4343" w:rsidP="00BE4343">
            <w:pPr>
              <w:spacing w:after="0" w:line="240" w:lineRule="auto"/>
              <w:jc w:val="right"/>
              <w:rPr>
                <w:rFonts w:ascii="Arial" w:eastAsia="Times New Roman" w:hAnsi="Arial" w:cs="Arial"/>
                <w:i/>
                <w:iCs/>
                <w:color w:val="000000"/>
                <w:sz w:val="20"/>
                <w:szCs w:val="20"/>
                <w:lang w:eastAsia="ru-RU"/>
              </w:rPr>
            </w:pPr>
          </w:p>
        </w:tc>
        <w:tc>
          <w:tcPr>
            <w:tcW w:w="491" w:type="pct"/>
            <w:tcBorders>
              <w:top w:val="single" w:sz="12" w:space="0" w:color="auto"/>
            </w:tcBorders>
          </w:tcPr>
          <w:p w14:paraId="2E105EDF" w14:textId="77777777" w:rsidR="00BE4343" w:rsidRPr="00E5440E" w:rsidRDefault="00BE4343" w:rsidP="00BE4343">
            <w:pPr>
              <w:spacing w:after="0" w:line="240" w:lineRule="auto"/>
              <w:jc w:val="right"/>
              <w:rPr>
                <w:rFonts w:ascii="Arial" w:eastAsia="Times New Roman" w:hAnsi="Arial" w:cs="Arial"/>
                <w:b/>
                <w:color w:val="000000"/>
                <w:sz w:val="20"/>
                <w:szCs w:val="20"/>
                <w:lang w:eastAsia="ru-RU"/>
              </w:rPr>
            </w:pPr>
          </w:p>
        </w:tc>
        <w:tc>
          <w:tcPr>
            <w:tcW w:w="491" w:type="pct"/>
            <w:tcBorders>
              <w:top w:val="single" w:sz="12" w:space="0" w:color="auto"/>
            </w:tcBorders>
          </w:tcPr>
          <w:p w14:paraId="04563EDD" w14:textId="77777777" w:rsidR="00BE4343" w:rsidRPr="00E5440E" w:rsidRDefault="00BE4343" w:rsidP="00BE4343">
            <w:pPr>
              <w:spacing w:after="0" w:line="240" w:lineRule="auto"/>
              <w:jc w:val="right"/>
              <w:rPr>
                <w:rFonts w:ascii="Arial" w:eastAsia="Times New Roman" w:hAnsi="Arial" w:cs="Arial"/>
                <w:i/>
                <w:iCs/>
                <w:color w:val="000000"/>
                <w:sz w:val="20"/>
                <w:szCs w:val="20"/>
                <w:lang w:eastAsia="ru-RU"/>
              </w:rPr>
            </w:pPr>
          </w:p>
        </w:tc>
        <w:tc>
          <w:tcPr>
            <w:tcW w:w="490" w:type="pct"/>
            <w:tcBorders>
              <w:top w:val="single" w:sz="12" w:space="0" w:color="auto"/>
            </w:tcBorders>
          </w:tcPr>
          <w:p w14:paraId="50AD1A03" w14:textId="77777777" w:rsidR="00BE4343" w:rsidRPr="00E5440E" w:rsidRDefault="00BE4343" w:rsidP="00BE4343">
            <w:pPr>
              <w:spacing w:after="0" w:line="240" w:lineRule="auto"/>
              <w:jc w:val="right"/>
              <w:rPr>
                <w:rFonts w:ascii="Arial" w:eastAsia="Times New Roman" w:hAnsi="Arial" w:cs="Arial"/>
                <w:i/>
                <w:iCs/>
                <w:color w:val="000000"/>
                <w:sz w:val="20"/>
                <w:szCs w:val="20"/>
                <w:lang w:eastAsia="ru-RU"/>
              </w:rPr>
            </w:pPr>
          </w:p>
        </w:tc>
        <w:tc>
          <w:tcPr>
            <w:tcW w:w="490" w:type="pct"/>
            <w:tcBorders>
              <w:top w:val="single" w:sz="12" w:space="0" w:color="auto"/>
            </w:tcBorders>
          </w:tcPr>
          <w:p w14:paraId="7E721359" w14:textId="77777777" w:rsidR="00BE4343" w:rsidRPr="00E5440E" w:rsidRDefault="00BE4343" w:rsidP="00BE4343">
            <w:pPr>
              <w:spacing w:after="0" w:line="240" w:lineRule="auto"/>
              <w:jc w:val="right"/>
              <w:rPr>
                <w:rFonts w:ascii="Arial" w:eastAsia="Times New Roman" w:hAnsi="Arial" w:cs="Arial"/>
                <w:i/>
                <w:iCs/>
                <w:color w:val="000000"/>
                <w:sz w:val="20"/>
                <w:szCs w:val="20"/>
                <w:lang w:eastAsia="ru-RU"/>
              </w:rPr>
            </w:pPr>
          </w:p>
        </w:tc>
        <w:tc>
          <w:tcPr>
            <w:tcW w:w="487" w:type="pct"/>
            <w:tcBorders>
              <w:top w:val="single" w:sz="12" w:space="0" w:color="auto"/>
            </w:tcBorders>
          </w:tcPr>
          <w:p w14:paraId="43F4CBF6" w14:textId="77777777" w:rsidR="00BE4343" w:rsidRPr="00E5440E" w:rsidRDefault="00BE4343" w:rsidP="00BE4343">
            <w:pPr>
              <w:spacing w:after="0" w:line="240" w:lineRule="auto"/>
              <w:jc w:val="right"/>
              <w:rPr>
                <w:rFonts w:ascii="Arial" w:eastAsia="Times New Roman" w:hAnsi="Arial" w:cs="Arial"/>
                <w:i/>
                <w:iCs/>
                <w:color w:val="000000"/>
                <w:sz w:val="20"/>
                <w:szCs w:val="20"/>
                <w:lang w:eastAsia="ru-RU"/>
              </w:rPr>
            </w:pPr>
          </w:p>
        </w:tc>
      </w:tr>
      <w:tr w:rsidR="00BE4343" w:rsidRPr="00E5440E" w14:paraId="5207DB8E" w14:textId="21417C21" w:rsidTr="000666F9">
        <w:trPr>
          <w:trHeight w:val="368"/>
        </w:trPr>
        <w:tc>
          <w:tcPr>
            <w:tcW w:w="963" w:type="pct"/>
            <w:tcBorders>
              <w:bottom w:val="single" w:sz="4" w:space="0" w:color="auto"/>
            </w:tcBorders>
            <w:shd w:val="clear" w:color="auto" w:fill="auto"/>
            <w:noWrap/>
            <w:vAlign w:val="center"/>
            <w:hideMark/>
          </w:tcPr>
          <w:p w14:paraId="3AF2BEEC" w14:textId="6F2539B1" w:rsidR="00BE4343" w:rsidRPr="00E5440E" w:rsidRDefault="00BE4343" w:rsidP="00BE4343">
            <w:pPr>
              <w:spacing w:after="0" w:line="240" w:lineRule="auto"/>
              <w:jc w:val="both"/>
              <w:rPr>
                <w:rFonts w:ascii="Arial" w:eastAsia="Times New Roman" w:hAnsi="Arial" w:cs="Arial"/>
                <w:b/>
                <w:bCs/>
                <w:color w:val="000000"/>
                <w:sz w:val="20"/>
                <w:szCs w:val="20"/>
                <w:lang w:eastAsia="ru-RU"/>
              </w:rPr>
            </w:pPr>
            <w:r w:rsidRPr="00E5440E">
              <w:rPr>
                <w:rFonts w:ascii="Arial" w:eastAsia="Times New Roman" w:hAnsi="Arial" w:cs="Arial"/>
                <w:b/>
                <w:bCs/>
                <w:color w:val="000000"/>
                <w:sz w:val="20"/>
                <w:szCs w:val="20"/>
                <w:lang w:eastAsia="ru-RU"/>
              </w:rPr>
              <w:t>Sales volume</w:t>
            </w:r>
            <w:r w:rsidR="00355591" w:rsidRPr="00E5440E">
              <w:rPr>
                <w:rFonts w:ascii="Arial" w:eastAsia="Times New Roman" w:hAnsi="Arial" w:cs="Arial"/>
                <w:b/>
                <w:color w:val="000000"/>
                <w:sz w:val="20"/>
                <w:szCs w:val="20"/>
                <w:vertAlign w:val="superscript"/>
                <w:lang w:eastAsia="ru-RU"/>
              </w:rPr>
              <w:t>1)</w:t>
            </w:r>
            <w:r w:rsidRPr="00E5440E">
              <w:rPr>
                <w:rFonts w:ascii="Arial" w:eastAsia="Times New Roman" w:hAnsi="Arial" w:cs="Arial"/>
                <w:b/>
                <w:bCs/>
                <w:color w:val="000000"/>
                <w:sz w:val="20"/>
                <w:szCs w:val="20"/>
                <w:lang w:eastAsia="ru-RU"/>
              </w:rPr>
              <w:t xml:space="preserve">, third </w:t>
            </w:r>
            <w:r w:rsidR="00FB1084" w:rsidRPr="00E5440E">
              <w:rPr>
                <w:rFonts w:ascii="Arial" w:eastAsia="Times New Roman" w:hAnsi="Arial" w:cs="Arial"/>
                <w:b/>
                <w:bCs/>
                <w:color w:val="000000"/>
                <w:sz w:val="20"/>
                <w:szCs w:val="20"/>
                <w:lang w:eastAsia="ru-RU"/>
              </w:rPr>
              <w:t>part</w:t>
            </w:r>
            <w:r w:rsidR="00FB1084">
              <w:rPr>
                <w:rFonts w:ascii="Arial" w:eastAsia="Times New Roman" w:hAnsi="Arial" w:cs="Arial"/>
                <w:b/>
                <w:bCs/>
                <w:color w:val="000000"/>
                <w:sz w:val="20"/>
                <w:szCs w:val="20"/>
                <w:lang w:eastAsia="ru-RU"/>
              </w:rPr>
              <w:t>y</w:t>
            </w:r>
            <w:r w:rsidR="00FB1084" w:rsidRPr="00E5440E">
              <w:rPr>
                <w:rFonts w:ascii="Arial" w:eastAsia="Times New Roman" w:hAnsi="Arial" w:cs="Arial"/>
                <w:b/>
                <w:bCs/>
                <w:color w:val="000000"/>
                <w:sz w:val="20"/>
                <w:szCs w:val="20"/>
                <w:lang w:eastAsia="ru-RU"/>
              </w:rPr>
              <w:t xml:space="preserve"> </w:t>
            </w:r>
            <w:proofErr w:type="spellStart"/>
            <w:r w:rsidRPr="00E5440E">
              <w:rPr>
                <w:rFonts w:ascii="Arial" w:eastAsia="Times New Roman" w:hAnsi="Arial" w:cs="Arial"/>
                <w:b/>
                <w:bCs/>
                <w:color w:val="000000"/>
                <w:sz w:val="20"/>
                <w:szCs w:val="20"/>
                <w:lang w:eastAsia="ru-RU"/>
              </w:rPr>
              <w:t>tonnes</w:t>
            </w:r>
            <w:proofErr w:type="spellEnd"/>
          </w:p>
        </w:tc>
        <w:tc>
          <w:tcPr>
            <w:tcW w:w="114" w:type="pct"/>
            <w:vAlign w:val="center"/>
          </w:tcPr>
          <w:p w14:paraId="0D932C58" w14:textId="77777777" w:rsidR="00BE4343" w:rsidRPr="00E5440E" w:rsidRDefault="00BE4343" w:rsidP="00BE4343">
            <w:pPr>
              <w:spacing w:after="0" w:line="240" w:lineRule="auto"/>
              <w:jc w:val="right"/>
              <w:rPr>
                <w:rFonts w:ascii="Arial" w:eastAsia="Times New Roman" w:hAnsi="Arial" w:cs="Arial"/>
                <w:b/>
                <w:bCs/>
                <w:color w:val="000000"/>
                <w:sz w:val="20"/>
                <w:szCs w:val="20"/>
                <w:lang w:eastAsia="ru-RU"/>
              </w:rPr>
            </w:pPr>
          </w:p>
        </w:tc>
        <w:tc>
          <w:tcPr>
            <w:tcW w:w="492" w:type="pct"/>
            <w:tcBorders>
              <w:bottom w:val="single" w:sz="4" w:space="0" w:color="auto"/>
            </w:tcBorders>
            <w:shd w:val="clear" w:color="auto" w:fill="auto"/>
            <w:noWrap/>
            <w:vAlign w:val="center"/>
          </w:tcPr>
          <w:p w14:paraId="6218DFD1" w14:textId="6C3EDD4D" w:rsidR="00BE4343" w:rsidRPr="00E5440E" w:rsidRDefault="00DB5AAE" w:rsidP="00BE4343">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188,907</w:t>
            </w:r>
          </w:p>
        </w:tc>
        <w:tc>
          <w:tcPr>
            <w:tcW w:w="555" w:type="pct"/>
            <w:tcBorders>
              <w:bottom w:val="single" w:sz="4" w:space="0" w:color="auto"/>
            </w:tcBorders>
            <w:shd w:val="clear" w:color="auto" w:fill="auto"/>
            <w:noWrap/>
            <w:vAlign w:val="center"/>
          </w:tcPr>
          <w:p w14:paraId="6F4F4970" w14:textId="7CAEBDB9" w:rsidR="00BE4343" w:rsidRPr="00E5440E" w:rsidRDefault="00DB5AAE" w:rsidP="00BE4343">
            <w:pPr>
              <w:spacing w:after="0" w:line="240" w:lineRule="auto"/>
              <w:jc w:val="right"/>
              <w:rPr>
                <w:rFonts w:ascii="Arial" w:eastAsia="Times New Roman" w:hAnsi="Arial" w:cs="Arial"/>
                <w:b/>
                <w:bCs/>
                <w:color w:val="000000"/>
                <w:sz w:val="20"/>
                <w:szCs w:val="20"/>
                <w:lang w:val="uk-UA" w:eastAsia="ru-RU"/>
              </w:rPr>
            </w:pPr>
            <w:r w:rsidRPr="000D120B">
              <w:rPr>
                <w:rFonts w:ascii="Arial" w:hAnsi="Arial" w:cs="Arial"/>
                <w:b/>
                <w:bCs/>
                <w:sz w:val="20"/>
                <w:szCs w:val="20"/>
              </w:rPr>
              <w:t>180,028</w:t>
            </w:r>
          </w:p>
        </w:tc>
        <w:tc>
          <w:tcPr>
            <w:tcW w:w="427" w:type="pct"/>
            <w:tcBorders>
              <w:bottom w:val="single" w:sz="4" w:space="0" w:color="auto"/>
            </w:tcBorders>
            <w:shd w:val="clear" w:color="auto" w:fill="auto"/>
            <w:noWrap/>
            <w:vAlign w:val="center"/>
          </w:tcPr>
          <w:p w14:paraId="4FC138D6" w14:textId="7A6A886B" w:rsidR="00BE4343" w:rsidRPr="00E5440E" w:rsidRDefault="00DB5AAE" w:rsidP="00BE4343">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5%</w:t>
            </w:r>
          </w:p>
        </w:tc>
        <w:tc>
          <w:tcPr>
            <w:tcW w:w="491" w:type="pct"/>
            <w:tcBorders>
              <w:bottom w:val="single" w:sz="4" w:space="0" w:color="auto"/>
            </w:tcBorders>
            <w:vAlign w:val="center"/>
          </w:tcPr>
          <w:p w14:paraId="3B4B5F41" w14:textId="7565A793" w:rsidR="00BE4343" w:rsidRPr="00E5440E" w:rsidRDefault="00DB5AAE" w:rsidP="00BE4343">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177,387</w:t>
            </w:r>
          </w:p>
        </w:tc>
        <w:tc>
          <w:tcPr>
            <w:tcW w:w="491" w:type="pct"/>
            <w:tcBorders>
              <w:bottom w:val="single" w:sz="4" w:space="0" w:color="auto"/>
            </w:tcBorders>
            <w:vAlign w:val="center"/>
          </w:tcPr>
          <w:p w14:paraId="1F964B64" w14:textId="0F89BE16" w:rsidR="00BE4343" w:rsidRPr="00E5440E" w:rsidRDefault="00DB5AAE" w:rsidP="00BE4343">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6%</w:t>
            </w:r>
          </w:p>
        </w:tc>
        <w:tc>
          <w:tcPr>
            <w:tcW w:w="490" w:type="pct"/>
            <w:tcBorders>
              <w:bottom w:val="single" w:sz="4" w:space="0" w:color="auto"/>
            </w:tcBorders>
            <w:vAlign w:val="center"/>
          </w:tcPr>
          <w:p w14:paraId="70EA3355" w14:textId="52466DEC" w:rsidR="00BE4343" w:rsidRPr="00E5440E" w:rsidRDefault="00DB5AAE" w:rsidP="000666F9">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665,975</w:t>
            </w:r>
          </w:p>
        </w:tc>
        <w:tc>
          <w:tcPr>
            <w:tcW w:w="490" w:type="pct"/>
            <w:tcBorders>
              <w:bottom w:val="single" w:sz="4" w:space="0" w:color="auto"/>
            </w:tcBorders>
            <w:vAlign w:val="center"/>
          </w:tcPr>
          <w:p w14:paraId="08D7E4E7" w14:textId="59D70D84" w:rsidR="00BE4343" w:rsidRPr="00E5440E" w:rsidRDefault="00DB5AAE" w:rsidP="000666F9">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704,010</w:t>
            </w:r>
          </w:p>
        </w:tc>
        <w:tc>
          <w:tcPr>
            <w:tcW w:w="487" w:type="pct"/>
            <w:tcBorders>
              <w:bottom w:val="single" w:sz="4" w:space="0" w:color="auto"/>
            </w:tcBorders>
            <w:vAlign w:val="center"/>
          </w:tcPr>
          <w:p w14:paraId="6843B6B5" w14:textId="6B18E0DB" w:rsidR="00BE4343" w:rsidRPr="00E5440E" w:rsidRDefault="00DB5AAE" w:rsidP="000666F9">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-5%</w:t>
            </w:r>
          </w:p>
        </w:tc>
      </w:tr>
      <w:tr w:rsidR="00BE4343" w:rsidRPr="00E5440E" w14:paraId="1248D7BE" w14:textId="08C52ADA" w:rsidTr="0045280B">
        <w:trPr>
          <w:trHeight w:val="238"/>
        </w:trPr>
        <w:tc>
          <w:tcPr>
            <w:tcW w:w="963" w:type="pct"/>
            <w:tcBorders>
              <w:top w:val="single" w:sz="4" w:space="0" w:color="auto"/>
            </w:tcBorders>
            <w:shd w:val="clear" w:color="auto" w:fill="auto"/>
            <w:noWrap/>
            <w:vAlign w:val="center"/>
          </w:tcPr>
          <w:p w14:paraId="247BCDFC" w14:textId="24800476" w:rsidR="00BE4343" w:rsidRPr="00E5440E" w:rsidRDefault="00BE4343" w:rsidP="00BE4343">
            <w:pPr>
              <w:spacing w:after="0" w:line="240" w:lineRule="auto"/>
              <w:jc w:val="both"/>
              <w:rPr>
                <w:rFonts w:ascii="Arial" w:eastAsia="Times New Roman" w:hAnsi="Arial" w:cs="Arial"/>
                <w:i/>
                <w:color w:val="000000"/>
                <w:sz w:val="20"/>
                <w:szCs w:val="20"/>
                <w:lang w:eastAsia="ru-RU"/>
              </w:rPr>
            </w:pPr>
            <w:r w:rsidRPr="00E5440E">
              <w:rPr>
                <w:rFonts w:ascii="Arial" w:eastAsia="Times New Roman" w:hAnsi="Arial" w:cs="Arial"/>
                <w:i/>
                <w:color w:val="000000"/>
                <w:sz w:val="20"/>
                <w:szCs w:val="20"/>
                <w:lang w:eastAsia="ru-RU"/>
              </w:rPr>
              <w:t xml:space="preserve">Export sales volume, </w:t>
            </w:r>
            <w:proofErr w:type="spellStart"/>
            <w:r w:rsidRPr="00E5440E">
              <w:rPr>
                <w:rFonts w:ascii="Arial" w:eastAsia="Times New Roman" w:hAnsi="Arial" w:cs="Arial"/>
                <w:i/>
                <w:color w:val="000000"/>
                <w:sz w:val="20"/>
                <w:szCs w:val="20"/>
                <w:lang w:eastAsia="ru-RU"/>
              </w:rPr>
              <w:t>tonnes</w:t>
            </w:r>
            <w:proofErr w:type="spellEnd"/>
          </w:p>
        </w:tc>
        <w:tc>
          <w:tcPr>
            <w:tcW w:w="114" w:type="pct"/>
            <w:vAlign w:val="center"/>
          </w:tcPr>
          <w:p w14:paraId="3C9A059A" w14:textId="77777777" w:rsidR="00BE4343" w:rsidRPr="00E5440E" w:rsidRDefault="00BE4343" w:rsidP="00BE4343">
            <w:pPr>
              <w:spacing w:after="0" w:line="240" w:lineRule="auto"/>
              <w:jc w:val="right"/>
              <w:rPr>
                <w:rFonts w:ascii="Arial" w:eastAsia="Times New Roman" w:hAnsi="Arial" w:cs="Arial"/>
                <w:i/>
                <w:color w:val="000000"/>
                <w:sz w:val="20"/>
                <w:szCs w:val="20"/>
                <w:lang w:eastAsia="ru-RU"/>
              </w:rPr>
            </w:pPr>
          </w:p>
        </w:tc>
        <w:tc>
          <w:tcPr>
            <w:tcW w:w="492" w:type="pct"/>
            <w:tcBorders>
              <w:top w:val="single" w:sz="4" w:space="0" w:color="auto"/>
            </w:tcBorders>
            <w:shd w:val="clear" w:color="auto" w:fill="auto"/>
            <w:noWrap/>
            <w:vAlign w:val="center"/>
          </w:tcPr>
          <w:p w14:paraId="7BD5C29A" w14:textId="7DB454B5"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111,130</w:t>
            </w:r>
          </w:p>
        </w:tc>
        <w:tc>
          <w:tcPr>
            <w:tcW w:w="555" w:type="pct"/>
            <w:tcBorders>
              <w:top w:val="single" w:sz="4" w:space="0" w:color="auto"/>
            </w:tcBorders>
            <w:shd w:val="clear" w:color="auto" w:fill="auto"/>
            <w:noWrap/>
            <w:vAlign w:val="center"/>
          </w:tcPr>
          <w:p w14:paraId="52979018" w14:textId="6FE66E1A"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104,841</w:t>
            </w:r>
          </w:p>
        </w:tc>
        <w:tc>
          <w:tcPr>
            <w:tcW w:w="427" w:type="pct"/>
            <w:tcBorders>
              <w:top w:val="single" w:sz="4" w:space="0" w:color="auto"/>
            </w:tcBorders>
            <w:shd w:val="clear" w:color="auto" w:fill="auto"/>
            <w:noWrap/>
            <w:vAlign w:val="center"/>
          </w:tcPr>
          <w:p w14:paraId="1B7FD631" w14:textId="543E8145"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6%</w:t>
            </w:r>
          </w:p>
        </w:tc>
        <w:tc>
          <w:tcPr>
            <w:tcW w:w="491" w:type="pct"/>
            <w:tcBorders>
              <w:top w:val="single" w:sz="4" w:space="0" w:color="auto"/>
            </w:tcBorders>
            <w:vAlign w:val="center"/>
          </w:tcPr>
          <w:p w14:paraId="62D6B13F" w14:textId="39B0A1A4" w:rsidR="00BE4343" w:rsidRPr="00E5440E" w:rsidRDefault="00DB5AAE" w:rsidP="00BE4343">
            <w:pPr>
              <w:spacing w:after="0" w:line="240" w:lineRule="auto"/>
              <w:jc w:val="right"/>
              <w:rPr>
                <w:rFonts w:ascii="Arial" w:eastAsia="Times New Roman" w:hAnsi="Arial" w:cs="Arial"/>
                <w:bCs/>
                <w:i/>
                <w:color w:val="000000"/>
                <w:sz w:val="20"/>
                <w:szCs w:val="20"/>
                <w:lang w:eastAsia="ru-RU"/>
              </w:rPr>
            </w:pPr>
            <w:r w:rsidRPr="000D120B">
              <w:rPr>
                <w:rFonts w:ascii="Arial" w:hAnsi="Arial" w:cs="Arial"/>
                <w:i/>
                <w:sz w:val="20"/>
                <w:szCs w:val="20"/>
              </w:rPr>
              <w:t>99,250</w:t>
            </w:r>
          </w:p>
        </w:tc>
        <w:tc>
          <w:tcPr>
            <w:tcW w:w="491" w:type="pct"/>
            <w:tcBorders>
              <w:top w:val="single" w:sz="4" w:space="0" w:color="auto"/>
            </w:tcBorders>
            <w:vAlign w:val="center"/>
          </w:tcPr>
          <w:p w14:paraId="493D935E" w14:textId="13211D24"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12%</w:t>
            </w:r>
          </w:p>
        </w:tc>
        <w:tc>
          <w:tcPr>
            <w:tcW w:w="490" w:type="pct"/>
            <w:tcBorders>
              <w:top w:val="single" w:sz="4" w:space="0" w:color="auto"/>
            </w:tcBorders>
            <w:vAlign w:val="center"/>
          </w:tcPr>
          <w:p w14:paraId="5DD63B47" w14:textId="13A66C27" w:rsidR="00BE4343" w:rsidRPr="00E5440E" w:rsidRDefault="00DB5AAE" w:rsidP="000666F9">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368,379</w:t>
            </w:r>
          </w:p>
        </w:tc>
        <w:tc>
          <w:tcPr>
            <w:tcW w:w="490" w:type="pct"/>
            <w:tcBorders>
              <w:top w:val="single" w:sz="4" w:space="0" w:color="auto"/>
            </w:tcBorders>
            <w:vAlign w:val="center"/>
          </w:tcPr>
          <w:p w14:paraId="7256634B" w14:textId="520592A9" w:rsidR="00BE4343" w:rsidRPr="00E5440E" w:rsidRDefault="00DB5AAE" w:rsidP="000666F9">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402,388</w:t>
            </w:r>
          </w:p>
        </w:tc>
        <w:tc>
          <w:tcPr>
            <w:tcW w:w="487" w:type="pct"/>
            <w:tcBorders>
              <w:top w:val="single" w:sz="4" w:space="0" w:color="auto"/>
            </w:tcBorders>
            <w:vAlign w:val="center"/>
          </w:tcPr>
          <w:p w14:paraId="0F09B2A8" w14:textId="41237F96" w:rsidR="00BE4343" w:rsidRPr="00E5440E" w:rsidRDefault="00DB5AAE" w:rsidP="000666F9">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-8%</w:t>
            </w:r>
          </w:p>
        </w:tc>
      </w:tr>
      <w:tr w:rsidR="00BE4343" w:rsidRPr="00E5440E" w14:paraId="72A5C121" w14:textId="0217991F" w:rsidTr="0045280B">
        <w:trPr>
          <w:trHeight w:val="238"/>
        </w:trPr>
        <w:tc>
          <w:tcPr>
            <w:tcW w:w="963" w:type="pct"/>
            <w:shd w:val="clear" w:color="auto" w:fill="auto"/>
            <w:noWrap/>
            <w:vAlign w:val="center"/>
          </w:tcPr>
          <w:p w14:paraId="387F8CC0" w14:textId="0CDB7106" w:rsidR="00BE4343" w:rsidRPr="00E5440E" w:rsidRDefault="00BE4343" w:rsidP="00BE4343">
            <w:pPr>
              <w:spacing w:after="0" w:line="240" w:lineRule="auto"/>
              <w:jc w:val="both"/>
              <w:rPr>
                <w:rFonts w:ascii="Arial" w:eastAsia="Times New Roman" w:hAnsi="Arial" w:cs="Arial"/>
                <w:i/>
                <w:color w:val="000000"/>
                <w:sz w:val="20"/>
                <w:szCs w:val="20"/>
                <w:lang w:eastAsia="ru-RU"/>
              </w:rPr>
            </w:pPr>
            <w:r w:rsidRPr="00E5440E">
              <w:rPr>
                <w:rFonts w:ascii="Arial" w:eastAsia="Times New Roman" w:hAnsi="Arial" w:cs="Arial"/>
                <w:i/>
                <w:color w:val="000000"/>
                <w:sz w:val="20"/>
                <w:szCs w:val="20"/>
                <w:lang w:eastAsia="ru-RU"/>
              </w:rPr>
              <w:t xml:space="preserve">Domestic sales volume, </w:t>
            </w:r>
            <w:proofErr w:type="spellStart"/>
            <w:r w:rsidRPr="00E5440E">
              <w:rPr>
                <w:rFonts w:ascii="Arial" w:eastAsia="Times New Roman" w:hAnsi="Arial" w:cs="Arial"/>
                <w:i/>
                <w:color w:val="000000"/>
                <w:sz w:val="20"/>
                <w:szCs w:val="20"/>
                <w:lang w:eastAsia="ru-RU"/>
              </w:rPr>
              <w:t>tonnes</w:t>
            </w:r>
            <w:proofErr w:type="spellEnd"/>
          </w:p>
        </w:tc>
        <w:tc>
          <w:tcPr>
            <w:tcW w:w="114" w:type="pct"/>
            <w:vAlign w:val="center"/>
          </w:tcPr>
          <w:p w14:paraId="10477B38" w14:textId="77777777" w:rsidR="00BE4343" w:rsidRPr="00E5440E" w:rsidRDefault="00BE4343" w:rsidP="00BE4343">
            <w:pPr>
              <w:spacing w:after="0" w:line="240" w:lineRule="auto"/>
              <w:jc w:val="right"/>
              <w:rPr>
                <w:rFonts w:ascii="Arial" w:eastAsia="Times New Roman" w:hAnsi="Arial" w:cs="Arial"/>
                <w:i/>
                <w:color w:val="000000"/>
                <w:sz w:val="20"/>
                <w:szCs w:val="20"/>
                <w:lang w:eastAsia="ru-RU"/>
              </w:rPr>
            </w:pPr>
          </w:p>
        </w:tc>
        <w:tc>
          <w:tcPr>
            <w:tcW w:w="492" w:type="pct"/>
            <w:shd w:val="clear" w:color="auto" w:fill="auto"/>
            <w:noWrap/>
            <w:vAlign w:val="center"/>
          </w:tcPr>
          <w:p w14:paraId="214EC22D" w14:textId="41A7F55C"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77,777</w:t>
            </w:r>
          </w:p>
        </w:tc>
        <w:tc>
          <w:tcPr>
            <w:tcW w:w="555" w:type="pct"/>
            <w:shd w:val="clear" w:color="auto" w:fill="auto"/>
            <w:noWrap/>
            <w:vAlign w:val="center"/>
          </w:tcPr>
          <w:p w14:paraId="657BFFFA" w14:textId="398086DB"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75,187</w:t>
            </w:r>
          </w:p>
        </w:tc>
        <w:tc>
          <w:tcPr>
            <w:tcW w:w="427" w:type="pct"/>
            <w:shd w:val="clear" w:color="auto" w:fill="auto"/>
            <w:noWrap/>
            <w:vAlign w:val="center"/>
          </w:tcPr>
          <w:p w14:paraId="61180C89" w14:textId="325764D3"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3%</w:t>
            </w:r>
          </w:p>
        </w:tc>
        <w:tc>
          <w:tcPr>
            <w:tcW w:w="491" w:type="pct"/>
            <w:vAlign w:val="center"/>
          </w:tcPr>
          <w:p w14:paraId="70B4301A" w14:textId="6C29D5FA" w:rsidR="00BE4343" w:rsidRPr="00E5440E" w:rsidRDefault="00DB5AAE" w:rsidP="00BE4343">
            <w:pPr>
              <w:spacing w:after="0" w:line="240" w:lineRule="auto"/>
              <w:jc w:val="right"/>
              <w:rPr>
                <w:rFonts w:ascii="Arial" w:eastAsia="Times New Roman" w:hAnsi="Arial" w:cs="Arial"/>
                <w:bCs/>
                <w:i/>
                <w:color w:val="000000"/>
                <w:sz w:val="20"/>
                <w:szCs w:val="20"/>
                <w:lang w:eastAsia="ru-RU"/>
              </w:rPr>
            </w:pPr>
            <w:r w:rsidRPr="000D120B">
              <w:rPr>
                <w:rFonts w:ascii="Arial" w:hAnsi="Arial" w:cs="Arial"/>
                <w:i/>
                <w:sz w:val="20"/>
                <w:szCs w:val="20"/>
              </w:rPr>
              <w:t>78,137</w:t>
            </w:r>
          </w:p>
        </w:tc>
        <w:tc>
          <w:tcPr>
            <w:tcW w:w="491" w:type="pct"/>
            <w:vAlign w:val="center"/>
          </w:tcPr>
          <w:p w14:paraId="17D933A3" w14:textId="051D20FE"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0%</w:t>
            </w:r>
          </w:p>
        </w:tc>
        <w:tc>
          <w:tcPr>
            <w:tcW w:w="490" w:type="pct"/>
            <w:vAlign w:val="center"/>
          </w:tcPr>
          <w:p w14:paraId="4FD5BCC9" w14:textId="1D90D497" w:rsidR="00BE4343" w:rsidRPr="00E5440E" w:rsidRDefault="00DB5AAE" w:rsidP="000666F9">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297,596</w:t>
            </w:r>
          </w:p>
        </w:tc>
        <w:tc>
          <w:tcPr>
            <w:tcW w:w="490" w:type="pct"/>
            <w:vAlign w:val="center"/>
          </w:tcPr>
          <w:p w14:paraId="71B1E1E4" w14:textId="008DFD23" w:rsidR="00BE4343" w:rsidRPr="00E5440E" w:rsidRDefault="00DB5AAE" w:rsidP="000666F9">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301,622</w:t>
            </w:r>
          </w:p>
        </w:tc>
        <w:tc>
          <w:tcPr>
            <w:tcW w:w="487" w:type="pct"/>
            <w:vAlign w:val="center"/>
          </w:tcPr>
          <w:p w14:paraId="5E59F5AE" w14:textId="4681F63B" w:rsidR="00BE4343" w:rsidRPr="00E5440E" w:rsidRDefault="00DB5AAE" w:rsidP="000666F9">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w:t>
            </w:r>
          </w:p>
        </w:tc>
      </w:tr>
      <w:tr w:rsidR="00BE4343" w:rsidRPr="00E5440E" w14:paraId="18D5E386" w14:textId="3C32EFA0" w:rsidTr="000666F9">
        <w:trPr>
          <w:trHeight w:val="281"/>
        </w:trPr>
        <w:tc>
          <w:tcPr>
            <w:tcW w:w="963" w:type="pct"/>
            <w:tcBorders>
              <w:top w:val="double" w:sz="4" w:space="0" w:color="auto"/>
            </w:tcBorders>
            <w:shd w:val="clear" w:color="auto" w:fill="auto"/>
            <w:noWrap/>
            <w:vAlign w:val="center"/>
          </w:tcPr>
          <w:p w14:paraId="605D9AD7" w14:textId="0834C2AA" w:rsidR="00BE4343" w:rsidRPr="00E5440E" w:rsidRDefault="00BE4343" w:rsidP="00BE4343">
            <w:pPr>
              <w:spacing w:after="0" w:line="240" w:lineRule="auto"/>
              <w:jc w:val="both"/>
              <w:rPr>
                <w:rFonts w:ascii="Arial" w:eastAsia="Times New Roman" w:hAnsi="Arial" w:cs="Arial"/>
                <w:i/>
                <w:color w:val="000000"/>
                <w:sz w:val="20"/>
                <w:szCs w:val="20"/>
                <w:lang w:eastAsia="ru-RU"/>
              </w:rPr>
            </w:pPr>
            <w:r w:rsidRPr="00E5440E">
              <w:rPr>
                <w:rFonts w:ascii="Arial" w:eastAsia="Times New Roman" w:hAnsi="Arial" w:cs="Arial"/>
                <w:i/>
                <w:color w:val="000000"/>
                <w:sz w:val="20"/>
                <w:szCs w:val="20"/>
                <w:lang w:eastAsia="ru-RU"/>
              </w:rPr>
              <w:t>Portion of export sales, %</w:t>
            </w:r>
          </w:p>
        </w:tc>
        <w:tc>
          <w:tcPr>
            <w:tcW w:w="114" w:type="pct"/>
            <w:vAlign w:val="center"/>
          </w:tcPr>
          <w:p w14:paraId="020A1E79" w14:textId="77777777" w:rsidR="00BE4343" w:rsidRPr="00E5440E" w:rsidRDefault="00BE4343" w:rsidP="00BE4343">
            <w:pPr>
              <w:spacing w:after="0" w:line="240" w:lineRule="auto"/>
              <w:jc w:val="right"/>
              <w:rPr>
                <w:rFonts w:ascii="Arial" w:eastAsia="Times New Roman" w:hAnsi="Arial" w:cs="Arial"/>
                <w:i/>
                <w:color w:val="000000"/>
                <w:sz w:val="20"/>
                <w:szCs w:val="20"/>
                <w:lang w:eastAsia="ru-RU"/>
              </w:rPr>
            </w:pPr>
          </w:p>
        </w:tc>
        <w:tc>
          <w:tcPr>
            <w:tcW w:w="492" w:type="pct"/>
            <w:tcBorders>
              <w:top w:val="double" w:sz="4" w:space="0" w:color="auto"/>
            </w:tcBorders>
            <w:shd w:val="clear" w:color="auto" w:fill="auto"/>
            <w:noWrap/>
            <w:vAlign w:val="center"/>
          </w:tcPr>
          <w:p w14:paraId="593FBECE" w14:textId="6A54D911"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59%</w:t>
            </w:r>
          </w:p>
        </w:tc>
        <w:tc>
          <w:tcPr>
            <w:tcW w:w="555" w:type="pct"/>
            <w:tcBorders>
              <w:top w:val="double" w:sz="4" w:space="0" w:color="auto"/>
            </w:tcBorders>
            <w:shd w:val="clear" w:color="auto" w:fill="auto"/>
            <w:noWrap/>
            <w:vAlign w:val="center"/>
          </w:tcPr>
          <w:p w14:paraId="7D87BD2D" w14:textId="7021004A"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58%</w:t>
            </w:r>
          </w:p>
        </w:tc>
        <w:tc>
          <w:tcPr>
            <w:tcW w:w="427" w:type="pct"/>
            <w:tcBorders>
              <w:top w:val="double" w:sz="4" w:space="0" w:color="auto"/>
            </w:tcBorders>
            <w:shd w:val="clear" w:color="auto" w:fill="auto"/>
            <w:noWrap/>
            <w:vAlign w:val="center"/>
          </w:tcPr>
          <w:p w14:paraId="5B715E1C" w14:textId="4175B2B2"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2%</w:t>
            </w:r>
          </w:p>
        </w:tc>
        <w:tc>
          <w:tcPr>
            <w:tcW w:w="491" w:type="pct"/>
            <w:tcBorders>
              <w:top w:val="double" w:sz="4" w:space="0" w:color="auto"/>
            </w:tcBorders>
            <w:vAlign w:val="center"/>
          </w:tcPr>
          <w:p w14:paraId="476730AB" w14:textId="2A862A49" w:rsidR="00BE4343" w:rsidRPr="00E5440E" w:rsidRDefault="00DB5AAE" w:rsidP="00BE4343">
            <w:pPr>
              <w:spacing w:after="0" w:line="240" w:lineRule="auto"/>
              <w:jc w:val="right"/>
              <w:rPr>
                <w:rFonts w:ascii="Arial" w:eastAsia="Times New Roman" w:hAnsi="Arial" w:cs="Arial"/>
                <w:bCs/>
                <w:i/>
                <w:color w:val="000000"/>
                <w:sz w:val="20"/>
                <w:szCs w:val="20"/>
                <w:lang w:eastAsia="ru-RU"/>
              </w:rPr>
            </w:pPr>
            <w:r w:rsidRPr="000D120B">
              <w:rPr>
                <w:rFonts w:ascii="Arial" w:hAnsi="Arial" w:cs="Arial"/>
                <w:i/>
                <w:sz w:val="20"/>
                <w:szCs w:val="20"/>
              </w:rPr>
              <w:t>56%</w:t>
            </w:r>
          </w:p>
        </w:tc>
        <w:tc>
          <w:tcPr>
            <w:tcW w:w="491" w:type="pct"/>
            <w:tcBorders>
              <w:top w:val="double" w:sz="4" w:space="0" w:color="auto"/>
            </w:tcBorders>
            <w:vAlign w:val="center"/>
          </w:tcPr>
          <w:p w14:paraId="1BD8FFDF" w14:textId="6239A2EB" w:rsidR="00BE4343" w:rsidRPr="00E5440E" w:rsidRDefault="00DB5AAE" w:rsidP="00BE4343">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5%</w:t>
            </w:r>
          </w:p>
        </w:tc>
        <w:tc>
          <w:tcPr>
            <w:tcW w:w="490" w:type="pct"/>
            <w:tcBorders>
              <w:top w:val="double" w:sz="4" w:space="0" w:color="auto"/>
            </w:tcBorders>
            <w:vAlign w:val="center"/>
          </w:tcPr>
          <w:p w14:paraId="17705208" w14:textId="34B668F1" w:rsidR="00BE4343" w:rsidRPr="00E5440E" w:rsidRDefault="00DB5AAE" w:rsidP="000666F9">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55%</w:t>
            </w:r>
          </w:p>
        </w:tc>
        <w:tc>
          <w:tcPr>
            <w:tcW w:w="490" w:type="pct"/>
            <w:tcBorders>
              <w:top w:val="double" w:sz="4" w:space="0" w:color="auto"/>
            </w:tcBorders>
            <w:vAlign w:val="center"/>
          </w:tcPr>
          <w:p w14:paraId="6E9937D8" w14:textId="1E860A59" w:rsidR="00BE4343" w:rsidRPr="00E5440E" w:rsidRDefault="00DB5AAE" w:rsidP="000666F9">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57%</w:t>
            </w:r>
          </w:p>
        </w:tc>
        <w:tc>
          <w:tcPr>
            <w:tcW w:w="487" w:type="pct"/>
            <w:tcBorders>
              <w:top w:val="double" w:sz="4" w:space="0" w:color="auto"/>
            </w:tcBorders>
            <w:vAlign w:val="center"/>
          </w:tcPr>
          <w:p w14:paraId="091FAEAF" w14:textId="6E316729" w:rsidR="00BE4343" w:rsidRPr="00E5440E" w:rsidRDefault="00DB5AAE" w:rsidP="000666F9">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-4%</w:t>
            </w:r>
          </w:p>
        </w:tc>
      </w:tr>
      <w:tr w:rsidR="00BE4343" w:rsidRPr="00E5440E" w14:paraId="00786A55" w14:textId="1F7D3616" w:rsidTr="000666F9">
        <w:trPr>
          <w:trHeight w:val="368"/>
        </w:trPr>
        <w:tc>
          <w:tcPr>
            <w:tcW w:w="963" w:type="pct"/>
            <w:shd w:val="clear" w:color="auto" w:fill="auto"/>
            <w:noWrap/>
            <w:vAlign w:val="center"/>
          </w:tcPr>
          <w:p w14:paraId="686D5535" w14:textId="7373AAB8" w:rsidR="00BE4343" w:rsidRPr="00E5440E" w:rsidRDefault="00BE4343" w:rsidP="00BE4343">
            <w:pPr>
              <w:spacing w:after="0" w:line="240" w:lineRule="auto"/>
              <w:jc w:val="both"/>
              <w:rPr>
                <w:rFonts w:ascii="Arial" w:eastAsia="Times New Roman" w:hAnsi="Arial" w:cs="Arial"/>
                <w:b/>
                <w:bCs/>
                <w:color w:val="000000"/>
                <w:sz w:val="20"/>
                <w:szCs w:val="20"/>
                <w:lang w:eastAsia="ru-RU"/>
              </w:rPr>
            </w:pPr>
            <w:r w:rsidRPr="00E5440E">
              <w:rPr>
                <w:rFonts w:ascii="Arial" w:eastAsia="Times New Roman" w:hAnsi="Arial" w:cs="Arial"/>
                <w:b/>
                <w:bCs/>
                <w:color w:val="000000"/>
                <w:sz w:val="20"/>
                <w:szCs w:val="20"/>
                <w:lang w:eastAsia="ru-RU"/>
              </w:rPr>
              <w:t>Average price per 1 kg net of VAT, USD</w:t>
            </w:r>
          </w:p>
        </w:tc>
        <w:tc>
          <w:tcPr>
            <w:tcW w:w="114" w:type="pct"/>
            <w:vAlign w:val="center"/>
          </w:tcPr>
          <w:p w14:paraId="456AB05D" w14:textId="77777777" w:rsidR="00BE4343" w:rsidRPr="00E5440E" w:rsidRDefault="00BE4343" w:rsidP="00BE4343">
            <w:pPr>
              <w:spacing w:after="0" w:line="240" w:lineRule="auto"/>
              <w:jc w:val="right"/>
              <w:rPr>
                <w:rFonts w:ascii="Arial" w:eastAsia="Times New Roman" w:hAnsi="Arial" w:cs="Arial"/>
                <w:b/>
                <w:bCs/>
                <w:color w:val="000000"/>
                <w:sz w:val="20"/>
                <w:szCs w:val="20"/>
                <w:lang w:eastAsia="ru-RU"/>
              </w:rPr>
            </w:pPr>
          </w:p>
        </w:tc>
        <w:tc>
          <w:tcPr>
            <w:tcW w:w="492" w:type="pct"/>
            <w:shd w:val="clear" w:color="auto" w:fill="auto"/>
            <w:noWrap/>
            <w:vAlign w:val="center"/>
          </w:tcPr>
          <w:p w14:paraId="28FCBF05" w14:textId="1E86B4DA" w:rsidR="00BE4343" w:rsidRPr="00E5440E" w:rsidRDefault="00DB5AAE" w:rsidP="00BE4343">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1.87</w:t>
            </w:r>
          </w:p>
        </w:tc>
        <w:tc>
          <w:tcPr>
            <w:tcW w:w="555" w:type="pct"/>
            <w:shd w:val="clear" w:color="auto" w:fill="auto"/>
            <w:noWrap/>
            <w:vAlign w:val="center"/>
          </w:tcPr>
          <w:p w14:paraId="0338F77D" w14:textId="71831E9A" w:rsidR="00BE4343" w:rsidRPr="00E5440E" w:rsidRDefault="00DB5AAE" w:rsidP="00BE4343">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1.77</w:t>
            </w:r>
          </w:p>
        </w:tc>
        <w:tc>
          <w:tcPr>
            <w:tcW w:w="427" w:type="pct"/>
            <w:shd w:val="clear" w:color="auto" w:fill="auto"/>
            <w:noWrap/>
            <w:vAlign w:val="center"/>
          </w:tcPr>
          <w:p w14:paraId="3B7B33A1" w14:textId="4BA0A4BE" w:rsidR="00BE4343" w:rsidRPr="00E5440E" w:rsidRDefault="00DB5AAE" w:rsidP="00BE4343">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6%</w:t>
            </w:r>
          </w:p>
        </w:tc>
        <w:tc>
          <w:tcPr>
            <w:tcW w:w="491" w:type="pct"/>
            <w:vAlign w:val="center"/>
          </w:tcPr>
          <w:p w14:paraId="3E5F5F7A" w14:textId="1C58D336" w:rsidR="00BE4343" w:rsidRPr="00E5440E" w:rsidRDefault="00DB5AAE" w:rsidP="00BE4343">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2.00</w:t>
            </w:r>
          </w:p>
        </w:tc>
        <w:tc>
          <w:tcPr>
            <w:tcW w:w="491" w:type="pct"/>
            <w:vAlign w:val="center"/>
          </w:tcPr>
          <w:p w14:paraId="285365EE" w14:textId="48521DA6" w:rsidR="00BE4343" w:rsidRPr="00E5440E" w:rsidRDefault="00DB5AAE" w:rsidP="00BE4343">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-6%</w:t>
            </w:r>
          </w:p>
        </w:tc>
        <w:tc>
          <w:tcPr>
            <w:tcW w:w="490" w:type="pct"/>
            <w:vAlign w:val="center"/>
          </w:tcPr>
          <w:p w14:paraId="00CCF3DD" w14:textId="6BEB7A67" w:rsidR="00BE4343" w:rsidRPr="00E5440E" w:rsidRDefault="00DB5AAE" w:rsidP="000666F9">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1.95</w:t>
            </w:r>
          </w:p>
        </w:tc>
        <w:tc>
          <w:tcPr>
            <w:tcW w:w="490" w:type="pct"/>
            <w:vAlign w:val="center"/>
          </w:tcPr>
          <w:p w14:paraId="33C4C9ED" w14:textId="3649BDF5" w:rsidR="00BE4343" w:rsidRPr="00E5440E" w:rsidRDefault="00DB5AAE" w:rsidP="000666F9">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1.67</w:t>
            </w:r>
          </w:p>
        </w:tc>
        <w:tc>
          <w:tcPr>
            <w:tcW w:w="487" w:type="pct"/>
            <w:vAlign w:val="center"/>
          </w:tcPr>
          <w:p w14:paraId="21909A8C" w14:textId="792921E9" w:rsidR="00BE4343" w:rsidRPr="00E5440E" w:rsidRDefault="00DB5AAE" w:rsidP="000666F9">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17%</w:t>
            </w:r>
          </w:p>
        </w:tc>
      </w:tr>
      <w:tr w:rsidR="00BE4343" w:rsidRPr="00E5440E" w14:paraId="0D4D56C8" w14:textId="4385BB4F" w:rsidTr="00CD3CD3">
        <w:trPr>
          <w:trHeight w:hRule="exact" w:val="747"/>
        </w:trPr>
        <w:tc>
          <w:tcPr>
            <w:tcW w:w="963" w:type="pct"/>
            <w:tcBorders>
              <w:top w:val="single" w:sz="2" w:space="0" w:color="auto"/>
            </w:tcBorders>
            <w:shd w:val="clear" w:color="auto" w:fill="auto"/>
            <w:noWrap/>
            <w:vAlign w:val="center"/>
          </w:tcPr>
          <w:p w14:paraId="0E72BF15" w14:textId="4FCF714B" w:rsidR="00BE4343" w:rsidRPr="00E5440E" w:rsidRDefault="00BE4343" w:rsidP="00BE4343">
            <w:pPr>
              <w:spacing w:after="0" w:line="240" w:lineRule="auto"/>
              <w:jc w:val="both"/>
              <w:rPr>
                <w:rFonts w:ascii="Arial" w:eastAsia="Times New Roman" w:hAnsi="Arial" w:cs="Arial"/>
                <w:b/>
                <w:bCs/>
                <w:i/>
                <w:iCs/>
                <w:color w:val="000000"/>
                <w:sz w:val="20"/>
                <w:szCs w:val="20"/>
                <w:lang w:eastAsia="ru-RU"/>
              </w:rPr>
            </w:pPr>
            <w:r w:rsidRPr="00E5440E">
              <w:rPr>
                <w:rFonts w:ascii="Arial" w:eastAsia="Times New Roman" w:hAnsi="Arial" w:cs="Arial"/>
                <w:i/>
                <w:iCs/>
                <w:color w:val="000000"/>
                <w:sz w:val="20"/>
                <w:szCs w:val="20"/>
                <w:lang w:eastAsia="ru-RU"/>
              </w:rPr>
              <w:t>Average price per 1 kg net of VAT, UAH (Ukraine)</w:t>
            </w:r>
          </w:p>
        </w:tc>
        <w:tc>
          <w:tcPr>
            <w:tcW w:w="114" w:type="pct"/>
            <w:vAlign w:val="center"/>
          </w:tcPr>
          <w:p w14:paraId="631943BF" w14:textId="77777777" w:rsidR="00BE4343" w:rsidRPr="00E5440E" w:rsidRDefault="00BE4343" w:rsidP="00BE4343">
            <w:pPr>
              <w:spacing w:after="0" w:line="240" w:lineRule="auto"/>
              <w:jc w:val="both"/>
              <w:rPr>
                <w:rFonts w:ascii="Arial" w:eastAsia="Times New Roman" w:hAnsi="Arial" w:cs="Arial"/>
                <w:i/>
                <w:iCs/>
                <w:color w:val="000000"/>
                <w:sz w:val="20"/>
                <w:szCs w:val="20"/>
                <w:lang w:eastAsia="ru-RU"/>
              </w:rPr>
            </w:pPr>
          </w:p>
        </w:tc>
        <w:tc>
          <w:tcPr>
            <w:tcW w:w="492" w:type="pct"/>
            <w:tcBorders>
              <w:top w:val="single" w:sz="2" w:space="0" w:color="auto"/>
            </w:tcBorders>
            <w:shd w:val="clear" w:color="auto" w:fill="auto"/>
            <w:noWrap/>
            <w:vAlign w:val="center"/>
          </w:tcPr>
          <w:p w14:paraId="5B48DC4A" w14:textId="048DC940"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48.80</w:t>
            </w:r>
          </w:p>
        </w:tc>
        <w:tc>
          <w:tcPr>
            <w:tcW w:w="555" w:type="pct"/>
            <w:tcBorders>
              <w:top w:val="single" w:sz="2" w:space="0" w:color="auto"/>
            </w:tcBorders>
            <w:shd w:val="clear" w:color="auto" w:fill="auto"/>
            <w:noWrap/>
            <w:vAlign w:val="center"/>
          </w:tcPr>
          <w:p w14:paraId="1537DDEC" w14:textId="4F21B5CE"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46.76</w:t>
            </w:r>
          </w:p>
        </w:tc>
        <w:tc>
          <w:tcPr>
            <w:tcW w:w="427" w:type="pct"/>
            <w:tcBorders>
              <w:top w:val="single" w:sz="2" w:space="0" w:color="auto"/>
            </w:tcBorders>
            <w:shd w:val="clear" w:color="auto" w:fill="auto"/>
            <w:noWrap/>
            <w:vAlign w:val="center"/>
          </w:tcPr>
          <w:p w14:paraId="1B4974D0" w14:textId="6451917C"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4%</w:t>
            </w:r>
          </w:p>
        </w:tc>
        <w:tc>
          <w:tcPr>
            <w:tcW w:w="491" w:type="pct"/>
            <w:tcBorders>
              <w:top w:val="single" w:sz="2" w:space="0" w:color="auto"/>
            </w:tcBorders>
            <w:vAlign w:val="center"/>
          </w:tcPr>
          <w:p w14:paraId="56EBCDA5" w14:textId="5F6655E6" w:rsidR="00BE4343" w:rsidRPr="00E5440E" w:rsidRDefault="00DB5AAE" w:rsidP="00BE4343">
            <w:pPr>
              <w:spacing w:after="0" w:line="240" w:lineRule="auto"/>
              <w:jc w:val="right"/>
              <w:rPr>
                <w:rFonts w:ascii="Arial" w:eastAsia="Times New Roman" w:hAnsi="Arial" w:cs="Arial"/>
                <w:bCs/>
                <w:i/>
                <w:iCs/>
                <w:color w:val="000000"/>
                <w:sz w:val="20"/>
                <w:szCs w:val="20"/>
                <w:lang w:eastAsia="ru-RU"/>
              </w:rPr>
            </w:pPr>
            <w:r w:rsidRPr="000D120B">
              <w:rPr>
                <w:rFonts w:ascii="Arial" w:hAnsi="Arial" w:cs="Arial"/>
                <w:i/>
                <w:iCs/>
                <w:sz w:val="20"/>
                <w:szCs w:val="20"/>
              </w:rPr>
              <w:t>47.30</w:t>
            </w:r>
          </w:p>
        </w:tc>
        <w:tc>
          <w:tcPr>
            <w:tcW w:w="491" w:type="pct"/>
            <w:tcBorders>
              <w:top w:val="single" w:sz="2" w:space="0" w:color="auto"/>
            </w:tcBorders>
            <w:vAlign w:val="center"/>
          </w:tcPr>
          <w:p w14:paraId="40BB51ED" w14:textId="530CF1B0"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3%</w:t>
            </w:r>
          </w:p>
        </w:tc>
        <w:tc>
          <w:tcPr>
            <w:tcW w:w="490" w:type="pct"/>
            <w:tcBorders>
              <w:top w:val="single" w:sz="2" w:space="0" w:color="auto"/>
            </w:tcBorders>
            <w:vAlign w:val="center"/>
          </w:tcPr>
          <w:p w14:paraId="05EFF977" w14:textId="0A60F621" w:rsidR="00BE4343" w:rsidRPr="00E5440E" w:rsidRDefault="00DB5AAE" w:rsidP="000666F9">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47.01</w:t>
            </w:r>
          </w:p>
        </w:tc>
        <w:tc>
          <w:tcPr>
            <w:tcW w:w="490" w:type="pct"/>
            <w:tcBorders>
              <w:top w:val="single" w:sz="2" w:space="0" w:color="auto"/>
            </w:tcBorders>
            <w:vAlign w:val="center"/>
          </w:tcPr>
          <w:p w14:paraId="0A753108" w14:textId="68ABDA2C" w:rsidR="00BE4343" w:rsidRPr="00E5440E" w:rsidRDefault="00DB5AAE" w:rsidP="000666F9">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45.37</w:t>
            </w:r>
          </w:p>
        </w:tc>
        <w:tc>
          <w:tcPr>
            <w:tcW w:w="487" w:type="pct"/>
            <w:tcBorders>
              <w:top w:val="single" w:sz="2" w:space="0" w:color="auto"/>
            </w:tcBorders>
            <w:vAlign w:val="center"/>
          </w:tcPr>
          <w:p w14:paraId="7C6FA65A" w14:textId="40BCBDF0" w:rsidR="00BE4343" w:rsidRPr="00E5440E" w:rsidRDefault="00DB5AAE" w:rsidP="000666F9">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4%</w:t>
            </w:r>
          </w:p>
        </w:tc>
      </w:tr>
      <w:tr w:rsidR="00BE4343" w:rsidRPr="00E5440E" w14:paraId="531CD1BA" w14:textId="624DD709" w:rsidTr="000666F9">
        <w:trPr>
          <w:trHeight w:val="557"/>
        </w:trPr>
        <w:tc>
          <w:tcPr>
            <w:tcW w:w="963" w:type="pct"/>
            <w:shd w:val="clear" w:color="auto" w:fill="auto"/>
            <w:noWrap/>
            <w:vAlign w:val="center"/>
          </w:tcPr>
          <w:p w14:paraId="6B06E8C8" w14:textId="0223216F" w:rsidR="00BE4343" w:rsidRPr="00E5440E" w:rsidRDefault="00BE4343" w:rsidP="00BE4343">
            <w:pPr>
              <w:spacing w:after="0" w:line="240" w:lineRule="auto"/>
              <w:jc w:val="both"/>
              <w:rPr>
                <w:rFonts w:ascii="Arial" w:eastAsia="Times New Roman" w:hAnsi="Arial" w:cs="Arial"/>
                <w:i/>
                <w:iCs/>
                <w:color w:val="000000"/>
                <w:sz w:val="20"/>
                <w:szCs w:val="20"/>
                <w:lang w:eastAsia="ru-RU"/>
              </w:rPr>
            </w:pPr>
            <w:r w:rsidRPr="00E5440E">
              <w:rPr>
                <w:rFonts w:ascii="Arial" w:eastAsia="Times New Roman" w:hAnsi="Arial" w:cs="Arial"/>
                <w:i/>
                <w:iCs/>
                <w:color w:val="000000"/>
                <w:sz w:val="20"/>
                <w:szCs w:val="20"/>
                <w:lang w:eastAsia="ru-RU"/>
              </w:rPr>
              <w:t xml:space="preserve">Average price per 1 kg net of VAT, </w:t>
            </w:r>
            <w:r w:rsidR="00FB1084" w:rsidRPr="00E5440E">
              <w:rPr>
                <w:rFonts w:ascii="Arial" w:eastAsia="Times New Roman" w:hAnsi="Arial" w:cs="Arial"/>
                <w:i/>
                <w:iCs/>
                <w:color w:val="000000"/>
                <w:sz w:val="20"/>
                <w:szCs w:val="20"/>
                <w:lang w:eastAsia="ru-RU"/>
              </w:rPr>
              <w:t>US</w:t>
            </w:r>
            <w:r w:rsidR="00FB1084">
              <w:rPr>
                <w:rFonts w:ascii="Arial" w:eastAsia="Times New Roman" w:hAnsi="Arial" w:cs="Arial"/>
                <w:i/>
                <w:iCs/>
                <w:color w:val="000000"/>
                <w:sz w:val="20"/>
                <w:szCs w:val="20"/>
                <w:lang w:eastAsia="ru-RU"/>
              </w:rPr>
              <w:t>$</w:t>
            </w:r>
            <w:r w:rsidR="00FB1084" w:rsidRPr="00E5440E">
              <w:rPr>
                <w:rFonts w:ascii="Arial" w:eastAsia="Times New Roman" w:hAnsi="Arial" w:cs="Arial"/>
                <w:i/>
                <w:iCs/>
                <w:color w:val="000000"/>
                <w:sz w:val="20"/>
                <w:szCs w:val="20"/>
                <w:lang w:eastAsia="ru-RU"/>
              </w:rPr>
              <w:t xml:space="preserve"> </w:t>
            </w:r>
            <w:r w:rsidRPr="00E5440E">
              <w:rPr>
                <w:rFonts w:ascii="Arial" w:eastAsia="Times New Roman" w:hAnsi="Arial" w:cs="Arial"/>
                <w:i/>
                <w:iCs/>
                <w:color w:val="000000"/>
                <w:sz w:val="20"/>
                <w:szCs w:val="20"/>
                <w:lang w:eastAsia="ru-RU"/>
              </w:rPr>
              <w:t>(Ukraine)</w:t>
            </w:r>
          </w:p>
        </w:tc>
        <w:tc>
          <w:tcPr>
            <w:tcW w:w="114" w:type="pct"/>
            <w:vAlign w:val="center"/>
          </w:tcPr>
          <w:p w14:paraId="031D2E5B" w14:textId="77777777" w:rsidR="00BE4343" w:rsidRPr="00E5440E" w:rsidRDefault="00BE4343" w:rsidP="00BE4343">
            <w:pPr>
              <w:spacing w:after="0" w:line="240" w:lineRule="auto"/>
              <w:jc w:val="both"/>
              <w:rPr>
                <w:rFonts w:ascii="Arial" w:eastAsia="Times New Roman" w:hAnsi="Arial" w:cs="Arial"/>
                <w:i/>
                <w:iCs/>
                <w:color w:val="000000"/>
                <w:sz w:val="20"/>
                <w:szCs w:val="20"/>
                <w:lang w:eastAsia="ru-RU"/>
              </w:rPr>
            </w:pPr>
          </w:p>
        </w:tc>
        <w:tc>
          <w:tcPr>
            <w:tcW w:w="492" w:type="pct"/>
            <w:shd w:val="clear" w:color="auto" w:fill="auto"/>
            <w:noWrap/>
            <w:vAlign w:val="center"/>
          </w:tcPr>
          <w:p w14:paraId="1188098A" w14:textId="6EEF0A96"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1.33</w:t>
            </w:r>
          </w:p>
        </w:tc>
        <w:tc>
          <w:tcPr>
            <w:tcW w:w="555" w:type="pct"/>
            <w:shd w:val="clear" w:color="auto" w:fill="auto"/>
            <w:noWrap/>
            <w:vAlign w:val="center"/>
          </w:tcPr>
          <w:p w14:paraId="2AE2BA9E" w14:textId="101D4ACE"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1.75</w:t>
            </w:r>
          </w:p>
        </w:tc>
        <w:tc>
          <w:tcPr>
            <w:tcW w:w="427" w:type="pct"/>
            <w:shd w:val="clear" w:color="auto" w:fill="auto"/>
            <w:noWrap/>
            <w:vAlign w:val="center"/>
          </w:tcPr>
          <w:p w14:paraId="571E14D1" w14:textId="6550B7B4"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-24%</w:t>
            </w:r>
          </w:p>
        </w:tc>
        <w:tc>
          <w:tcPr>
            <w:tcW w:w="491" w:type="pct"/>
            <w:vAlign w:val="center"/>
          </w:tcPr>
          <w:p w14:paraId="5459A3BE" w14:textId="2808164E" w:rsidR="00BE4343" w:rsidRPr="00E5440E" w:rsidRDefault="00DB5AAE" w:rsidP="00BE4343">
            <w:pPr>
              <w:spacing w:after="0" w:line="240" w:lineRule="auto"/>
              <w:jc w:val="right"/>
              <w:rPr>
                <w:rFonts w:ascii="Arial" w:eastAsia="Times New Roman" w:hAnsi="Arial" w:cs="Arial"/>
                <w:bCs/>
                <w:i/>
                <w:iCs/>
                <w:color w:val="000000"/>
                <w:sz w:val="20"/>
                <w:szCs w:val="20"/>
                <w:lang w:eastAsia="ru-RU"/>
              </w:rPr>
            </w:pPr>
            <w:r w:rsidRPr="000D120B">
              <w:rPr>
                <w:rFonts w:ascii="Arial" w:hAnsi="Arial" w:cs="Arial"/>
                <w:i/>
                <w:iCs/>
                <w:sz w:val="20"/>
                <w:szCs w:val="20"/>
              </w:rPr>
              <w:t>1.35</w:t>
            </w:r>
          </w:p>
        </w:tc>
        <w:tc>
          <w:tcPr>
            <w:tcW w:w="491" w:type="pct"/>
            <w:vAlign w:val="center"/>
          </w:tcPr>
          <w:p w14:paraId="37DA5A91" w14:textId="4139A16D"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-1%</w:t>
            </w:r>
          </w:p>
        </w:tc>
        <w:tc>
          <w:tcPr>
            <w:tcW w:w="490" w:type="pct"/>
            <w:vAlign w:val="center"/>
          </w:tcPr>
          <w:p w14:paraId="1758C9D1" w14:textId="5F43DC27" w:rsidR="00BE4343" w:rsidRPr="00E5440E" w:rsidRDefault="00DB5AAE" w:rsidP="000666F9">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1.45</w:t>
            </w:r>
          </w:p>
        </w:tc>
        <w:tc>
          <w:tcPr>
            <w:tcW w:w="490" w:type="pct"/>
            <w:vAlign w:val="center"/>
          </w:tcPr>
          <w:p w14:paraId="4B6DD1E6" w14:textId="462048C5" w:rsidR="00BE4343" w:rsidRPr="00E5440E" w:rsidRDefault="00DB5AAE" w:rsidP="000666F9">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1.66</w:t>
            </w:r>
          </w:p>
        </w:tc>
        <w:tc>
          <w:tcPr>
            <w:tcW w:w="487" w:type="pct"/>
            <w:vAlign w:val="center"/>
          </w:tcPr>
          <w:p w14:paraId="5F3F5659" w14:textId="79372F40" w:rsidR="00BE4343" w:rsidRPr="00E5440E" w:rsidRDefault="00DB5AAE" w:rsidP="000666F9">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-13%</w:t>
            </w:r>
          </w:p>
        </w:tc>
      </w:tr>
      <w:tr w:rsidR="00BE4343" w:rsidRPr="00E5440E" w14:paraId="25888D5B" w14:textId="1BE08B9F" w:rsidTr="000666F9">
        <w:trPr>
          <w:trHeight w:val="565"/>
        </w:trPr>
        <w:tc>
          <w:tcPr>
            <w:tcW w:w="963" w:type="pct"/>
            <w:tcBorders>
              <w:bottom w:val="single" w:sz="4" w:space="0" w:color="auto"/>
            </w:tcBorders>
            <w:shd w:val="clear" w:color="auto" w:fill="auto"/>
            <w:noWrap/>
            <w:vAlign w:val="center"/>
          </w:tcPr>
          <w:p w14:paraId="521B1EF0" w14:textId="18C6429E" w:rsidR="00BE4343" w:rsidRPr="00E5440E" w:rsidRDefault="00BE4343" w:rsidP="00BE4343">
            <w:pPr>
              <w:spacing w:after="0" w:line="240" w:lineRule="auto"/>
              <w:jc w:val="both"/>
              <w:rPr>
                <w:rFonts w:ascii="Arial" w:eastAsia="Times New Roman" w:hAnsi="Arial" w:cs="Arial"/>
                <w:i/>
                <w:iCs/>
                <w:color w:val="000000"/>
                <w:sz w:val="20"/>
                <w:szCs w:val="20"/>
                <w:lang w:eastAsia="ru-RU"/>
              </w:rPr>
            </w:pPr>
            <w:r w:rsidRPr="00E5440E">
              <w:rPr>
                <w:rFonts w:ascii="Arial" w:eastAsia="Times New Roman" w:hAnsi="Arial" w:cs="Arial"/>
                <w:i/>
                <w:iCs/>
                <w:color w:val="000000"/>
                <w:sz w:val="20"/>
                <w:szCs w:val="20"/>
                <w:lang w:eastAsia="ru-RU"/>
              </w:rPr>
              <w:t xml:space="preserve">Average price per 1 kg net of VAT, </w:t>
            </w:r>
            <w:r w:rsidR="00FB1084" w:rsidRPr="00E5440E">
              <w:rPr>
                <w:rFonts w:ascii="Arial" w:eastAsia="Times New Roman" w:hAnsi="Arial" w:cs="Arial"/>
                <w:i/>
                <w:iCs/>
                <w:color w:val="000000"/>
                <w:sz w:val="20"/>
                <w:szCs w:val="20"/>
                <w:lang w:eastAsia="ru-RU"/>
              </w:rPr>
              <w:t>US</w:t>
            </w:r>
            <w:r w:rsidR="00FB1084">
              <w:rPr>
                <w:rFonts w:ascii="Arial" w:eastAsia="Times New Roman" w:hAnsi="Arial" w:cs="Arial"/>
                <w:i/>
                <w:iCs/>
                <w:color w:val="000000"/>
                <w:sz w:val="20"/>
                <w:szCs w:val="20"/>
                <w:lang w:eastAsia="ru-RU"/>
              </w:rPr>
              <w:t>$</w:t>
            </w:r>
            <w:r w:rsidR="00FB1084" w:rsidRPr="00E5440E">
              <w:rPr>
                <w:rFonts w:ascii="Arial" w:eastAsia="Times New Roman" w:hAnsi="Arial" w:cs="Arial"/>
                <w:i/>
                <w:iCs/>
                <w:color w:val="000000"/>
                <w:sz w:val="20"/>
                <w:szCs w:val="20"/>
                <w:lang w:eastAsia="ru-RU"/>
              </w:rPr>
              <w:t xml:space="preserve"> </w:t>
            </w:r>
            <w:r w:rsidRPr="00E5440E">
              <w:rPr>
                <w:rFonts w:ascii="Arial" w:eastAsia="Times New Roman" w:hAnsi="Arial" w:cs="Arial"/>
                <w:i/>
                <w:iCs/>
                <w:color w:val="000000"/>
                <w:sz w:val="20"/>
                <w:szCs w:val="20"/>
                <w:lang w:eastAsia="ru-RU"/>
              </w:rPr>
              <w:t>(export)</w:t>
            </w:r>
          </w:p>
        </w:tc>
        <w:tc>
          <w:tcPr>
            <w:tcW w:w="114" w:type="pct"/>
            <w:vAlign w:val="center"/>
          </w:tcPr>
          <w:p w14:paraId="757EC470" w14:textId="77777777" w:rsidR="00BE4343" w:rsidRPr="00E5440E" w:rsidRDefault="00BE4343" w:rsidP="00BE4343">
            <w:pPr>
              <w:spacing w:after="0" w:line="240" w:lineRule="auto"/>
              <w:jc w:val="both"/>
              <w:rPr>
                <w:rFonts w:ascii="Arial" w:eastAsia="Times New Roman" w:hAnsi="Arial" w:cs="Arial"/>
                <w:i/>
                <w:iCs/>
                <w:color w:val="000000"/>
                <w:sz w:val="20"/>
                <w:szCs w:val="20"/>
                <w:lang w:eastAsia="ru-RU"/>
              </w:rPr>
            </w:pPr>
          </w:p>
        </w:tc>
        <w:tc>
          <w:tcPr>
            <w:tcW w:w="492" w:type="pct"/>
            <w:tcBorders>
              <w:bottom w:val="single" w:sz="4" w:space="0" w:color="auto"/>
            </w:tcBorders>
            <w:shd w:val="clear" w:color="auto" w:fill="auto"/>
            <w:noWrap/>
            <w:vAlign w:val="center"/>
          </w:tcPr>
          <w:p w14:paraId="1B42E211" w14:textId="67AA2500"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2.22</w:t>
            </w:r>
          </w:p>
        </w:tc>
        <w:tc>
          <w:tcPr>
            <w:tcW w:w="555" w:type="pct"/>
            <w:tcBorders>
              <w:bottom w:val="single" w:sz="4" w:space="0" w:color="auto"/>
            </w:tcBorders>
            <w:shd w:val="clear" w:color="auto" w:fill="auto"/>
            <w:noWrap/>
            <w:vAlign w:val="center"/>
          </w:tcPr>
          <w:p w14:paraId="6FE776DF" w14:textId="52F08EF0"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1.77</w:t>
            </w:r>
          </w:p>
        </w:tc>
        <w:tc>
          <w:tcPr>
            <w:tcW w:w="427" w:type="pct"/>
            <w:tcBorders>
              <w:bottom w:val="single" w:sz="4" w:space="0" w:color="auto"/>
            </w:tcBorders>
            <w:shd w:val="clear" w:color="auto" w:fill="auto"/>
            <w:noWrap/>
            <w:vAlign w:val="center"/>
          </w:tcPr>
          <w:p w14:paraId="1DC83AE8" w14:textId="5A25FE8C"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25%</w:t>
            </w:r>
          </w:p>
        </w:tc>
        <w:tc>
          <w:tcPr>
            <w:tcW w:w="491" w:type="pct"/>
            <w:tcBorders>
              <w:bottom w:val="single" w:sz="4" w:space="0" w:color="auto"/>
            </w:tcBorders>
            <w:vAlign w:val="center"/>
          </w:tcPr>
          <w:p w14:paraId="1F28FF90" w14:textId="2995FDAD" w:rsidR="00BE4343" w:rsidRPr="00E5440E" w:rsidRDefault="00DB5AAE" w:rsidP="00BE4343">
            <w:pPr>
              <w:spacing w:after="0" w:line="240" w:lineRule="auto"/>
              <w:jc w:val="right"/>
              <w:rPr>
                <w:rFonts w:ascii="Arial" w:eastAsia="Times New Roman" w:hAnsi="Arial" w:cs="Arial"/>
                <w:bCs/>
                <w:i/>
                <w:iCs/>
                <w:color w:val="000000"/>
                <w:sz w:val="20"/>
                <w:szCs w:val="20"/>
                <w:lang w:eastAsia="ru-RU"/>
              </w:rPr>
            </w:pPr>
            <w:r w:rsidRPr="000D120B">
              <w:rPr>
                <w:rFonts w:ascii="Arial" w:hAnsi="Arial" w:cs="Arial"/>
                <w:i/>
                <w:iCs/>
                <w:sz w:val="20"/>
                <w:szCs w:val="20"/>
              </w:rPr>
              <w:t>2.49</w:t>
            </w:r>
          </w:p>
        </w:tc>
        <w:tc>
          <w:tcPr>
            <w:tcW w:w="491" w:type="pct"/>
            <w:tcBorders>
              <w:bottom w:val="single" w:sz="4" w:space="0" w:color="auto"/>
            </w:tcBorders>
            <w:vAlign w:val="center"/>
          </w:tcPr>
          <w:p w14:paraId="4A662BD6" w14:textId="7194F53D" w:rsidR="00BE4343" w:rsidRPr="00E5440E" w:rsidRDefault="00DB5AAE" w:rsidP="00BE4343">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-11%</w:t>
            </w:r>
          </w:p>
        </w:tc>
        <w:tc>
          <w:tcPr>
            <w:tcW w:w="490" w:type="pct"/>
            <w:tcBorders>
              <w:bottom w:val="single" w:sz="4" w:space="0" w:color="auto"/>
            </w:tcBorders>
            <w:vAlign w:val="center"/>
          </w:tcPr>
          <w:p w14:paraId="5F625001" w14:textId="6E27BE59" w:rsidR="00BE4343" w:rsidRPr="00E5440E" w:rsidRDefault="00DB5AAE" w:rsidP="000666F9">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2.33</w:t>
            </w:r>
          </w:p>
        </w:tc>
        <w:tc>
          <w:tcPr>
            <w:tcW w:w="490" w:type="pct"/>
            <w:tcBorders>
              <w:bottom w:val="single" w:sz="4" w:space="0" w:color="auto"/>
            </w:tcBorders>
            <w:vAlign w:val="center"/>
          </w:tcPr>
          <w:p w14:paraId="3F2B7F98" w14:textId="4A8BA45E" w:rsidR="00BE4343" w:rsidRPr="00E5440E" w:rsidRDefault="00DB5AAE" w:rsidP="000666F9">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1.67</w:t>
            </w:r>
          </w:p>
        </w:tc>
        <w:tc>
          <w:tcPr>
            <w:tcW w:w="487" w:type="pct"/>
            <w:tcBorders>
              <w:bottom w:val="single" w:sz="4" w:space="0" w:color="auto"/>
            </w:tcBorders>
            <w:vAlign w:val="center"/>
          </w:tcPr>
          <w:p w14:paraId="10590CD6" w14:textId="2E1366D8" w:rsidR="00BE4343" w:rsidRPr="00E5440E" w:rsidRDefault="00DB5AAE" w:rsidP="000666F9">
            <w:pPr>
              <w:spacing w:after="0" w:line="240" w:lineRule="auto"/>
              <w:jc w:val="right"/>
              <w:rPr>
                <w:rFonts w:ascii="Arial" w:eastAsia="Times New Roman" w:hAnsi="Arial" w:cs="Arial"/>
                <w:i/>
                <w:iCs/>
                <w:color w:val="000000"/>
                <w:sz w:val="20"/>
                <w:szCs w:val="20"/>
                <w:lang w:eastAsia="ru-RU"/>
              </w:rPr>
            </w:pPr>
            <w:r w:rsidRPr="000D120B">
              <w:rPr>
                <w:rFonts w:ascii="Arial" w:hAnsi="Arial" w:cs="Arial"/>
                <w:i/>
                <w:iCs/>
                <w:sz w:val="20"/>
                <w:szCs w:val="20"/>
              </w:rPr>
              <w:t>40%</w:t>
            </w:r>
          </w:p>
        </w:tc>
      </w:tr>
      <w:tr w:rsidR="00BE4343" w:rsidRPr="00E5440E" w14:paraId="016DBD8D" w14:textId="434E1874" w:rsidTr="000666F9">
        <w:trPr>
          <w:trHeight w:val="280"/>
        </w:trPr>
        <w:tc>
          <w:tcPr>
            <w:tcW w:w="963" w:type="pct"/>
            <w:tcBorders>
              <w:top w:val="single" w:sz="4" w:space="0" w:color="auto"/>
            </w:tcBorders>
            <w:shd w:val="clear" w:color="auto" w:fill="auto"/>
            <w:noWrap/>
            <w:vAlign w:val="center"/>
          </w:tcPr>
          <w:p w14:paraId="7D5CAFC3" w14:textId="2353021B" w:rsidR="00BE4343" w:rsidRPr="00E5440E" w:rsidRDefault="00BE4343" w:rsidP="00BE4343">
            <w:pPr>
              <w:spacing w:after="0" w:line="240" w:lineRule="auto"/>
              <w:jc w:val="both"/>
              <w:rPr>
                <w:rFonts w:ascii="Arial" w:eastAsia="Times New Roman" w:hAnsi="Arial" w:cs="Arial"/>
                <w:b/>
                <w:bCs/>
                <w:color w:val="000000"/>
                <w:sz w:val="20"/>
                <w:szCs w:val="20"/>
                <w:lang w:eastAsia="ru-RU"/>
              </w:rPr>
            </w:pPr>
            <w:r w:rsidRPr="00E5440E">
              <w:rPr>
                <w:rFonts w:ascii="Arial" w:eastAsia="Times New Roman" w:hAnsi="Arial" w:cs="Arial"/>
                <w:b/>
                <w:bCs/>
                <w:color w:val="000000"/>
                <w:sz w:val="20"/>
                <w:szCs w:val="20"/>
                <w:lang w:eastAsia="ru-RU"/>
              </w:rPr>
              <w:t>Sunflower oil</w:t>
            </w:r>
          </w:p>
        </w:tc>
        <w:tc>
          <w:tcPr>
            <w:tcW w:w="114" w:type="pct"/>
            <w:vAlign w:val="center"/>
          </w:tcPr>
          <w:p w14:paraId="67CFD03C" w14:textId="77777777" w:rsidR="00BE4343" w:rsidRPr="00E5440E" w:rsidRDefault="00BE4343" w:rsidP="00BE4343">
            <w:pPr>
              <w:spacing w:after="0" w:line="240" w:lineRule="auto"/>
              <w:jc w:val="both"/>
              <w:rPr>
                <w:rFonts w:ascii="Arial" w:eastAsia="Times New Roman" w:hAnsi="Arial" w:cs="Arial"/>
                <w:color w:val="000000"/>
                <w:sz w:val="20"/>
                <w:szCs w:val="20"/>
                <w:lang w:eastAsia="ru-RU"/>
              </w:rPr>
            </w:pPr>
          </w:p>
        </w:tc>
        <w:tc>
          <w:tcPr>
            <w:tcW w:w="492" w:type="pct"/>
            <w:tcBorders>
              <w:top w:val="single" w:sz="4" w:space="0" w:color="auto"/>
            </w:tcBorders>
            <w:shd w:val="clear" w:color="auto" w:fill="auto"/>
            <w:noWrap/>
            <w:vAlign w:val="center"/>
          </w:tcPr>
          <w:p w14:paraId="2A748C81"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555" w:type="pct"/>
            <w:tcBorders>
              <w:top w:val="single" w:sz="4" w:space="0" w:color="auto"/>
            </w:tcBorders>
            <w:shd w:val="clear" w:color="auto" w:fill="auto"/>
            <w:noWrap/>
            <w:vAlign w:val="center"/>
          </w:tcPr>
          <w:p w14:paraId="543EEA42"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427" w:type="pct"/>
            <w:tcBorders>
              <w:top w:val="single" w:sz="4" w:space="0" w:color="auto"/>
            </w:tcBorders>
            <w:shd w:val="clear" w:color="auto" w:fill="auto"/>
            <w:noWrap/>
            <w:vAlign w:val="center"/>
          </w:tcPr>
          <w:p w14:paraId="0CADC510"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491" w:type="pct"/>
            <w:tcBorders>
              <w:top w:val="single" w:sz="4" w:space="0" w:color="auto"/>
            </w:tcBorders>
            <w:vAlign w:val="center"/>
          </w:tcPr>
          <w:p w14:paraId="0E30E44B" w14:textId="77777777" w:rsidR="00BE4343" w:rsidRPr="00E5440E" w:rsidRDefault="00BE4343" w:rsidP="00BE4343">
            <w:pPr>
              <w:spacing w:after="0" w:line="240" w:lineRule="auto"/>
              <w:jc w:val="right"/>
              <w:rPr>
                <w:rFonts w:ascii="Arial" w:eastAsia="Times New Roman" w:hAnsi="Arial" w:cs="Arial"/>
                <w:b/>
                <w:color w:val="000000"/>
                <w:sz w:val="20"/>
                <w:szCs w:val="20"/>
                <w:lang w:eastAsia="ru-RU"/>
              </w:rPr>
            </w:pPr>
          </w:p>
        </w:tc>
        <w:tc>
          <w:tcPr>
            <w:tcW w:w="491" w:type="pct"/>
            <w:tcBorders>
              <w:top w:val="single" w:sz="4" w:space="0" w:color="auto"/>
            </w:tcBorders>
            <w:vAlign w:val="center"/>
          </w:tcPr>
          <w:p w14:paraId="12AF0368"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490" w:type="pct"/>
            <w:tcBorders>
              <w:top w:val="single" w:sz="4" w:space="0" w:color="auto"/>
            </w:tcBorders>
            <w:vAlign w:val="center"/>
          </w:tcPr>
          <w:p w14:paraId="0941A7B5" w14:textId="77777777" w:rsidR="00BE4343" w:rsidRPr="00E5440E" w:rsidRDefault="00BE4343" w:rsidP="000666F9">
            <w:pPr>
              <w:spacing w:after="0" w:line="240" w:lineRule="auto"/>
              <w:jc w:val="right"/>
              <w:rPr>
                <w:rFonts w:ascii="Arial" w:eastAsia="Times New Roman" w:hAnsi="Arial" w:cs="Arial"/>
                <w:color w:val="000000"/>
                <w:sz w:val="20"/>
                <w:szCs w:val="20"/>
                <w:lang w:eastAsia="ru-RU"/>
              </w:rPr>
            </w:pPr>
          </w:p>
        </w:tc>
        <w:tc>
          <w:tcPr>
            <w:tcW w:w="490" w:type="pct"/>
            <w:tcBorders>
              <w:top w:val="single" w:sz="4" w:space="0" w:color="auto"/>
            </w:tcBorders>
            <w:vAlign w:val="center"/>
          </w:tcPr>
          <w:p w14:paraId="3663358C" w14:textId="77777777" w:rsidR="00BE4343" w:rsidRPr="00E5440E" w:rsidRDefault="00BE4343" w:rsidP="000666F9">
            <w:pPr>
              <w:spacing w:after="0" w:line="240" w:lineRule="auto"/>
              <w:jc w:val="right"/>
              <w:rPr>
                <w:rFonts w:ascii="Arial" w:eastAsia="Times New Roman" w:hAnsi="Arial" w:cs="Arial"/>
                <w:color w:val="000000"/>
                <w:sz w:val="20"/>
                <w:szCs w:val="20"/>
                <w:lang w:eastAsia="ru-RU"/>
              </w:rPr>
            </w:pPr>
          </w:p>
        </w:tc>
        <w:tc>
          <w:tcPr>
            <w:tcW w:w="487" w:type="pct"/>
            <w:tcBorders>
              <w:top w:val="single" w:sz="4" w:space="0" w:color="auto"/>
            </w:tcBorders>
            <w:vAlign w:val="center"/>
          </w:tcPr>
          <w:p w14:paraId="260CE226" w14:textId="77777777" w:rsidR="00BE4343" w:rsidRPr="00E5440E" w:rsidRDefault="00BE4343" w:rsidP="000666F9">
            <w:pPr>
              <w:spacing w:after="0" w:line="240" w:lineRule="auto"/>
              <w:jc w:val="right"/>
              <w:rPr>
                <w:rFonts w:ascii="Arial" w:eastAsia="Times New Roman" w:hAnsi="Arial" w:cs="Arial"/>
                <w:color w:val="000000"/>
                <w:sz w:val="20"/>
                <w:szCs w:val="20"/>
                <w:lang w:eastAsia="ru-RU"/>
              </w:rPr>
            </w:pPr>
          </w:p>
        </w:tc>
      </w:tr>
      <w:tr w:rsidR="00BE4343" w:rsidRPr="00E5440E" w14:paraId="2B667F4B" w14:textId="574C94A2" w:rsidTr="000666F9">
        <w:trPr>
          <w:trHeight w:val="368"/>
        </w:trPr>
        <w:tc>
          <w:tcPr>
            <w:tcW w:w="963" w:type="pct"/>
            <w:tcBorders>
              <w:bottom w:val="single" w:sz="4" w:space="0" w:color="auto"/>
            </w:tcBorders>
            <w:shd w:val="clear" w:color="auto" w:fill="auto"/>
            <w:noWrap/>
            <w:vAlign w:val="center"/>
            <w:hideMark/>
          </w:tcPr>
          <w:p w14:paraId="13A6B300" w14:textId="08F67016" w:rsidR="00BE4343" w:rsidRPr="00E5440E" w:rsidRDefault="00BE4343" w:rsidP="00BE4343">
            <w:pPr>
              <w:spacing w:after="0" w:line="240" w:lineRule="auto"/>
              <w:rPr>
                <w:rFonts w:ascii="Arial" w:eastAsia="Times New Roman" w:hAnsi="Arial" w:cs="Arial"/>
                <w:color w:val="000000"/>
                <w:sz w:val="20"/>
                <w:szCs w:val="20"/>
                <w:lang w:eastAsia="ru-RU"/>
              </w:rPr>
            </w:pPr>
            <w:r w:rsidRPr="00E5440E">
              <w:rPr>
                <w:rFonts w:ascii="Arial" w:eastAsia="Times New Roman" w:hAnsi="Arial" w:cs="Arial"/>
                <w:color w:val="000000"/>
                <w:sz w:val="20"/>
                <w:szCs w:val="20"/>
                <w:lang w:eastAsia="ru-RU"/>
              </w:rPr>
              <w:t>Sales volume</w:t>
            </w:r>
            <w:r w:rsidR="00FB1084">
              <w:rPr>
                <w:rFonts w:ascii="Arial" w:eastAsia="Times New Roman" w:hAnsi="Arial" w:cs="Arial"/>
                <w:color w:val="000000"/>
                <w:sz w:val="20"/>
                <w:szCs w:val="20"/>
                <w:lang w:eastAsia="ru-RU"/>
              </w:rPr>
              <w:t>,</w:t>
            </w:r>
            <w:r w:rsidRPr="00E5440E">
              <w:rPr>
                <w:rFonts w:ascii="Arial" w:eastAsia="Times New Roman" w:hAnsi="Arial" w:cs="Arial"/>
                <w:color w:val="000000"/>
                <w:sz w:val="20"/>
                <w:szCs w:val="20"/>
                <w:lang w:eastAsia="ru-RU"/>
              </w:rPr>
              <w:t xml:space="preserve"> </w:t>
            </w:r>
            <w:proofErr w:type="spellStart"/>
            <w:r w:rsidRPr="00E5440E">
              <w:rPr>
                <w:rFonts w:ascii="Arial" w:eastAsia="Times New Roman" w:hAnsi="Arial" w:cs="Arial"/>
                <w:color w:val="000000"/>
                <w:sz w:val="20"/>
                <w:szCs w:val="20"/>
                <w:lang w:eastAsia="ru-RU"/>
              </w:rPr>
              <w:t>tonnes</w:t>
            </w:r>
            <w:proofErr w:type="spellEnd"/>
          </w:p>
        </w:tc>
        <w:tc>
          <w:tcPr>
            <w:tcW w:w="114" w:type="pct"/>
            <w:vAlign w:val="center"/>
          </w:tcPr>
          <w:p w14:paraId="7D2DC616"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492" w:type="pct"/>
            <w:tcBorders>
              <w:bottom w:val="single" w:sz="4" w:space="0" w:color="auto"/>
            </w:tcBorders>
            <w:shd w:val="clear" w:color="auto" w:fill="auto"/>
            <w:noWrap/>
            <w:vAlign w:val="center"/>
          </w:tcPr>
          <w:p w14:paraId="601537F2" w14:textId="00070477" w:rsidR="00BE4343" w:rsidRPr="00E5440E" w:rsidRDefault="00DB5AAE" w:rsidP="00BE4343">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 xml:space="preserve"> 95,895</w:t>
            </w:r>
          </w:p>
        </w:tc>
        <w:tc>
          <w:tcPr>
            <w:tcW w:w="555" w:type="pct"/>
            <w:tcBorders>
              <w:bottom w:val="single" w:sz="4" w:space="0" w:color="auto"/>
            </w:tcBorders>
            <w:shd w:val="clear" w:color="auto" w:fill="auto"/>
            <w:noWrap/>
            <w:vAlign w:val="center"/>
          </w:tcPr>
          <w:p w14:paraId="291025CB" w14:textId="6ADB8183" w:rsidR="00BE4343" w:rsidRPr="00E5440E" w:rsidRDefault="00DB5AAE" w:rsidP="00BE4343">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 xml:space="preserve"> 79,480</w:t>
            </w:r>
          </w:p>
        </w:tc>
        <w:tc>
          <w:tcPr>
            <w:tcW w:w="427" w:type="pct"/>
            <w:tcBorders>
              <w:bottom w:val="single" w:sz="4" w:space="0" w:color="auto"/>
            </w:tcBorders>
            <w:shd w:val="clear" w:color="auto" w:fill="auto"/>
            <w:noWrap/>
            <w:vAlign w:val="center"/>
          </w:tcPr>
          <w:p w14:paraId="6B869F48" w14:textId="15F65694" w:rsidR="00BE4343" w:rsidRPr="00E5440E" w:rsidRDefault="00DB5AAE" w:rsidP="00BE4343">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21%</w:t>
            </w:r>
          </w:p>
        </w:tc>
        <w:tc>
          <w:tcPr>
            <w:tcW w:w="491" w:type="pct"/>
            <w:tcBorders>
              <w:bottom w:val="single" w:sz="4" w:space="0" w:color="auto"/>
            </w:tcBorders>
            <w:vAlign w:val="center"/>
          </w:tcPr>
          <w:p w14:paraId="5A1D8B47" w14:textId="7BD04B0C" w:rsidR="00BE4343" w:rsidRPr="00E5440E" w:rsidRDefault="00DB5AAE" w:rsidP="00BE4343">
            <w:pPr>
              <w:spacing w:after="0" w:line="240" w:lineRule="auto"/>
              <w:jc w:val="right"/>
              <w:rPr>
                <w:rFonts w:ascii="Arial" w:eastAsia="Times New Roman" w:hAnsi="Arial" w:cs="Arial"/>
                <w:bCs/>
                <w:color w:val="000000"/>
                <w:sz w:val="20"/>
                <w:szCs w:val="20"/>
                <w:lang w:eastAsia="ru-RU"/>
              </w:rPr>
            </w:pPr>
            <w:r w:rsidRPr="000D120B">
              <w:rPr>
                <w:rFonts w:ascii="Arial" w:hAnsi="Arial" w:cs="Arial"/>
                <w:sz w:val="20"/>
                <w:szCs w:val="20"/>
              </w:rPr>
              <w:t xml:space="preserve">95,436 </w:t>
            </w:r>
          </w:p>
        </w:tc>
        <w:tc>
          <w:tcPr>
            <w:tcW w:w="491" w:type="pct"/>
            <w:tcBorders>
              <w:bottom w:val="single" w:sz="4" w:space="0" w:color="auto"/>
            </w:tcBorders>
            <w:vAlign w:val="center"/>
          </w:tcPr>
          <w:p w14:paraId="46C1FF67" w14:textId="11EDCEAA" w:rsidR="00BE4343" w:rsidRPr="00E5440E" w:rsidRDefault="00DB5AAE" w:rsidP="00BE4343">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0%</w:t>
            </w:r>
          </w:p>
        </w:tc>
        <w:tc>
          <w:tcPr>
            <w:tcW w:w="490" w:type="pct"/>
            <w:tcBorders>
              <w:bottom w:val="single" w:sz="4" w:space="0" w:color="auto"/>
            </w:tcBorders>
            <w:vAlign w:val="center"/>
          </w:tcPr>
          <w:p w14:paraId="39DB7668" w14:textId="0137A4D8" w:rsidR="00BE4343" w:rsidRPr="00E5440E" w:rsidRDefault="00DB5AAE" w:rsidP="000666F9">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 xml:space="preserve">272,807 </w:t>
            </w:r>
          </w:p>
        </w:tc>
        <w:tc>
          <w:tcPr>
            <w:tcW w:w="490" w:type="pct"/>
            <w:tcBorders>
              <w:bottom w:val="single" w:sz="4" w:space="0" w:color="auto"/>
            </w:tcBorders>
            <w:vAlign w:val="center"/>
          </w:tcPr>
          <w:p w14:paraId="76D01524" w14:textId="303BE8C7" w:rsidR="00BE4343" w:rsidRPr="00E5440E" w:rsidRDefault="00DB5AAE" w:rsidP="000666F9">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 xml:space="preserve">207,240 </w:t>
            </w:r>
          </w:p>
        </w:tc>
        <w:tc>
          <w:tcPr>
            <w:tcW w:w="487" w:type="pct"/>
            <w:tcBorders>
              <w:bottom w:val="single" w:sz="4" w:space="0" w:color="auto"/>
            </w:tcBorders>
            <w:vAlign w:val="center"/>
          </w:tcPr>
          <w:p w14:paraId="2FEEF9F9" w14:textId="71EC4690" w:rsidR="00BE4343" w:rsidRPr="00E5440E" w:rsidRDefault="00DB5AAE" w:rsidP="000666F9">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32%</w:t>
            </w:r>
          </w:p>
        </w:tc>
      </w:tr>
      <w:tr w:rsidR="00BE4343" w:rsidRPr="00E5440E" w14:paraId="1C18E226" w14:textId="7DF8873E" w:rsidTr="000666F9">
        <w:trPr>
          <w:trHeight w:val="248"/>
        </w:trPr>
        <w:tc>
          <w:tcPr>
            <w:tcW w:w="963" w:type="pct"/>
            <w:tcBorders>
              <w:top w:val="single" w:sz="4" w:space="0" w:color="auto"/>
            </w:tcBorders>
            <w:shd w:val="clear" w:color="auto" w:fill="auto"/>
            <w:noWrap/>
            <w:vAlign w:val="center"/>
          </w:tcPr>
          <w:p w14:paraId="162E2E2D" w14:textId="77777777" w:rsidR="00BE4343" w:rsidRPr="00E5440E" w:rsidRDefault="00BE4343" w:rsidP="00BE4343">
            <w:pPr>
              <w:spacing w:after="0" w:line="240" w:lineRule="auto"/>
              <w:jc w:val="both"/>
              <w:rPr>
                <w:rFonts w:ascii="Arial" w:eastAsia="Times New Roman" w:hAnsi="Arial" w:cs="Arial"/>
                <w:b/>
                <w:bCs/>
                <w:color w:val="000000"/>
                <w:sz w:val="20"/>
                <w:szCs w:val="20"/>
                <w:lang w:eastAsia="ru-RU"/>
              </w:rPr>
            </w:pPr>
            <w:r w:rsidRPr="00E5440E">
              <w:rPr>
                <w:rFonts w:ascii="Arial" w:eastAsia="Times New Roman" w:hAnsi="Arial" w:cs="Arial"/>
                <w:b/>
                <w:bCs/>
                <w:color w:val="000000"/>
                <w:sz w:val="20"/>
                <w:szCs w:val="20"/>
                <w:lang w:eastAsia="ru-RU"/>
              </w:rPr>
              <w:t>Soybeans oil</w:t>
            </w:r>
          </w:p>
        </w:tc>
        <w:tc>
          <w:tcPr>
            <w:tcW w:w="114" w:type="pct"/>
            <w:vAlign w:val="center"/>
          </w:tcPr>
          <w:p w14:paraId="04AE243B" w14:textId="77777777" w:rsidR="00BE4343" w:rsidRPr="00E5440E" w:rsidRDefault="00BE4343" w:rsidP="00BE4343">
            <w:pPr>
              <w:spacing w:after="0" w:line="240" w:lineRule="auto"/>
              <w:jc w:val="right"/>
              <w:rPr>
                <w:rFonts w:ascii="Arial" w:eastAsia="Times New Roman" w:hAnsi="Arial" w:cs="Arial"/>
                <w:b/>
                <w:bCs/>
                <w:color w:val="000000"/>
                <w:sz w:val="20"/>
                <w:szCs w:val="20"/>
                <w:lang w:eastAsia="ru-RU"/>
              </w:rPr>
            </w:pPr>
          </w:p>
        </w:tc>
        <w:tc>
          <w:tcPr>
            <w:tcW w:w="492" w:type="pct"/>
            <w:tcBorders>
              <w:top w:val="single" w:sz="4" w:space="0" w:color="auto"/>
            </w:tcBorders>
            <w:shd w:val="clear" w:color="auto" w:fill="auto"/>
            <w:noWrap/>
            <w:vAlign w:val="center"/>
          </w:tcPr>
          <w:p w14:paraId="27B0A189"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555" w:type="pct"/>
            <w:tcBorders>
              <w:top w:val="single" w:sz="4" w:space="0" w:color="auto"/>
            </w:tcBorders>
            <w:shd w:val="clear" w:color="auto" w:fill="auto"/>
            <w:noWrap/>
            <w:vAlign w:val="center"/>
          </w:tcPr>
          <w:p w14:paraId="3E31BDCA"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427" w:type="pct"/>
            <w:tcBorders>
              <w:top w:val="single" w:sz="4" w:space="0" w:color="auto"/>
            </w:tcBorders>
            <w:shd w:val="clear" w:color="auto" w:fill="auto"/>
            <w:noWrap/>
            <w:vAlign w:val="center"/>
          </w:tcPr>
          <w:p w14:paraId="154AD0FE"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491" w:type="pct"/>
            <w:tcBorders>
              <w:top w:val="single" w:sz="4" w:space="0" w:color="auto"/>
            </w:tcBorders>
            <w:vAlign w:val="center"/>
          </w:tcPr>
          <w:p w14:paraId="34B94846" w14:textId="77777777" w:rsidR="00BE4343" w:rsidRPr="00E5440E" w:rsidRDefault="00BE4343" w:rsidP="00BE4343">
            <w:pPr>
              <w:spacing w:after="0" w:line="240" w:lineRule="auto"/>
              <w:jc w:val="right"/>
              <w:rPr>
                <w:rFonts w:ascii="Arial" w:eastAsia="Times New Roman" w:hAnsi="Arial" w:cs="Arial"/>
                <w:bCs/>
                <w:color w:val="000000"/>
                <w:sz w:val="20"/>
                <w:szCs w:val="20"/>
                <w:lang w:eastAsia="ru-RU"/>
              </w:rPr>
            </w:pPr>
          </w:p>
        </w:tc>
        <w:tc>
          <w:tcPr>
            <w:tcW w:w="491" w:type="pct"/>
            <w:tcBorders>
              <w:top w:val="single" w:sz="4" w:space="0" w:color="auto"/>
            </w:tcBorders>
            <w:vAlign w:val="center"/>
          </w:tcPr>
          <w:p w14:paraId="32B88FC4"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490" w:type="pct"/>
            <w:tcBorders>
              <w:top w:val="single" w:sz="4" w:space="0" w:color="auto"/>
            </w:tcBorders>
            <w:vAlign w:val="center"/>
          </w:tcPr>
          <w:p w14:paraId="2755A17C" w14:textId="77777777" w:rsidR="00BE4343" w:rsidRPr="00E5440E" w:rsidRDefault="00BE4343" w:rsidP="000666F9">
            <w:pPr>
              <w:spacing w:after="0" w:line="240" w:lineRule="auto"/>
              <w:jc w:val="right"/>
              <w:rPr>
                <w:rFonts w:ascii="Arial" w:eastAsia="Times New Roman" w:hAnsi="Arial" w:cs="Arial"/>
                <w:color w:val="000000"/>
                <w:sz w:val="20"/>
                <w:szCs w:val="20"/>
                <w:lang w:eastAsia="ru-RU"/>
              </w:rPr>
            </w:pPr>
          </w:p>
        </w:tc>
        <w:tc>
          <w:tcPr>
            <w:tcW w:w="490" w:type="pct"/>
            <w:tcBorders>
              <w:top w:val="single" w:sz="4" w:space="0" w:color="auto"/>
            </w:tcBorders>
            <w:vAlign w:val="center"/>
          </w:tcPr>
          <w:p w14:paraId="3FF64648" w14:textId="77777777" w:rsidR="00BE4343" w:rsidRPr="00E5440E" w:rsidRDefault="00BE4343" w:rsidP="000666F9">
            <w:pPr>
              <w:spacing w:after="0" w:line="240" w:lineRule="auto"/>
              <w:jc w:val="right"/>
              <w:rPr>
                <w:rFonts w:ascii="Arial" w:eastAsia="Times New Roman" w:hAnsi="Arial" w:cs="Arial"/>
                <w:color w:val="000000"/>
                <w:sz w:val="20"/>
                <w:szCs w:val="20"/>
                <w:lang w:eastAsia="ru-RU"/>
              </w:rPr>
            </w:pPr>
          </w:p>
        </w:tc>
        <w:tc>
          <w:tcPr>
            <w:tcW w:w="487" w:type="pct"/>
            <w:tcBorders>
              <w:top w:val="single" w:sz="4" w:space="0" w:color="auto"/>
            </w:tcBorders>
            <w:vAlign w:val="center"/>
          </w:tcPr>
          <w:p w14:paraId="426941CC" w14:textId="77777777" w:rsidR="00BE4343" w:rsidRPr="00E5440E" w:rsidRDefault="00BE4343" w:rsidP="000666F9">
            <w:pPr>
              <w:spacing w:after="0" w:line="240" w:lineRule="auto"/>
              <w:jc w:val="right"/>
              <w:rPr>
                <w:rFonts w:ascii="Arial" w:eastAsia="Times New Roman" w:hAnsi="Arial" w:cs="Arial"/>
                <w:color w:val="000000"/>
                <w:sz w:val="20"/>
                <w:szCs w:val="20"/>
                <w:lang w:eastAsia="ru-RU"/>
              </w:rPr>
            </w:pPr>
          </w:p>
        </w:tc>
      </w:tr>
      <w:tr w:rsidR="00BE4343" w:rsidRPr="00E5440E" w14:paraId="3DB10D38" w14:textId="5B0DF4B7" w:rsidTr="000666F9">
        <w:trPr>
          <w:trHeight w:val="368"/>
        </w:trPr>
        <w:tc>
          <w:tcPr>
            <w:tcW w:w="963" w:type="pct"/>
            <w:tcBorders>
              <w:bottom w:val="single" w:sz="12" w:space="0" w:color="auto"/>
            </w:tcBorders>
            <w:shd w:val="clear" w:color="auto" w:fill="auto"/>
            <w:noWrap/>
            <w:vAlign w:val="center"/>
          </w:tcPr>
          <w:p w14:paraId="01A8959D" w14:textId="7136A773" w:rsidR="00BE4343" w:rsidRPr="00E5440E" w:rsidRDefault="00FB1084" w:rsidP="004343DD">
            <w:pPr>
              <w:spacing w:after="0" w:line="240" w:lineRule="auto"/>
              <w:rPr>
                <w:rFonts w:ascii="Arial" w:eastAsia="Times New Roman" w:hAnsi="Arial" w:cs="Arial"/>
                <w:color w:val="000000"/>
                <w:sz w:val="20"/>
                <w:szCs w:val="20"/>
                <w:lang w:eastAsia="ru-RU"/>
              </w:rPr>
            </w:pPr>
            <w:r w:rsidRPr="00E5440E">
              <w:rPr>
                <w:rFonts w:ascii="Arial" w:eastAsia="Times New Roman" w:hAnsi="Arial" w:cs="Arial"/>
                <w:color w:val="000000"/>
                <w:sz w:val="20"/>
                <w:szCs w:val="20"/>
                <w:lang w:eastAsia="ru-RU"/>
              </w:rPr>
              <w:t>Sales volume</w:t>
            </w:r>
            <w:r>
              <w:rPr>
                <w:rFonts w:ascii="Arial" w:eastAsia="Times New Roman" w:hAnsi="Arial" w:cs="Arial"/>
                <w:color w:val="000000"/>
                <w:sz w:val="20"/>
                <w:szCs w:val="20"/>
                <w:lang w:eastAsia="ru-RU"/>
              </w:rPr>
              <w:t>,</w:t>
            </w:r>
            <w:r w:rsidRPr="00E5440E">
              <w:rPr>
                <w:rFonts w:ascii="Arial" w:eastAsia="Times New Roman" w:hAnsi="Arial" w:cs="Arial"/>
                <w:color w:val="000000"/>
                <w:sz w:val="20"/>
                <w:szCs w:val="20"/>
                <w:lang w:eastAsia="ru-RU"/>
              </w:rPr>
              <w:t xml:space="preserve"> </w:t>
            </w:r>
            <w:proofErr w:type="spellStart"/>
            <w:r w:rsidRPr="00E5440E">
              <w:rPr>
                <w:rFonts w:ascii="Arial" w:eastAsia="Times New Roman" w:hAnsi="Arial" w:cs="Arial"/>
                <w:color w:val="000000"/>
                <w:sz w:val="20"/>
                <w:szCs w:val="20"/>
                <w:lang w:eastAsia="ru-RU"/>
              </w:rPr>
              <w:t>tonnes</w:t>
            </w:r>
            <w:proofErr w:type="spellEnd"/>
          </w:p>
        </w:tc>
        <w:tc>
          <w:tcPr>
            <w:tcW w:w="114" w:type="pct"/>
            <w:vAlign w:val="center"/>
          </w:tcPr>
          <w:p w14:paraId="3B80584A" w14:textId="77777777" w:rsidR="00BE4343" w:rsidRPr="00E5440E" w:rsidRDefault="00BE4343" w:rsidP="00BE4343">
            <w:pPr>
              <w:spacing w:after="0" w:line="240" w:lineRule="auto"/>
              <w:jc w:val="right"/>
              <w:rPr>
                <w:rFonts w:ascii="Arial" w:eastAsia="Times New Roman" w:hAnsi="Arial" w:cs="Arial"/>
                <w:color w:val="000000"/>
                <w:sz w:val="20"/>
                <w:szCs w:val="20"/>
                <w:lang w:eastAsia="ru-RU"/>
              </w:rPr>
            </w:pPr>
          </w:p>
        </w:tc>
        <w:tc>
          <w:tcPr>
            <w:tcW w:w="492" w:type="pct"/>
            <w:tcBorders>
              <w:bottom w:val="single" w:sz="12" w:space="0" w:color="auto"/>
            </w:tcBorders>
            <w:shd w:val="clear" w:color="auto" w:fill="auto"/>
            <w:noWrap/>
            <w:vAlign w:val="center"/>
          </w:tcPr>
          <w:p w14:paraId="45C7E7D3" w14:textId="35D27A6D" w:rsidR="00BE4343" w:rsidRPr="00E5440E" w:rsidRDefault="00DB5AAE" w:rsidP="00BE4343">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 xml:space="preserve"> 13,583  </w:t>
            </w:r>
          </w:p>
        </w:tc>
        <w:tc>
          <w:tcPr>
            <w:tcW w:w="555" w:type="pct"/>
            <w:tcBorders>
              <w:bottom w:val="single" w:sz="12" w:space="0" w:color="auto"/>
            </w:tcBorders>
            <w:shd w:val="clear" w:color="auto" w:fill="auto"/>
            <w:noWrap/>
            <w:vAlign w:val="center"/>
          </w:tcPr>
          <w:p w14:paraId="21155FE6" w14:textId="2FAB38A7" w:rsidR="00BE4343" w:rsidRPr="00E5440E" w:rsidRDefault="00F213E7" w:rsidP="00BE4343">
            <w:pPr>
              <w:spacing w:after="0" w:line="240" w:lineRule="auto"/>
              <w:jc w:val="right"/>
              <w:rPr>
                <w:rFonts w:ascii="Arial" w:eastAsia="Times New Roman" w:hAnsi="Arial" w:cs="Arial"/>
                <w:color w:val="000000"/>
                <w:sz w:val="20"/>
                <w:szCs w:val="20"/>
                <w:lang w:eastAsia="ru-RU"/>
              </w:rPr>
            </w:pPr>
            <w:r w:rsidRPr="00E5440E">
              <w:rPr>
                <w:rFonts w:ascii="Arial" w:eastAsia="Times New Roman" w:hAnsi="Arial" w:cs="Arial"/>
                <w:color w:val="000000"/>
                <w:sz w:val="20"/>
                <w:szCs w:val="20"/>
                <w:lang w:eastAsia="ru-RU"/>
              </w:rPr>
              <w:t xml:space="preserve"> </w:t>
            </w:r>
            <w:r w:rsidR="00DB5AAE" w:rsidRPr="000D120B">
              <w:rPr>
                <w:rFonts w:ascii="Arial" w:hAnsi="Arial" w:cs="Arial"/>
                <w:sz w:val="20"/>
                <w:szCs w:val="20"/>
              </w:rPr>
              <w:t xml:space="preserve"> 9,622  </w:t>
            </w:r>
            <w:r w:rsidRPr="00E5440E">
              <w:rPr>
                <w:rFonts w:ascii="Arial" w:eastAsia="Times New Roman" w:hAnsi="Arial" w:cs="Arial"/>
                <w:color w:val="000000"/>
                <w:sz w:val="20"/>
                <w:szCs w:val="20"/>
                <w:lang w:eastAsia="ru-RU"/>
              </w:rPr>
              <w:t xml:space="preserve"> </w:t>
            </w:r>
          </w:p>
        </w:tc>
        <w:tc>
          <w:tcPr>
            <w:tcW w:w="427" w:type="pct"/>
            <w:tcBorders>
              <w:bottom w:val="single" w:sz="12" w:space="0" w:color="auto"/>
            </w:tcBorders>
            <w:shd w:val="clear" w:color="auto" w:fill="auto"/>
            <w:noWrap/>
            <w:vAlign w:val="center"/>
          </w:tcPr>
          <w:p w14:paraId="4C0CB0A7" w14:textId="19F75009" w:rsidR="00BE4343" w:rsidRPr="00E5440E" w:rsidRDefault="00DB5AAE" w:rsidP="00BE4343">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41%</w:t>
            </w:r>
          </w:p>
        </w:tc>
        <w:tc>
          <w:tcPr>
            <w:tcW w:w="491" w:type="pct"/>
            <w:tcBorders>
              <w:bottom w:val="single" w:sz="12" w:space="0" w:color="auto"/>
            </w:tcBorders>
            <w:vAlign w:val="center"/>
          </w:tcPr>
          <w:p w14:paraId="51B5A4E2" w14:textId="2682BC4E" w:rsidR="00BE4343" w:rsidRPr="00E5440E" w:rsidRDefault="00DB5AAE" w:rsidP="00BE4343">
            <w:pPr>
              <w:spacing w:after="0" w:line="240" w:lineRule="auto"/>
              <w:jc w:val="right"/>
              <w:rPr>
                <w:rFonts w:ascii="Arial" w:eastAsia="Times New Roman" w:hAnsi="Arial" w:cs="Arial"/>
                <w:bCs/>
                <w:color w:val="000000"/>
                <w:sz w:val="20"/>
                <w:szCs w:val="20"/>
                <w:lang w:eastAsia="ru-RU"/>
              </w:rPr>
            </w:pPr>
            <w:r w:rsidRPr="000D120B">
              <w:rPr>
                <w:rFonts w:ascii="Arial" w:hAnsi="Arial" w:cs="Arial"/>
                <w:sz w:val="20"/>
                <w:szCs w:val="20"/>
              </w:rPr>
              <w:t xml:space="preserve"> 7,716  </w:t>
            </w:r>
            <w:r w:rsidR="00F213E7" w:rsidRPr="00E5440E">
              <w:rPr>
                <w:rFonts w:ascii="Arial" w:eastAsiaTheme="minorEastAsia" w:hAnsi="Arial" w:cs="Arial"/>
                <w:color w:val="000000"/>
                <w:sz w:val="20"/>
                <w:szCs w:val="20"/>
                <w:lang w:val="uk-UA" w:eastAsia="uk-UA"/>
              </w:rPr>
              <w:t xml:space="preserve">            </w:t>
            </w:r>
          </w:p>
        </w:tc>
        <w:tc>
          <w:tcPr>
            <w:tcW w:w="491" w:type="pct"/>
            <w:tcBorders>
              <w:bottom w:val="single" w:sz="12" w:space="0" w:color="auto"/>
            </w:tcBorders>
            <w:vAlign w:val="center"/>
          </w:tcPr>
          <w:p w14:paraId="02707E05" w14:textId="3F3A251C" w:rsidR="00BE4343" w:rsidRPr="00E5440E" w:rsidRDefault="00DB5AAE" w:rsidP="00BE4343">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76%</w:t>
            </w:r>
          </w:p>
        </w:tc>
        <w:tc>
          <w:tcPr>
            <w:tcW w:w="490" w:type="pct"/>
            <w:tcBorders>
              <w:bottom w:val="single" w:sz="12" w:space="0" w:color="auto"/>
            </w:tcBorders>
            <w:vAlign w:val="center"/>
          </w:tcPr>
          <w:p w14:paraId="6F7BC989" w14:textId="343A844D" w:rsidR="008E3AB6" w:rsidRPr="00E5440E" w:rsidRDefault="008E3AB6" w:rsidP="008E3AB6">
            <w:pPr>
              <w:spacing w:after="0" w:line="240" w:lineRule="auto"/>
              <w:jc w:val="right"/>
              <w:outlineLvl w:val="0"/>
              <w:rPr>
                <w:rFonts w:ascii="Arial" w:eastAsia="Times New Roman" w:hAnsi="Arial" w:cs="Arial"/>
                <w:color w:val="000000"/>
                <w:sz w:val="20"/>
                <w:szCs w:val="20"/>
                <w:lang w:val="uk-UA" w:eastAsia="uk-UA"/>
              </w:rPr>
            </w:pPr>
            <w:bookmarkStart w:id="4" w:name="RANGE!H56"/>
            <w:r w:rsidRPr="00E5440E">
              <w:rPr>
                <w:rFonts w:ascii="Arial" w:eastAsia="Times New Roman" w:hAnsi="Arial" w:cs="Arial"/>
                <w:color w:val="000000"/>
                <w:sz w:val="20"/>
                <w:szCs w:val="20"/>
                <w:lang w:val="uk-UA" w:eastAsia="uk-UA"/>
              </w:rPr>
              <w:t xml:space="preserve">          </w:t>
            </w:r>
            <w:r w:rsidR="00DB5AAE" w:rsidRPr="000D120B">
              <w:rPr>
                <w:rFonts w:ascii="Arial" w:hAnsi="Arial" w:cs="Arial"/>
                <w:sz w:val="20"/>
                <w:szCs w:val="20"/>
              </w:rPr>
              <w:t xml:space="preserve"> 40,845  </w:t>
            </w:r>
            <w:r w:rsidRPr="00E5440E">
              <w:rPr>
                <w:rFonts w:ascii="Arial" w:eastAsia="Times New Roman" w:hAnsi="Arial" w:cs="Arial"/>
                <w:color w:val="000000"/>
                <w:sz w:val="20"/>
                <w:szCs w:val="20"/>
                <w:lang w:val="uk-UA" w:eastAsia="uk-UA"/>
              </w:rPr>
              <w:t xml:space="preserve">  </w:t>
            </w:r>
          </w:p>
          <w:bookmarkEnd w:id="4"/>
          <w:p w14:paraId="53D910C1" w14:textId="1547F72D" w:rsidR="00BE4343" w:rsidRPr="00E5440E" w:rsidRDefault="00BE4343" w:rsidP="00500B3E">
            <w:pPr>
              <w:spacing w:after="0" w:line="240" w:lineRule="auto"/>
              <w:jc w:val="right"/>
              <w:rPr>
                <w:rFonts w:ascii="Arial" w:eastAsia="Times New Roman" w:hAnsi="Arial" w:cs="Arial"/>
                <w:color w:val="000000"/>
                <w:sz w:val="20"/>
                <w:szCs w:val="20"/>
                <w:lang w:eastAsia="ru-RU"/>
              </w:rPr>
            </w:pPr>
          </w:p>
        </w:tc>
        <w:tc>
          <w:tcPr>
            <w:tcW w:w="490" w:type="pct"/>
            <w:tcBorders>
              <w:bottom w:val="single" w:sz="12" w:space="0" w:color="auto"/>
            </w:tcBorders>
            <w:vAlign w:val="center"/>
          </w:tcPr>
          <w:p w14:paraId="39F4CA93" w14:textId="2FB255D8" w:rsidR="00BE4343" w:rsidRPr="00E5440E" w:rsidRDefault="008E3AB6" w:rsidP="000666F9">
            <w:pPr>
              <w:spacing w:after="0" w:line="240" w:lineRule="auto"/>
              <w:jc w:val="right"/>
              <w:rPr>
                <w:rFonts w:ascii="Arial" w:eastAsia="Times New Roman" w:hAnsi="Arial" w:cs="Arial"/>
                <w:color w:val="000000"/>
                <w:sz w:val="20"/>
                <w:szCs w:val="20"/>
                <w:lang w:eastAsia="ru-RU"/>
              </w:rPr>
            </w:pPr>
            <w:r w:rsidRPr="00E5440E">
              <w:rPr>
                <w:rFonts w:ascii="Arial" w:hAnsi="Arial" w:cs="Arial"/>
                <w:sz w:val="20"/>
                <w:szCs w:val="20"/>
              </w:rPr>
              <w:t xml:space="preserve"> </w:t>
            </w:r>
            <w:r w:rsidR="00DB5AAE" w:rsidRPr="000D120B">
              <w:rPr>
                <w:rFonts w:ascii="Arial" w:hAnsi="Arial" w:cs="Arial"/>
                <w:sz w:val="20"/>
                <w:szCs w:val="20"/>
              </w:rPr>
              <w:t xml:space="preserve"> 45,209  </w:t>
            </w:r>
            <w:r w:rsidRPr="00E5440E">
              <w:rPr>
                <w:rFonts w:ascii="Arial" w:hAnsi="Arial" w:cs="Arial"/>
                <w:sz w:val="20"/>
                <w:szCs w:val="20"/>
              </w:rPr>
              <w:t xml:space="preserve">  </w:t>
            </w:r>
          </w:p>
        </w:tc>
        <w:tc>
          <w:tcPr>
            <w:tcW w:w="487" w:type="pct"/>
            <w:tcBorders>
              <w:bottom w:val="single" w:sz="12" w:space="0" w:color="auto"/>
            </w:tcBorders>
            <w:vAlign w:val="center"/>
          </w:tcPr>
          <w:p w14:paraId="417206DE" w14:textId="712E0DEB" w:rsidR="00BE4343" w:rsidRPr="00E5440E" w:rsidRDefault="00DB5AAE" w:rsidP="000666F9">
            <w:pPr>
              <w:spacing w:after="0" w:line="240" w:lineRule="auto"/>
              <w:jc w:val="right"/>
              <w:rPr>
                <w:rFonts w:ascii="Arial" w:eastAsia="Times New Roman" w:hAnsi="Arial" w:cs="Arial"/>
                <w:color w:val="000000"/>
                <w:sz w:val="20"/>
                <w:szCs w:val="20"/>
                <w:lang w:val="uk-UA" w:eastAsia="ru-RU"/>
              </w:rPr>
            </w:pPr>
            <w:r w:rsidRPr="000D120B">
              <w:rPr>
                <w:rFonts w:ascii="Arial" w:hAnsi="Arial" w:cs="Arial"/>
                <w:sz w:val="20"/>
                <w:szCs w:val="20"/>
              </w:rPr>
              <w:t>-10%</w:t>
            </w:r>
          </w:p>
        </w:tc>
      </w:tr>
    </w:tbl>
    <w:bookmarkEnd w:id="3"/>
    <w:p w14:paraId="407629CE" w14:textId="4D947DCB" w:rsidR="002E3681" w:rsidRPr="00715910" w:rsidRDefault="002E3681" w:rsidP="00581142">
      <w:pPr>
        <w:spacing w:after="0" w:line="240" w:lineRule="auto"/>
        <w:rPr>
          <w:rFonts w:ascii="Arial" w:hAnsi="Arial" w:cs="Arial"/>
          <w:i/>
          <w:iCs/>
          <w:sz w:val="16"/>
          <w:szCs w:val="16"/>
          <w:vertAlign w:val="superscript"/>
        </w:rPr>
      </w:pPr>
      <w:r w:rsidRPr="00715910">
        <w:rPr>
          <w:rFonts w:ascii="Arial" w:hAnsi="Arial" w:cs="Arial"/>
          <w:i/>
          <w:iCs/>
          <w:sz w:val="16"/>
          <w:szCs w:val="16"/>
          <w:vertAlign w:val="superscript"/>
        </w:rPr>
        <w:t>1)</w:t>
      </w:r>
      <w:r w:rsidRPr="00715910">
        <w:rPr>
          <w:i/>
          <w:iCs/>
          <w:sz w:val="20"/>
          <w:szCs w:val="20"/>
        </w:rPr>
        <w:t xml:space="preserve"> </w:t>
      </w:r>
      <w:r w:rsidRPr="00715910">
        <w:rPr>
          <w:rFonts w:ascii="Arial" w:hAnsi="Arial" w:cs="Arial"/>
          <w:i/>
          <w:iCs/>
          <w:sz w:val="16"/>
          <w:szCs w:val="16"/>
        </w:rPr>
        <w:t>Total poultry sales include domestic sales, export sales and sales of culinary products; data for 2021 has been adjusted accordingly to this approach</w:t>
      </w:r>
    </w:p>
    <w:p w14:paraId="65846392" w14:textId="31DE18CC" w:rsidR="002962DD" w:rsidRPr="00322BA5" w:rsidRDefault="002962DD" w:rsidP="000C1D3E">
      <w:pPr>
        <w:spacing w:before="120" w:after="60"/>
        <w:jc w:val="both"/>
        <w:rPr>
          <w:rFonts w:ascii="Arial" w:hAnsi="Arial" w:cs="Arial"/>
          <w:sz w:val="20"/>
          <w:szCs w:val="20"/>
          <w:lang w:val="uk-UA"/>
        </w:rPr>
      </w:pPr>
      <w:r w:rsidRPr="00715910">
        <w:rPr>
          <w:rFonts w:ascii="Arial" w:hAnsi="Arial" w:cs="Arial"/>
          <w:b/>
          <w:i/>
          <w:sz w:val="20"/>
          <w:szCs w:val="20"/>
        </w:rPr>
        <w:t>Chicken meat</w:t>
      </w:r>
      <w:r w:rsidR="000952A3" w:rsidRPr="00715910">
        <w:rPr>
          <w:rFonts w:ascii="Arial" w:hAnsi="Arial" w:cs="Arial"/>
          <w:b/>
          <w:i/>
          <w:sz w:val="20"/>
          <w:szCs w:val="20"/>
        </w:rPr>
        <w:t xml:space="preserve"> </w:t>
      </w:r>
    </w:p>
    <w:p w14:paraId="159C1FCD" w14:textId="459A10EB" w:rsidR="00AA55E3" w:rsidRPr="00135351" w:rsidRDefault="006F24EE" w:rsidP="000C1D3E">
      <w:pPr>
        <w:spacing w:before="60" w:after="120"/>
        <w:jc w:val="both"/>
        <w:rPr>
          <w:rFonts w:ascii="Arial" w:hAnsi="Arial" w:cs="Arial"/>
          <w:sz w:val="20"/>
          <w:szCs w:val="20"/>
        </w:rPr>
      </w:pPr>
      <w:r w:rsidRPr="00135351">
        <w:rPr>
          <w:rFonts w:ascii="Arial" w:hAnsi="Arial" w:cs="Arial"/>
          <w:sz w:val="20"/>
          <w:szCs w:val="20"/>
        </w:rPr>
        <w:t xml:space="preserve">The total volume of chicken meat sold to third parties in </w:t>
      </w:r>
      <w:r w:rsidR="00D2118D" w:rsidRPr="00135351">
        <w:rPr>
          <w:rFonts w:ascii="Arial" w:hAnsi="Arial" w:cs="Arial"/>
          <w:sz w:val="20"/>
          <w:szCs w:val="20"/>
        </w:rPr>
        <w:t>12</w:t>
      </w:r>
      <w:r w:rsidR="002B658D" w:rsidRPr="00135351">
        <w:rPr>
          <w:rFonts w:ascii="Arial" w:hAnsi="Arial" w:cs="Arial"/>
          <w:sz w:val="20"/>
          <w:szCs w:val="20"/>
        </w:rPr>
        <w:t>M</w:t>
      </w:r>
      <w:r w:rsidRPr="00135351">
        <w:rPr>
          <w:rFonts w:ascii="Arial" w:hAnsi="Arial" w:cs="Arial"/>
          <w:sz w:val="20"/>
          <w:szCs w:val="20"/>
        </w:rPr>
        <w:t xml:space="preserve"> 2022 decreased by </w:t>
      </w:r>
      <w:r w:rsidR="00DB5AAE" w:rsidRPr="000D120B">
        <w:rPr>
          <w:rFonts w:ascii="Arial" w:hAnsi="Arial" w:cs="Arial"/>
          <w:sz w:val="20"/>
          <w:szCs w:val="20"/>
        </w:rPr>
        <w:t>5%</w:t>
      </w:r>
      <w:r w:rsidRPr="00135351">
        <w:rPr>
          <w:rFonts w:ascii="Arial" w:hAnsi="Arial" w:cs="Arial"/>
          <w:sz w:val="20"/>
          <w:szCs w:val="20"/>
        </w:rPr>
        <w:t xml:space="preserve"> to </w:t>
      </w:r>
      <w:r w:rsidR="00DB5AAE" w:rsidRPr="000D120B">
        <w:rPr>
          <w:rFonts w:ascii="Arial" w:hAnsi="Arial" w:cs="Arial"/>
          <w:sz w:val="20"/>
          <w:szCs w:val="20"/>
        </w:rPr>
        <w:t>665,975</w:t>
      </w:r>
      <w:r w:rsidRPr="00135351">
        <w:rPr>
          <w:rFonts w:ascii="Arial" w:hAnsi="Arial" w:cs="Arial"/>
          <w:sz w:val="20"/>
          <w:szCs w:val="20"/>
        </w:rPr>
        <w:t xml:space="preserve"> </w:t>
      </w:r>
      <w:proofErr w:type="spellStart"/>
      <w:r w:rsidRPr="00135351">
        <w:rPr>
          <w:rFonts w:ascii="Arial" w:hAnsi="Arial" w:cs="Arial"/>
          <w:sz w:val="20"/>
          <w:szCs w:val="20"/>
        </w:rPr>
        <w:t>tonnes</w:t>
      </w:r>
      <w:proofErr w:type="spellEnd"/>
      <w:r w:rsidRPr="00135351">
        <w:rPr>
          <w:rFonts w:ascii="Arial" w:hAnsi="Arial" w:cs="Arial"/>
          <w:sz w:val="20"/>
          <w:szCs w:val="20"/>
        </w:rPr>
        <w:t xml:space="preserve"> (</w:t>
      </w:r>
      <w:r w:rsidR="00D2118D" w:rsidRPr="00135351">
        <w:rPr>
          <w:rFonts w:ascii="Arial" w:hAnsi="Arial" w:cs="Arial"/>
          <w:sz w:val="20"/>
          <w:szCs w:val="20"/>
        </w:rPr>
        <w:t>12</w:t>
      </w:r>
      <w:r w:rsidR="002B658D" w:rsidRPr="00135351">
        <w:rPr>
          <w:rFonts w:ascii="Arial" w:hAnsi="Arial" w:cs="Arial"/>
          <w:sz w:val="20"/>
          <w:szCs w:val="20"/>
        </w:rPr>
        <w:t>M</w:t>
      </w:r>
      <w:r w:rsidRPr="00135351">
        <w:rPr>
          <w:rFonts w:ascii="Arial" w:hAnsi="Arial" w:cs="Arial"/>
          <w:sz w:val="20"/>
          <w:szCs w:val="20"/>
        </w:rPr>
        <w:t xml:space="preserve"> 2021: </w:t>
      </w:r>
      <w:r w:rsidR="00DB5AAE" w:rsidRPr="000D120B">
        <w:rPr>
          <w:rFonts w:ascii="Arial" w:hAnsi="Arial" w:cs="Arial"/>
          <w:sz w:val="20"/>
          <w:szCs w:val="20"/>
        </w:rPr>
        <w:t>704,010</w:t>
      </w:r>
      <w:r w:rsidRPr="00135351">
        <w:rPr>
          <w:rFonts w:ascii="Arial" w:hAnsi="Arial" w:cs="Arial"/>
          <w:sz w:val="20"/>
          <w:szCs w:val="20"/>
        </w:rPr>
        <w:t xml:space="preserve"> </w:t>
      </w:r>
      <w:proofErr w:type="spellStart"/>
      <w:r w:rsidRPr="00135351">
        <w:rPr>
          <w:rFonts w:ascii="Arial" w:hAnsi="Arial" w:cs="Arial"/>
          <w:sz w:val="20"/>
          <w:szCs w:val="20"/>
        </w:rPr>
        <w:t>tonnes</w:t>
      </w:r>
      <w:proofErr w:type="spellEnd"/>
      <w:r w:rsidRPr="00135351">
        <w:rPr>
          <w:rFonts w:ascii="Arial" w:hAnsi="Arial" w:cs="Arial"/>
          <w:sz w:val="20"/>
          <w:szCs w:val="20"/>
        </w:rPr>
        <w:t xml:space="preserve">) mainly </w:t>
      </w:r>
      <w:r w:rsidR="008F2F14">
        <w:rPr>
          <w:rFonts w:ascii="Arial" w:hAnsi="Arial" w:cs="Arial"/>
          <w:sz w:val="20"/>
          <w:szCs w:val="20"/>
        </w:rPr>
        <w:t>due to</w:t>
      </w:r>
      <w:r w:rsidR="0066746E" w:rsidRPr="00135351">
        <w:rPr>
          <w:rFonts w:ascii="Arial" w:hAnsi="Arial" w:cs="Arial"/>
          <w:sz w:val="20"/>
          <w:szCs w:val="20"/>
        </w:rPr>
        <w:t xml:space="preserve"> logistical challenges</w:t>
      </w:r>
      <w:r w:rsidR="0094050E" w:rsidRPr="00135351">
        <w:rPr>
          <w:rFonts w:ascii="Arial" w:hAnsi="Arial" w:cs="Arial"/>
          <w:sz w:val="20"/>
          <w:szCs w:val="20"/>
        </w:rPr>
        <w:t xml:space="preserve"> for export sales</w:t>
      </w:r>
      <w:r w:rsidR="0066746E" w:rsidRPr="00135351">
        <w:rPr>
          <w:rFonts w:ascii="Arial" w:hAnsi="Arial" w:cs="Arial"/>
          <w:sz w:val="20"/>
          <w:szCs w:val="20"/>
        </w:rPr>
        <w:t xml:space="preserve"> and lower demand in Ukraine due to the effects of the </w:t>
      </w:r>
      <w:r w:rsidR="008F2F14">
        <w:rPr>
          <w:rFonts w:ascii="Arial" w:hAnsi="Arial" w:cs="Arial"/>
          <w:sz w:val="20"/>
          <w:szCs w:val="20"/>
        </w:rPr>
        <w:t>W</w:t>
      </w:r>
      <w:r w:rsidR="0066746E" w:rsidRPr="00135351">
        <w:rPr>
          <w:rFonts w:ascii="Arial" w:hAnsi="Arial" w:cs="Arial"/>
          <w:sz w:val="20"/>
          <w:szCs w:val="20"/>
        </w:rPr>
        <w:t>ar.</w:t>
      </w:r>
      <w:r w:rsidR="000F3B13" w:rsidRPr="00135351">
        <w:rPr>
          <w:rFonts w:ascii="Arial" w:hAnsi="Arial" w:cs="Arial"/>
          <w:sz w:val="20"/>
          <w:szCs w:val="20"/>
        </w:rPr>
        <w:t xml:space="preserve"> </w:t>
      </w:r>
    </w:p>
    <w:p w14:paraId="35A33648" w14:textId="0A1CADF3" w:rsidR="00645C2A" w:rsidRPr="00FE1863" w:rsidRDefault="0017139A" w:rsidP="009273AA">
      <w:pPr>
        <w:spacing w:before="120" w:after="120"/>
        <w:jc w:val="both"/>
        <w:rPr>
          <w:rFonts w:ascii="Arial" w:hAnsi="Arial" w:cs="Arial"/>
          <w:sz w:val="20"/>
          <w:szCs w:val="20"/>
        </w:rPr>
      </w:pPr>
      <w:r w:rsidRPr="0017139A">
        <w:rPr>
          <w:rFonts w:ascii="Arial" w:hAnsi="Arial" w:cs="Arial"/>
          <w:sz w:val="20"/>
          <w:szCs w:val="20"/>
        </w:rPr>
        <w:t xml:space="preserve">Poultry exports in Q4 2022 increased by </w:t>
      </w:r>
      <w:r w:rsidRPr="000D120B">
        <w:rPr>
          <w:rFonts w:ascii="Arial" w:hAnsi="Arial" w:cs="Arial"/>
          <w:sz w:val="20"/>
          <w:szCs w:val="20"/>
        </w:rPr>
        <w:t>6%</w:t>
      </w:r>
      <w:r w:rsidRPr="0017139A">
        <w:rPr>
          <w:rFonts w:ascii="Arial" w:hAnsi="Arial" w:cs="Arial"/>
          <w:sz w:val="20"/>
          <w:szCs w:val="20"/>
        </w:rPr>
        <w:t xml:space="preserve"> y/y and by </w:t>
      </w:r>
      <w:r w:rsidRPr="000D120B">
        <w:rPr>
          <w:rFonts w:ascii="Arial" w:hAnsi="Arial" w:cs="Arial"/>
          <w:sz w:val="20"/>
          <w:szCs w:val="20"/>
        </w:rPr>
        <w:t>12%</w:t>
      </w:r>
      <w:r w:rsidRPr="0017139A">
        <w:rPr>
          <w:rFonts w:ascii="Arial" w:hAnsi="Arial" w:cs="Arial"/>
          <w:sz w:val="20"/>
          <w:szCs w:val="20"/>
        </w:rPr>
        <w:t xml:space="preserve"> q/q mainly driven by an intentional decrease of poultry stocks in non-resident warehouses, which have been accumulated in significant volumes during 2022 to secure stable export contracts taking into account logistics challenges driven by the War in Ukraine</w:t>
      </w:r>
      <w:r w:rsidRPr="00DB34B2">
        <w:rPr>
          <w:rFonts w:ascii="Arial" w:hAnsi="Arial" w:cs="Arial"/>
          <w:sz w:val="20"/>
          <w:szCs w:val="20"/>
        </w:rPr>
        <w:t>.</w:t>
      </w:r>
      <w:r>
        <w:rPr>
          <w:rFonts w:ascii="Arial" w:hAnsi="Arial" w:cs="Arial"/>
          <w:sz w:val="20"/>
          <w:szCs w:val="20"/>
        </w:rPr>
        <w:t xml:space="preserve"> </w:t>
      </w:r>
      <w:r w:rsidR="00EB6C1C" w:rsidRPr="00FE1863">
        <w:rPr>
          <w:rFonts w:ascii="Arial" w:hAnsi="Arial" w:cs="Arial"/>
          <w:sz w:val="20"/>
          <w:szCs w:val="20"/>
        </w:rPr>
        <w:t>Poultry export prices in Q</w:t>
      </w:r>
      <w:r w:rsidR="00FE1863" w:rsidRPr="00FE1863">
        <w:rPr>
          <w:rFonts w:ascii="Arial" w:hAnsi="Arial" w:cs="Arial"/>
          <w:sz w:val="20"/>
          <w:szCs w:val="20"/>
        </w:rPr>
        <w:t>4</w:t>
      </w:r>
      <w:r w:rsidR="00EB6C1C" w:rsidRPr="00FE1863">
        <w:rPr>
          <w:rFonts w:ascii="Arial" w:hAnsi="Arial" w:cs="Arial"/>
          <w:sz w:val="20"/>
          <w:szCs w:val="20"/>
        </w:rPr>
        <w:t xml:space="preserve"> 2022 increased by </w:t>
      </w:r>
      <w:r w:rsidR="00DB5AAE" w:rsidRPr="000D120B">
        <w:rPr>
          <w:rFonts w:ascii="Arial" w:hAnsi="Arial" w:cs="Arial"/>
          <w:sz w:val="20"/>
          <w:szCs w:val="20"/>
        </w:rPr>
        <w:t>25%</w:t>
      </w:r>
      <w:r w:rsidR="00EB6C1C" w:rsidRPr="00FE1863">
        <w:rPr>
          <w:rFonts w:ascii="Arial" w:hAnsi="Arial" w:cs="Arial"/>
          <w:sz w:val="20"/>
          <w:szCs w:val="20"/>
        </w:rPr>
        <w:t xml:space="preserve"> </w:t>
      </w:r>
      <w:r w:rsidR="003F2FCB" w:rsidRPr="00FE1863">
        <w:rPr>
          <w:rFonts w:ascii="Arial" w:hAnsi="Arial" w:cs="Arial"/>
          <w:sz w:val="20"/>
          <w:szCs w:val="20"/>
        </w:rPr>
        <w:t>y/y</w:t>
      </w:r>
      <w:r w:rsidR="00322BA5">
        <w:rPr>
          <w:rFonts w:ascii="Arial" w:hAnsi="Arial" w:cs="Arial"/>
          <w:sz w:val="20"/>
          <w:szCs w:val="20"/>
        </w:rPr>
        <w:t xml:space="preserve">, </w:t>
      </w:r>
      <w:r w:rsidR="00983F43" w:rsidRPr="00164B97">
        <w:rPr>
          <w:rFonts w:ascii="Arial" w:hAnsi="Arial" w:cs="Arial"/>
          <w:sz w:val="20"/>
          <w:szCs w:val="20"/>
        </w:rPr>
        <w:t xml:space="preserve">mainly driven by product mix </w:t>
      </w:r>
      <w:proofErr w:type="spellStart"/>
      <w:r w:rsidR="00983F43" w:rsidRPr="00164B97">
        <w:rPr>
          <w:rFonts w:ascii="Arial" w:hAnsi="Arial" w:cs="Arial"/>
          <w:sz w:val="20"/>
          <w:szCs w:val="20"/>
        </w:rPr>
        <w:t>optimi</w:t>
      </w:r>
      <w:r w:rsidR="00C42C51">
        <w:rPr>
          <w:rFonts w:ascii="Arial" w:hAnsi="Arial" w:cs="Arial"/>
          <w:sz w:val="20"/>
          <w:szCs w:val="20"/>
        </w:rPr>
        <w:t>s</w:t>
      </w:r>
      <w:r w:rsidR="00983F43" w:rsidRPr="00164B97">
        <w:rPr>
          <w:rFonts w:ascii="Arial" w:hAnsi="Arial" w:cs="Arial"/>
          <w:sz w:val="20"/>
          <w:szCs w:val="20"/>
        </w:rPr>
        <w:t>ation</w:t>
      </w:r>
      <w:proofErr w:type="spellEnd"/>
      <w:r w:rsidR="00983F43" w:rsidRPr="00164B97">
        <w:rPr>
          <w:rFonts w:ascii="Arial" w:hAnsi="Arial" w:cs="Arial"/>
          <w:sz w:val="20"/>
          <w:szCs w:val="20"/>
        </w:rPr>
        <w:t xml:space="preserve"> of sales as well as by substantial international price increases across all markets (particularly fillet prices in the EU and MENA and small bird prices in the MENA region)</w:t>
      </w:r>
      <w:r w:rsidR="00322BA5">
        <w:rPr>
          <w:rFonts w:ascii="Arial" w:hAnsi="Arial" w:cs="Arial"/>
          <w:sz w:val="20"/>
          <w:szCs w:val="20"/>
        </w:rPr>
        <w:t xml:space="preserve">. </w:t>
      </w:r>
    </w:p>
    <w:p w14:paraId="3D7F4941" w14:textId="01A728AC" w:rsidR="00E545FA" w:rsidRPr="00FE1863" w:rsidRDefault="00E545FA" w:rsidP="009273AA">
      <w:pPr>
        <w:spacing w:before="120" w:after="120"/>
        <w:jc w:val="both"/>
        <w:rPr>
          <w:rFonts w:ascii="Arial" w:hAnsi="Arial" w:cs="Arial"/>
          <w:sz w:val="20"/>
          <w:szCs w:val="20"/>
        </w:rPr>
      </w:pPr>
      <w:r w:rsidRPr="00322BA5">
        <w:rPr>
          <w:rFonts w:ascii="Arial" w:hAnsi="Arial" w:cs="Arial"/>
          <w:sz w:val="20"/>
          <w:szCs w:val="20"/>
        </w:rPr>
        <w:t xml:space="preserve">Driven by </w:t>
      </w:r>
      <w:r w:rsidR="00C42C51">
        <w:rPr>
          <w:rFonts w:ascii="Arial" w:hAnsi="Arial" w:cs="Arial"/>
          <w:sz w:val="20"/>
          <w:szCs w:val="20"/>
        </w:rPr>
        <w:t>W</w:t>
      </w:r>
      <w:r w:rsidRPr="00322BA5">
        <w:rPr>
          <w:rFonts w:ascii="Arial" w:hAnsi="Arial" w:cs="Arial"/>
          <w:sz w:val="20"/>
          <w:szCs w:val="20"/>
        </w:rPr>
        <w:t>ar-related news and challenges as well as</w:t>
      </w:r>
      <w:r w:rsidR="00C42C51">
        <w:rPr>
          <w:rFonts w:ascii="Arial" w:hAnsi="Arial" w:cs="Arial"/>
          <w:sz w:val="20"/>
          <w:szCs w:val="20"/>
        </w:rPr>
        <w:t xml:space="preserve"> by</w:t>
      </w:r>
      <w:r w:rsidRPr="00322BA5">
        <w:rPr>
          <w:rFonts w:ascii="Arial" w:hAnsi="Arial" w:cs="Arial"/>
          <w:sz w:val="20"/>
          <w:szCs w:val="20"/>
        </w:rPr>
        <w:t xml:space="preserve"> seasonality, in Q2 2022, poultry prices increased significantly</w:t>
      </w:r>
      <w:r w:rsidR="007D03F4">
        <w:rPr>
          <w:rFonts w:ascii="Arial" w:hAnsi="Arial" w:cs="Arial"/>
          <w:sz w:val="20"/>
          <w:szCs w:val="20"/>
        </w:rPr>
        <w:t>.</w:t>
      </w:r>
      <w:r w:rsidRPr="00322BA5">
        <w:rPr>
          <w:rFonts w:ascii="Arial" w:hAnsi="Arial" w:cs="Arial"/>
          <w:sz w:val="20"/>
          <w:szCs w:val="20"/>
        </w:rPr>
        <w:t xml:space="preserve"> </w:t>
      </w:r>
      <w:r w:rsidR="007D03F4">
        <w:rPr>
          <w:rFonts w:ascii="Arial" w:hAnsi="Arial" w:cs="Arial"/>
          <w:sz w:val="20"/>
          <w:szCs w:val="20"/>
        </w:rPr>
        <w:t>However, from September 2022</w:t>
      </w:r>
      <w:r w:rsidRPr="00322BA5">
        <w:rPr>
          <w:rFonts w:ascii="Arial" w:hAnsi="Arial" w:cs="Arial"/>
          <w:sz w:val="20"/>
          <w:szCs w:val="20"/>
        </w:rPr>
        <w:t xml:space="preserve">, </w:t>
      </w:r>
      <w:r w:rsidR="00C42C51">
        <w:rPr>
          <w:rFonts w:ascii="Arial" w:hAnsi="Arial" w:cs="Arial"/>
          <w:sz w:val="20"/>
          <w:szCs w:val="20"/>
        </w:rPr>
        <w:t>due to</w:t>
      </w:r>
      <w:r w:rsidRPr="00322BA5">
        <w:rPr>
          <w:rFonts w:ascii="Arial" w:hAnsi="Arial" w:cs="Arial"/>
          <w:sz w:val="20"/>
          <w:szCs w:val="20"/>
        </w:rPr>
        <w:t xml:space="preserve"> change</w:t>
      </w:r>
      <w:r w:rsidR="00C42C51">
        <w:rPr>
          <w:rFonts w:ascii="Arial" w:hAnsi="Arial" w:cs="Arial"/>
          <w:sz w:val="20"/>
          <w:szCs w:val="20"/>
        </w:rPr>
        <w:t>s</w:t>
      </w:r>
      <w:r w:rsidRPr="00322BA5">
        <w:rPr>
          <w:rFonts w:ascii="Arial" w:hAnsi="Arial" w:cs="Arial"/>
          <w:sz w:val="20"/>
          <w:szCs w:val="20"/>
        </w:rPr>
        <w:t xml:space="preserve"> in</w:t>
      </w:r>
      <w:r w:rsidR="00C42C51">
        <w:rPr>
          <w:rFonts w:ascii="Arial" w:hAnsi="Arial" w:cs="Arial"/>
          <w:sz w:val="20"/>
          <w:szCs w:val="20"/>
        </w:rPr>
        <w:t xml:space="preserve"> the</w:t>
      </w:r>
      <w:r w:rsidRPr="00322BA5">
        <w:rPr>
          <w:rFonts w:ascii="Arial" w:hAnsi="Arial" w:cs="Arial"/>
          <w:sz w:val="20"/>
          <w:szCs w:val="20"/>
        </w:rPr>
        <w:t xml:space="preserve"> economic environment in the EU and UK and increased competition in the MENA region </w:t>
      </w:r>
      <w:r w:rsidR="007D03F4">
        <w:rPr>
          <w:rFonts w:ascii="Arial" w:hAnsi="Arial" w:cs="Arial"/>
          <w:sz w:val="20"/>
          <w:szCs w:val="20"/>
        </w:rPr>
        <w:t>p</w:t>
      </w:r>
      <w:r w:rsidRPr="00322BA5">
        <w:rPr>
          <w:rFonts w:ascii="Arial" w:hAnsi="Arial" w:cs="Arial"/>
          <w:sz w:val="20"/>
          <w:szCs w:val="20"/>
        </w:rPr>
        <w:t xml:space="preserve">oultry prices across all export markets (MENA, EU and CIS) </w:t>
      </w:r>
      <w:r w:rsidR="001B27F1">
        <w:rPr>
          <w:rFonts w:ascii="Arial" w:hAnsi="Arial" w:cs="Arial"/>
          <w:sz w:val="20"/>
          <w:szCs w:val="20"/>
        </w:rPr>
        <w:t>from</w:t>
      </w:r>
      <w:r w:rsidR="001B27F1" w:rsidRPr="00322BA5">
        <w:rPr>
          <w:rFonts w:ascii="Arial" w:hAnsi="Arial" w:cs="Arial"/>
          <w:sz w:val="20"/>
          <w:szCs w:val="20"/>
        </w:rPr>
        <w:t xml:space="preserve"> </w:t>
      </w:r>
      <w:r w:rsidRPr="00322BA5">
        <w:rPr>
          <w:rFonts w:ascii="Arial" w:hAnsi="Arial" w:cs="Arial"/>
          <w:sz w:val="20"/>
          <w:szCs w:val="20"/>
        </w:rPr>
        <w:t>September 2022</w:t>
      </w:r>
      <w:r w:rsidR="00C42C51">
        <w:rPr>
          <w:rFonts w:ascii="Arial" w:hAnsi="Arial" w:cs="Arial"/>
          <w:sz w:val="20"/>
          <w:szCs w:val="20"/>
        </w:rPr>
        <w:t xml:space="preserve"> </w:t>
      </w:r>
      <w:r w:rsidRPr="00322BA5">
        <w:rPr>
          <w:rFonts w:ascii="Arial" w:hAnsi="Arial" w:cs="Arial"/>
          <w:sz w:val="20"/>
          <w:szCs w:val="20"/>
        </w:rPr>
        <w:t xml:space="preserve">started to </w:t>
      </w:r>
      <w:r w:rsidR="00C42C51">
        <w:rPr>
          <w:rFonts w:ascii="Arial" w:hAnsi="Arial" w:cs="Arial"/>
          <w:sz w:val="20"/>
          <w:szCs w:val="20"/>
        </w:rPr>
        <w:t>decline</w:t>
      </w:r>
      <w:r w:rsidRPr="00322BA5">
        <w:rPr>
          <w:rFonts w:ascii="Arial" w:hAnsi="Arial" w:cs="Arial"/>
          <w:sz w:val="20"/>
          <w:szCs w:val="20"/>
        </w:rPr>
        <w:t xml:space="preserve"> sharply</w:t>
      </w:r>
      <w:r w:rsidR="00322BA5">
        <w:rPr>
          <w:rFonts w:ascii="Arial" w:hAnsi="Arial" w:cs="Arial"/>
          <w:sz w:val="20"/>
          <w:szCs w:val="20"/>
        </w:rPr>
        <w:t>, which resulted in</w:t>
      </w:r>
      <w:r w:rsidR="001B27F1">
        <w:rPr>
          <w:rFonts w:ascii="Arial" w:hAnsi="Arial" w:cs="Arial"/>
          <w:sz w:val="20"/>
          <w:szCs w:val="20"/>
        </w:rPr>
        <w:t xml:space="preserve"> an</w:t>
      </w:r>
      <w:r w:rsidR="00C42C51">
        <w:rPr>
          <w:rFonts w:ascii="Arial" w:hAnsi="Arial" w:cs="Arial"/>
          <w:sz w:val="20"/>
          <w:szCs w:val="20"/>
        </w:rPr>
        <w:t xml:space="preserve"> </w:t>
      </w:r>
      <w:r w:rsidR="00322BA5">
        <w:rPr>
          <w:rFonts w:ascii="Arial" w:hAnsi="Arial" w:cs="Arial"/>
          <w:sz w:val="20"/>
          <w:szCs w:val="20"/>
        </w:rPr>
        <w:t>11%</w:t>
      </w:r>
      <w:r w:rsidR="00C42C51">
        <w:rPr>
          <w:rFonts w:ascii="Arial" w:hAnsi="Arial" w:cs="Arial"/>
          <w:sz w:val="20"/>
          <w:szCs w:val="20"/>
        </w:rPr>
        <w:t xml:space="preserve"> q/q</w:t>
      </w:r>
      <w:r w:rsidR="00322BA5">
        <w:rPr>
          <w:rFonts w:ascii="Arial" w:hAnsi="Arial" w:cs="Arial"/>
          <w:sz w:val="20"/>
          <w:szCs w:val="20"/>
        </w:rPr>
        <w:t xml:space="preserve"> decrease </w:t>
      </w:r>
      <w:r w:rsidR="00C42C51">
        <w:rPr>
          <w:rFonts w:ascii="Arial" w:hAnsi="Arial" w:cs="Arial"/>
          <w:sz w:val="20"/>
          <w:szCs w:val="20"/>
        </w:rPr>
        <w:t xml:space="preserve">in </w:t>
      </w:r>
      <w:r w:rsidR="00322BA5">
        <w:rPr>
          <w:rFonts w:ascii="Arial" w:hAnsi="Arial" w:cs="Arial"/>
          <w:sz w:val="20"/>
          <w:szCs w:val="20"/>
        </w:rPr>
        <w:t xml:space="preserve">price in </w:t>
      </w:r>
      <w:r w:rsidR="001B27F1">
        <w:rPr>
          <w:rFonts w:ascii="Arial" w:hAnsi="Arial" w:cs="Arial"/>
          <w:sz w:val="20"/>
          <w:szCs w:val="20"/>
        </w:rPr>
        <w:t>Q4</w:t>
      </w:r>
      <w:r w:rsidRPr="00322BA5">
        <w:rPr>
          <w:rFonts w:ascii="Arial" w:hAnsi="Arial" w:cs="Arial"/>
          <w:sz w:val="20"/>
          <w:szCs w:val="20"/>
        </w:rPr>
        <w:t xml:space="preserve">. Current prices </w:t>
      </w:r>
      <w:r w:rsidR="00127B79">
        <w:rPr>
          <w:rFonts w:ascii="Arial" w:hAnsi="Arial" w:cs="Arial"/>
          <w:sz w:val="20"/>
          <w:szCs w:val="20"/>
        </w:rPr>
        <w:t>remain substantially</w:t>
      </w:r>
      <w:r w:rsidRPr="00305177">
        <w:rPr>
          <w:rFonts w:ascii="Arial" w:hAnsi="Arial" w:cs="Arial"/>
          <w:sz w:val="20"/>
          <w:szCs w:val="20"/>
        </w:rPr>
        <w:t xml:space="preserve"> lower than in Q</w:t>
      </w:r>
      <w:r w:rsidR="00127B79">
        <w:rPr>
          <w:rFonts w:ascii="Arial" w:hAnsi="Arial" w:cs="Arial"/>
          <w:sz w:val="20"/>
          <w:szCs w:val="20"/>
        </w:rPr>
        <w:t>3</w:t>
      </w:r>
      <w:r w:rsidRPr="00305177">
        <w:rPr>
          <w:rFonts w:ascii="Arial" w:hAnsi="Arial" w:cs="Arial"/>
          <w:sz w:val="20"/>
          <w:szCs w:val="20"/>
        </w:rPr>
        <w:t xml:space="preserve"> 2022</w:t>
      </w:r>
      <w:r w:rsidR="001B27F1">
        <w:rPr>
          <w:rFonts w:ascii="Arial" w:hAnsi="Arial" w:cs="Arial"/>
          <w:sz w:val="20"/>
          <w:szCs w:val="20"/>
        </w:rPr>
        <w:t>.</w:t>
      </w:r>
      <w:r w:rsidRPr="00322BA5">
        <w:rPr>
          <w:rFonts w:ascii="Arial" w:hAnsi="Arial" w:cs="Arial"/>
          <w:sz w:val="20"/>
          <w:szCs w:val="20"/>
        </w:rPr>
        <w:t xml:space="preserve"> </w:t>
      </w:r>
      <w:r w:rsidR="001B27F1">
        <w:rPr>
          <w:rFonts w:ascii="Arial" w:hAnsi="Arial" w:cs="Arial"/>
          <w:sz w:val="20"/>
          <w:szCs w:val="20"/>
        </w:rPr>
        <w:t>M</w:t>
      </w:r>
      <w:r w:rsidRPr="00322BA5">
        <w:rPr>
          <w:rFonts w:ascii="Arial" w:hAnsi="Arial" w:cs="Arial"/>
          <w:sz w:val="20"/>
          <w:szCs w:val="20"/>
        </w:rPr>
        <w:t xml:space="preserve">oreover, MHP </w:t>
      </w:r>
      <w:r w:rsidR="00871A73" w:rsidRPr="00322BA5">
        <w:rPr>
          <w:rFonts w:ascii="Arial" w:hAnsi="Arial" w:cs="Arial"/>
          <w:sz w:val="20"/>
          <w:szCs w:val="20"/>
        </w:rPr>
        <w:t>has</w:t>
      </w:r>
      <w:r w:rsidR="00A21B1C">
        <w:rPr>
          <w:rFonts w:ascii="Arial" w:hAnsi="Arial" w:cs="Arial"/>
          <w:sz w:val="20"/>
          <w:szCs w:val="20"/>
        </w:rPr>
        <w:t>, since March 2022,</w:t>
      </w:r>
      <w:r w:rsidR="00871A73" w:rsidRPr="00322BA5">
        <w:rPr>
          <w:rFonts w:ascii="Arial" w:hAnsi="Arial" w:cs="Arial"/>
          <w:sz w:val="20"/>
          <w:szCs w:val="20"/>
        </w:rPr>
        <w:t xml:space="preserve"> been </w:t>
      </w:r>
      <w:r w:rsidRPr="00322BA5">
        <w:rPr>
          <w:rFonts w:ascii="Arial" w:hAnsi="Arial" w:cs="Arial"/>
          <w:sz w:val="20"/>
          <w:szCs w:val="20"/>
        </w:rPr>
        <w:t xml:space="preserve">facing </w:t>
      </w:r>
      <w:r w:rsidR="00563735">
        <w:rPr>
          <w:rFonts w:ascii="Arial" w:hAnsi="Arial" w:cs="Arial"/>
          <w:sz w:val="20"/>
          <w:szCs w:val="20"/>
        </w:rPr>
        <w:t>significant</w:t>
      </w:r>
      <w:r w:rsidR="00A21B1C">
        <w:rPr>
          <w:rFonts w:ascii="Arial" w:hAnsi="Arial" w:cs="Arial"/>
          <w:sz w:val="20"/>
          <w:szCs w:val="20"/>
        </w:rPr>
        <w:t xml:space="preserve"> y/y</w:t>
      </w:r>
      <w:r w:rsidRPr="00322BA5">
        <w:rPr>
          <w:rFonts w:ascii="Arial" w:hAnsi="Arial" w:cs="Arial"/>
          <w:sz w:val="20"/>
          <w:szCs w:val="20"/>
        </w:rPr>
        <w:t xml:space="preserve"> increase in its</w:t>
      </w:r>
      <w:r w:rsidR="001B27F1">
        <w:rPr>
          <w:rFonts w:ascii="Arial" w:hAnsi="Arial" w:cs="Arial"/>
          <w:sz w:val="20"/>
          <w:szCs w:val="20"/>
        </w:rPr>
        <w:t xml:space="preserve"> export</w:t>
      </w:r>
      <w:r w:rsidRPr="00322BA5">
        <w:rPr>
          <w:rFonts w:ascii="Arial" w:hAnsi="Arial" w:cs="Arial"/>
          <w:sz w:val="20"/>
          <w:szCs w:val="20"/>
        </w:rPr>
        <w:t xml:space="preserve"> logistic cost, </w:t>
      </w:r>
      <w:r w:rsidR="001B27F1">
        <w:rPr>
          <w:rFonts w:ascii="Arial" w:hAnsi="Arial" w:cs="Arial"/>
          <w:sz w:val="20"/>
          <w:szCs w:val="20"/>
        </w:rPr>
        <w:t xml:space="preserve">unlike </w:t>
      </w:r>
      <w:r w:rsidRPr="00322BA5">
        <w:rPr>
          <w:rFonts w:ascii="Arial" w:hAnsi="Arial" w:cs="Arial"/>
          <w:sz w:val="20"/>
          <w:szCs w:val="20"/>
        </w:rPr>
        <w:t>our</w:t>
      </w:r>
      <w:r w:rsidR="00A21B1C">
        <w:rPr>
          <w:rFonts w:ascii="Arial" w:hAnsi="Arial" w:cs="Arial"/>
          <w:sz w:val="20"/>
          <w:szCs w:val="20"/>
        </w:rPr>
        <w:t xml:space="preserve"> international</w:t>
      </w:r>
      <w:r w:rsidRPr="00322BA5">
        <w:rPr>
          <w:rFonts w:ascii="Arial" w:hAnsi="Arial" w:cs="Arial"/>
          <w:sz w:val="20"/>
          <w:szCs w:val="20"/>
        </w:rPr>
        <w:t xml:space="preserve"> competitors</w:t>
      </w:r>
      <w:r w:rsidR="001B27F1">
        <w:rPr>
          <w:rFonts w:ascii="Arial" w:hAnsi="Arial" w:cs="Arial"/>
          <w:sz w:val="20"/>
          <w:szCs w:val="20"/>
        </w:rPr>
        <w:t xml:space="preserve"> which</w:t>
      </w:r>
      <w:r w:rsidR="00871A73" w:rsidRPr="00322BA5">
        <w:rPr>
          <w:rFonts w:ascii="Arial" w:hAnsi="Arial" w:cs="Arial"/>
          <w:sz w:val="20"/>
          <w:szCs w:val="20"/>
        </w:rPr>
        <w:t xml:space="preserve"> </w:t>
      </w:r>
      <w:r w:rsidRPr="00322BA5">
        <w:rPr>
          <w:rFonts w:ascii="Arial" w:hAnsi="Arial" w:cs="Arial"/>
          <w:sz w:val="20"/>
          <w:szCs w:val="20"/>
        </w:rPr>
        <w:t>have considerably lower logistics cost</w:t>
      </w:r>
      <w:r w:rsidR="00A21B1C">
        <w:rPr>
          <w:rFonts w:ascii="Arial" w:hAnsi="Arial" w:cs="Arial"/>
          <w:sz w:val="20"/>
          <w:szCs w:val="20"/>
        </w:rPr>
        <w:t>s</w:t>
      </w:r>
      <w:r w:rsidRPr="00322BA5">
        <w:rPr>
          <w:rFonts w:ascii="Arial" w:hAnsi="Arial" w:cs="Arial"/>
          <w:sz w:val="20"/>
          <w:szCs w:val="20"/>
        </w:rPr>
        <w:t>.</w:t>
      </w:r>
    </w:p>
    <w:p w14:paraId="0058B7CF" w14:textId="0CF9522D" w:rsidR="002E707A" w:rsidRPr="00FE1863" w:rsidRDefault="000F3B13" w:rsidP="000C1D3E">
      <w:pPr>
        <w:spacing w:before="120" w:after="120"/>
        <w:jc w:val="both"/>
        <w:rPr>
          <w:rFonts w:ascii="Arial" w:hAnsi="Arial" w:cs="Arial"/>
          <w:sz w:val="20"/>
          <w:szCs w:val="20"/>
        </w:rPr>
      </w:pPr>
      <w:r w:rsidRPr="00FE1863">
        <w:rPr>
          <w:rFonts w:ascii="Arial" w:hAnsi="Arial" w:cs="Arial"/>
          <w:sz w:val="20"/>
          <w:szCs w:val="20"/>
        </w:rPr>
        <w:t>In Q</w:t>
      </w:r>
      <w:r w:rsidR="00D2118D" w:rsidRPr="00FE1863">
        <w:rPr>
          <w:rFonts w:ascii="Arial" w:hAnsi="Arial" w:cs="Arial"/>
          <w:sz w:val="20"/>
          <w:szCs w:val="20"/>
        </w:rPr>
        <w:t>4</w:t>
      </w:r>
      <w:r w:rsidRPr="00FE1863">
        <w:rPr>
          <w:rFonts w:ascii="Arial" w:hAnsi="Arial" w:cs="Arial"/>
          <w:sz w:val="20"/>
          <w:szCs w:val="20"/>
        </w:rPr>
        <w:t xml:space="preserve"> </w:t>
      </w:r>
      <w:r w:rsidR="00E22622" w:rsidRPr="00FE1863">
        <w:rPr>
          <w:rFonts w:ascii="Arial" w:hAnsi="Arial" w:cs="Arial"/>
          <w:sz w:val="20"/>
          <w:szCs w:val="20"/>
        </w:rPr>
        <w:t>2022</w:t>
      </w:r>
      <w:r w:rsidRPr="00FE1863">
        <w:rPr>
          <w:rFonts w:ascii="Arial" w:hAnsi="Arial" w:cs="Arial"/>
          <w:sz w:val="20"/>
          <w:szCs w:val="20"/>
        </w:rPr>
        <w:t xml:space="preserve"> poultry prices </w:t>
      </w:r>
      <w:r w:rsidR="005551DD">
        <w:rPr>
          <w:rFonts w:ascii="Arial" w:hAnsi="Arial" w:cs="Arial"/>
          <w:sz w:val="20"/>
          <w:szCs w:val="20"/>
        </w:rPr>
        <w:t>in</w:t>
      </w:r>
      <w:r w:rsidR="005551DD" w:rsidRPr="00FE1863">
        <w:rPr>
          <w:rFonts w:ascii="Arial" w:hAnsi="Arial" w:cs="Arial"/>
          <w:sz w:val="20"/>
          <w:szCs w:val="20"/>
        </w:rPr>
        <w:t xml:space="preserve"> </w:t>
      </w:r>
      <w:r w:rsidRPr="00FE1863">
        <w:rPr>
          <w:rFonts w:ascii="Arial" w:hAnsi="Arial" w:cs="Arial"/>
          <w:sz w:val="20"/>
          <w:szCs w:val="20"/>
        </w:rPr>
        <w:t xml:space="preserve">the domestic market </w:t>
      </w:r>
      <w:r w:rsidR="005551DD">
        <w:rPr>
          <w:rFonts w:ascii="Arial" w:hAnsi="Arial" w:cs="Arial"/>
          <w:sz w:val="20"/>
          <w:szCs w:val="20"/>
        </w:rPr>
        <w:t>(</w:t>
      </w:r>
      <w:r w:rsidRPr="00FE1863">
        <w:rPr>
          <w:rFonts w:ascii="Arial" w:hAnsi="Arial" w:cs="Arial"/>
          <w:sz w:val="20"/>
          <w:szCs w:val="20"/>
        </w:rPr>
        <w:t>US</w:t>
      </w:r>
      <w:r w:rsidR="005551DD">
        <w:rPr>
          <w:rFonts w:ascii="Arial" w:hAnsi="Arial" w:cs="Arial"/>
          <w:sz w:val="20"/>
          <w:szCs w:val="20"/>
        </w:rPr>
        <w:t>$</w:t>
      </w:r>
      <w:r w:rsidR="003F2FCB" w:rsidRPr="00FE1863">
        <w:rPr>
          <w:rFonts w:ascii="Arial" w:hAnsi="Arial" w:cs="Arial"/>
          <w:sz w:val="20"/>
          <w:szCs w:val="20"/>
        </w:rPr>
        <w:t xml:space="preserve"> terms</w:t>
      </w:r>
      <w:r w:rsidR="005551DD">
        <w:rPr>
          <w:rFonts w:ascii="Arial" w:hAnsi="Arial" w:cs="Arial"/>
          <w:sz w:val="20"/>
          <w:szCs w:val="20"/>
        </w:rPr>
        <w:t>)</w:t>
      </w:r>
      <w:r w:rsidRPr="00FE1863">
        <w:rPr>
          <w:rFonts w:ascii="Arial" w:hAnsi="Arial" w:cs="Arial"/>
          <w:sz w:val="20"/>
          <w:szCs w:val="20"/>
        </w:rPr>
        <w:t xml:space="preserve"> </w:t>
      </w:r>
      <w:r w:rsidR="00F55297" w:rsidRPr="00FE1863">
        <w:rPr>
          <w:rFonts w:ascii="Arial" w:hAnsi="Arial" w:cs="Arial"/>
          <w:sz w:val="20"/>
          <w:szCs w:val="20"/>
        </w:rPr>
        <w:t>de</w:t>
      </w:r>
      <w:r w:rsidRPr="00FE1863">
        <w:rPr>
          <w:rFonts w:ascii="Arial" w:hAnsi="Arial" w:cs="Arial"/>
          <w:sz w:val="20"/>
          <w:szCs w:val="20"/>
        </w:rPr>
        <w:t xml:space="preserve">creased by </w:t>
      </w:r>
      <w:r w:rsidR="00DB5AAE" w:rsidRPr="000D120B">
        <w:rPr>
          <w:rFonts w:ascii="Arial" w:hAnsi="Arial" w:cs="Arial"/>
          <w:sz w:val="20"/>
          <w:szCs w:val="20"/>
        </w:rPr>
        <w:t>24%</w:t>
      </w:r>
      <w:r w:rsidRPr="00FE1863">
        <w:rPr>
          <w:rFonts w:ascii="Arial" w:hAnsi="Arial" w:cs="Arial"/>
          <w:sz w:val="20"/>
          <w:szCs w:val="20"/>
        </w:rPr>
        <w:t xml:space="preserve"> </w:t>
      </w:r>
      <w:r w:rsidR="003F2FCB" w:rsidRPr="00FE1863">
        <w:rPr>
          <w:rFonts w:ascii="Arial" w:hAnsi="Arial" w:cs="Arial"/>
          <w:sz w:val="20"/>
          <w:szCs w:val="20"/>
        </w:rPr>
        <w:t>y/y</w:t>
      </w:r>
      <w:r w:rsidR="00C36DC6" w:rsidRPr="00FE1863">
        <w:rPr>
          <w:rFonts w:ascii="Arial" w:hAnsi="Arial" w:cs="Arial"/>
          <w:sz w:val="20"/>
          <w:szCs w:val="20"/>
        </w:rPr>
        <w:t>,</w:t>
      </w:r>
      <w:r w:rsidR="0094050E" w:rsidRPr="00FE1863">
        <w:rPr>
          <w:rFonts w:ascii="Arial" w:hAnsi="Arial" w:cs="Arial"/>
          <w:sz w:val="20"/>
          <w:szCs w:val="20"/>
        </w:rPr>
        <w:t xml:space="preserve"> and by </w:t>
      </w:r>
      <w:r w:rsidR="00DB5AAE" w:rsidRPr="000D120B">
        <w:rPr>
          <w:rFonts w:ascii="Arial" w:hAnsi="Arial" w:cs="Arial"/>
          <w:sz w:val="20"/>
          <w:szCs w:val="20"/>
        </w:rPr>
        <w:t>1%</w:t>
      </w:r>
      <w:r w:rsidR="0094050E" w:rsidRPr="00FE1863">
        <w:rPr>
          <w:rFonts w:ascii="Arial" w:hAnsi="Arial" w:cs="Arial"/>
          <w:sz w:val="20"/>
          <w:szCs w:val="20"/>
        </w:rPr>
        <w:t xml:space="preserve"> </w:t>
      </w:r>
      <w:r w:rsidR="003F2FCB" w:rsidRPr="00FE1863">
        <w:rPr>
          <w:rFonts w:ascii="Arial" w:hAnsi="Arial" w:cs="Arial"/>
          <w:sz w:val="20"/>
          <w:szCs w:val="20"/>
        </w:rPr>
        <w:t>q/q</w:t>
      </w:r>
      <w:r w:rsidR="00983F43" w:rsidRPr="00FE1863">
        <w:rPr>
          <w:rFonts w:ascii="Arial" w:hAnsi="Arial" w:cs="Arial"/>
          <w:sz w:val="20"/>
          <w:szCs w:val="20"/>
        </w:rPr>
        <w:t>,</w:t>
      </w:r>
      <w:r w:rsidR="00C36DC6" w:rsidRPr="00FE1863">
        <w:rPr>
          <w:rFonts w:ascii="Arial" w:hAnsi="Arial" w:cs="Arial"/>
          <w:sz w:val="20"/>
          <w:szCs w:val="20"/>
        </w:rPr>
        <w:t xml:space="preserve"> </w:t>
      </w:r>
      <w:r w:rsidR="00EA2F5E" w:rsidRPr="00FE1863">
        <w:rPr>
          <w:rFonts w:ascii="Arial" w:hAnsi="Arial" w:cs="Arial"/>
          <w:sz w:val="20"/>
          <w:szCs w:val="20"/>
        </w:rPr>
        <w:t>predominantly driven</w:t>
      </w:r>
      <w:r w:rsidR="00871A73" w:rsidRPr="00FE1863">
        <w:rPr>
          <w:rFonts w:ascii="Arial" w:hAnsi="Arial" w:cs="Arial"/>
          <w:sz w:val="20"/>
          <w:szCs w:val="20"/>
        </w:rPr>
        <w:t xml:space="preserve"> by </w:t>
      </w:r>
      <w:r w:rsidR="005551DD">
        <w:rPr>
          <w:rFonts w:ascii="Arial" w:hAnsi="Arial" w:cs="Arial"/>
          <w:sz w:val="20"/>
          <w:szCs w:val="20"/>
        </w:rPr>
        <w:t xml:space="preserve">the </w:t>
      </w:r>
      <w:r w:rsidR="00871A73" w:rsidRPr="00FE1863">
        <w:rPr>
          <w:rFonts w:ascii="Arial" w:hAnsi="Arial" w:cs="Arial"/>
          <w:sz w:val="20"/>
          <w:szCs w:val="20"/>
        </w:rPr>
        <w:t>significant depreciation</w:t>
      </w:r>
      <w:r w:rsidR="00EA2F5E" w:rsidRPr="00FE1863">
        <w:rPr>
          <w:rFonts w:ascii="Arial" w:hAnsi="Arial" w:cs="Arial"/>
          <w:sz w:val="20"/>
          <w:szCs w:val="20"/>
        </w:rPr>
        <w:t xml:space="preserve"> </w:t>
      </w:r>
      <w:r w:rsidR="00871A73" w:rsidRPr="00FE1863">
        <w:rPr>
          <w:rFonts w:ascii="Arial" w:hAnsi="Arial" w:cs="Arial"/>
          <w:sz w:val="20"/>
          <w:szCs w:val="20"/>
        </w:rPr>
        <w:t>of</w:t>
      </w:r>
      <w:r w:rsidR="005551DD">
        <w:rPr>
          <w:rFonts w:ascii="Arial" w:hAnsi="Arial" w:cs="Arial"/>
          <w:sz w:val="20"/>
          <w:szCs w:val="20"/>
        </w:rPr>
        <w:t xml:space="preserve"> the UAH</w:t>
      </w:r>
      <w:r w:rsidR="002E707A" w:rsidRPr="00FE1863">
        <w:rPr>
          <w:rFonts w:ascii="Arial" w:hAnsi="Arial" w:cs="Arial"/>
          <w:sz w:val="20"/>
          <w:szCs w:val="20"/>
        </w:rPr>
        <w:t>. In UAH terms, in Q</w:t>
      </w:r>
      <w:r w:rsidR="00D2118D" w:rsidRPr="00FE1863">
        <w:rPr>
          <w:rFonts w:ascii="Arial" w:hAnsi="Arial" w:cs="Arial"/>
          <w:sz w:val="20"/>
          <w:szCs w:val="20"/>
        </w:rPr>
        <w:t>4</w:t>
      </w:r>
      <w:r w:rsidR="002E707A" w:rsidRPr="00FE1863">
        <w:rPr>
          <w:rFonts w:ascii="Arial" w:hAnsi="Arial" w:cs="Arial"/>
          <w:sz w:val="20"/>
          <w:szCs w:val="20"/>
        </w:rPr>
        <w:t xml:space="preserve"> 2022, poultry prices </w:t>
      </w:r>
      <w:r w:rsidR="002E707A" w:rsidRPr="00615725">
        <w:rPr>
          <w:rFonts w:ascii="Arial" w:hAnsi="Arial" w:cs="Arial"/>
          <w:sz w:val="20"/>
          <w:szCs w:val="20"/>
        </w:rPr>
        <w:t>remained stable y/y</w:t>
      </w:r>
      <w:r w:rsidR="00475755">
        <w:rPr>
          <w:rFonts w:ascii="Arial" w:hAnsi="Arial" w:cs="Arial"/>
          <w:sz w:val="20"/>
          <w:szCs w:val="20"/>
        </w:rPr>
        <w:t>, while</w:t>
      </w:r>
      <w:r w:rsidR="002E707A" w:rsidRPr="00FE1863">
        <w:rPr>
          <w:rFonts w:ascii="Arial" w:hAnsi="Arial" w:cs="Arial"/>
          <w:sz w:val="20"/>
          <w:szCs w:val="20"/>
        </w:rPr>
        <w:t xml:space="preserve"> </w:t>
      </w:r>
      <w:r w:rsidR="00475755">
        <w:rPr>
          <w:rFonts w:ascii="Arial" w:hAnsi="Arial" w:cs="Arial"/>
          <w:sz w:val="20"/>
          <w:szCs w:val="20"/>
        </w:rPr>
        <w:t>slightly</w:t>
      </w:r>
      <w:r w:rsidR="00871A73" w:rsidRPr="00FE1863">
        <w:rPr>
          <w:rFonts w:ascii="Arial" w:hAnsi="Arial" w:cs="Arial"/>
          <w:sz w:val="20"/>
          <w:szCs w:val="20"/>
        </w:rPr>
        <w:t xml:space="preserve"> </w:t>
      </w:r>
      <w:r w:rsidR="005551DD" w:rsidRPr="00FE1863">
        <w:rPr>
          <w:rFonts w:ascii="Arial" w:hAnsi="Arial" w:cs="Arial"/>
          <w:sz w:val="20"/>
          <w:szCs w:val="20"/>
        </w:rPr>
        <w:t>increas</w:t>
      </w:r>
      <w:r w:rsidR="005551DD">
        <w:rPr>
          <w:rFonts w:ascii="Arial" w:hAnsi="Arial" w:cs="Arial"/>
          <w:sz w:val="20"/>
          <w:szCs w:val="20"/>
        </w:rPr>
        <w:t>ing</w:t>
      </w:r>
      <w:r w:rsidR="005551DD" w:rsidRPr="00FE1863">
        <w:rPr>
          <w:rFonts w:ascii="Arial" w:hAnsi="Arial" w:cs="Arial"/>
          <w:sz w:val="20"/>
          <w:szCs w:val="20"/>
        </w:rPr>
        <w:t xml:space="preserve"> </w:t>
      </w:r>
      <w:r w:rsidR="002E707A" w:rsidRPr="00FE1863">
        <w:rPr>
          <w:rFonts w:ascii="Arial" w:hAnsi="Arial" w:cs="Arial"/>
          <w:sz w:val="20"/>
          <w:szCs w:val="20"/>
        </w:rPr>
        <w:t>q/q</w:t>
      </w:r>
      <w:r w:rsidR="002E707A" w:rsidRPr="00563735">
        <w:rPr>
          <w:rFonts w:ascii="Arial" w:hAnsi="Arial" w:cs="Arial"/>
          <w:sz w:val="20"/>
          <w:szCs w:val="20"/>
        </w:rPr>
        <w:t>.</w:t>
      </w:r>
    </w:p>
    <w:p w14:paraId="7168FC1B" w14:textId="77777777" w:rsidR="001B27F1" w:rsidRDefault="001B27F1" w:rsidP="000C1D3E">
      <w:pPr>
        <w:spacing w:before="120" w:after="120"/>
        <w:jc w:val="both"/>
        <w:rPr>
          <w:rFonts w:ascii="Arial" w:hAnsi="Arial" w:cs="Arial"/>
          <w:b/>
          <w:i/>
          <w:sz w:val="20"/>
          <w:szCs w:val="20"/>
        </w:rPr>
      </w:pPr>
    </w:p>
    <w:p w14:paraId="282D74A9" w14:textId="12A57AE9" w:rsidR="00B27736" w:rsidRPr="00FE1863" w:rsidRDefault="002962DD" w:rsidP="000C1D3E">
      <w:pPr>
        <w:spacing w:before="120" w:after="120"/>
        <w:jc w:val="both"/>
        <w:rPr>
          <w:rFonts w:ascii="Arial" w:hAnsi="Arial" w:cs="Arial"/>
          <w:sz w:val="20"/>
          <w:szCs w:val="20"/>
        </w:rPr>
      </w:pPr>
      <w:r w:rsidRPr="00FE1863">
        <w:rPr>
          <w:rFonts w:ascii="Arial" w:hAnsi="Arial" w:cs="Arial"/>
          <w:b/>
          <w:i/>
          <w:sz w:val="20"/>
          <w:szCs w:val="20"/>
        </w:rPr>
        <w:lastRenderedPageBreak/>
        <w:t>Vegetable oil</w:t>
      </w:r>
    </w:p>
    <w:p w14:paraId="19C815B0" w14:textId="2687BBE4" w:rsidR="00233B10" w:rsidRPr="00EF6048" w:rsidRDefault="00233B10" w:rsidP="00075407">
      <w:pPr>
        <w:spacing w:before="120" w:after="120"/>
        <w:jc w:val="both"/>
        <w:rPr>
          <w:rFonts w:ascii="Arial" w:hAnsi="Arial" w:cs="Arial"/>
          <w:sz w:val="20"/>
          <w:szCs w:val="20"/>
        </w:rPr>
      </w:pPr>
      <w:r w:rsidRPr="00EF6048">
        <w:rPr>
          <w:rFonts w:ascii="Arial" w:hAnsi="Arial" w:cs="Arial"/>
          <w:sz w:val="20"/>
          <w:szCs w:val="20"/>
        </w:rPr>
        <w:t>In Q</w:t>
      </w:r>
      <w:r w:rsidR="00D2118D" w:rsidRPr="00EF6048">
        <w:rPr>
          <w:rFonts w:ascii="Arial" w:hAnsi="Arial" w:cs="Arial"/>
          <w:sz w:val="20"/>
          <w:szCs w:val="20"/>
        </w:rPr>
        <w:t>4</w:t>
      </w:r>
      <w:r w:rsidRPr="00EF6048">
        <w:rPr>
          <w:rFonts w:ascii="Arial" w:hAnsi="Arial" w:cs="Arial"/>
          <w:sz w:val="20"/>
          <w:szCs w:val="20"/>
        </w:rPr>
        <w:t xml:space="preserve"> 2022, sunflower </w:t>
      </w:r>
      <w:r w:rsidRPr="000F466C">
        <w:rPr>
          <w:rFonts w:ascii="Arial" w:hAnsi="Arial" w:cs="Arial"/>
          <w:sz w:val="20"/>
          <w:szCs w:val="20"/>
        </w:rPr>
        <w:t>oil sales volume</w:t>
      </w:r>
      <w:r w:rsidR="009A7319" w:rsidRPr="000F466C">
        <w:rPr>
          <w:rFonts w:ascii="Arial" w:hAnsi="Arial" w:cs="Arial"/>
          <w:sz w:val="20"/>
          <w:szCs w:val="20"/>
        </w:rPr>
        <w:t>s</w:t>
      </w:r>
      <w:r w:rsidRPr="000F466C">
        <w:rPr>
          <w:rFonts w:ascii="Arial" w:hAnsi="Arial" w:cs="Arial"/>
          <w:sz w:val="20"/>
          <w:szCs w:val="20"/>
        </w:rPr>
        <w:t xml:space="preserve"> amounted to </w:t>
      </w:r>
      <w:r w:rsidR="00DB5AAE" w:rsidRPr="000F466C">
        <w:rPr>
          <w:rFonts w:ascii="Arial" w:hAnsi="Arial" w:cs="Arial"/>
          <w:sz w:val="20"/>
          <w:szCs w:val="20"/>
        </w:rPr>
        <w:t>95,895</w:t>
      </w:r>
      <w:r w:rsidRPr="000F466C">
        <w:rPr>
          <w:rFonts w:ascii="Arial" w:hAnsi="Arial" w:cs="Arial"/>
          <w:sz w:val="20"/>
          <w:szCs w:val="20"/>
        </w:rPr>
        <w:t xml:space="preserve"> </w:t>
      </w:r>
      <w:proofErr w:type="spellStart"/>
      <w:r w:rsidRPr="000F466C">
        <w:rPr>
          <w:rFonts w:ascii="Arial" w:hAnsi="Arial" w:cs="Arial"/>
          <w:sz w:val="20"/>
          <w:szCs w:val="20"/>
        </w:rPr>
        <w:t>tonnes</w:t>
      </w:r>
      <w:proofErr w:type="spellEnd"/>
      <w:r w:rsidRPr="000F466C">
        <w:rPr>
          <w:rFonts w:ascii="Arial" w:hAnsi="Arial" w:cs="Arial"/>
          <w:sz w:val="20"/>
          <w:szCs w:val="20"/>
        </w:rPr>
        <w:t>, up</w:t>
      </w:r>
      <w:r w:rsidR="00045A7E" w:rsidRPr="000F466C">
        <w:rPr>
          <w:rFonts w:ascii="Arial" w:hAnsi="Arial" w:cs="Arial"/>
          <w:sz w:val="20"/>
          <w:szCs w:val="20"/>
        </w:rPr>
        <w:t xml:space="preserve"> </w:t>
      </w:r>
      <w:r w:rsidR="00DB5AAE" w:rsidRPr="000F466C">
        <w:rPr>
          <w:rFonts w:ascii="Arial" w:hAnsi="Arial" w:cs="Arial"/>
          <w:sz w:val="20"/>
          <w:szCs w:val="20"/>
        </w:rPr>
        <w:t>21%</w:t>
      </w:r>
      <w:r w:rsidRPr="000F466C">
        <w:rPr>
          <w:rFonts w:ascii="Arial" w:hAnsi="Arial" w:cs="Arial"/>
          <w:sz w:val="20"/>
          <w:szCs w:val="20"/>
        </w:rPr>
        <w:t xml:space="preserve"> </w:t>
      </w:r>
      <w:r w:rsidR="003F2FCB" w:rsidRPr="000F466C">
        <w:rPr>
          <w:rFonts w:ascii="Arial" w:hAnsi="Arial" w:cs="Arial"/>
          <w:sz w:val="20"/>
          <w:szCs w:val="20"/>
        </w:rPr>
        <w:t>y/y</w:t>
      </w:r>
      <w:r w:rsidRPr="000F466C">
        <w:rPr>
          <w:rFonts w:ascii="Arial" w:hAnsi="Arial" w:cs="Arial"/>
          <w:sz w:val="20"/>
          <w:szCs w:val="20"/>
        </w:rPr>
        <w:t xml:space="preserve">. </w:t>
      </w:r>
      <w:r w:rsidR="009A7319" w:rsidRPr="000F466C">
        <w:rPr>
          <w:rFonts w:ascii="Arial" w:hAnsi="Arial" w:cs="Arial"/>
          <w:sz w:val="20"/>
          <w:szCs w:val="20"/>
        </w:rPr>
        <w:t xml:space="preserve">For the </w:t>
      </w:r>
      <w:r w:rsidR="00D2118D" w:rsidRPr="000F466C">
        <w:rPr>
          <w:rFonts w:ascii="Arial" w:hAnsi="Arial" w:cs="Arial"/>
          <w:sz w:val="20"/>
          <w:szCs w:val="20"/>
        </w:rPr>
        <w:t>12</w:t>
      </w:r>
      <w:r w:rsidR="002B658D" w:rsidRPr="000F466C">
        <w:rPr>
          <w:rFonts w:ascii="Arial" w:hAnsi="Arial" w:cs="Arial"/>
          <w:sz w:val="20"/>
          <w:szCs w:val="20"/>
        </w:rPr>
        <w:t>M</w:t>
      </w:r>
      <w:r w:rsidRPr="000F466C">
        <w:rPr>
          <w:rFonts w:ascii="Arial" w:hAnsi="Arial" w:cs="Arial"/>
          <w:sz w:val="20"/>
          <w:szCs w:val="20"/>
        </w:rPr>
        <w:t xml:space="preserve"> 2022</w:t>
      </w:r>
      <w:r w:rsidR="009A7319" w:rsidRPr="000F466C">
        <w:rPr>
          <w:rFonts w:ascii="Arial" w:hAnsi="Arial" w:cs="Arial"/>
          <w:sz w:val="20"/>
          <w:szCs w:val="20"/>
        </w:rPr>
        <w:t>,</w:t>
      </w:r>
      <w:r w:rsidRPr="000F466C">
        <w:rPr>
          <w:rFonts w:ascii="Arial" w:hAnsi="Arial" w:cs="Arial"/>
          <w:sz w:val="20"/>
          <w:szCs w:val="20"/>
        </w:rPr>
        <w:t xml:space="preserve"> MHP’s sales of sunflower oil </w:t>
      </w:r>
      <w:r w:rsidR="00560E28" w:rsidRPr="000F466C">
        <w:rPr>
          <w:rFonts w:ascii="Arial" w:hAnsi="Arial" w:cs="Arial"/>
          <w:sz w:val="20"/>
          <w:szCs w:val="20"/>
        </w:rPr>
        <w:t>increased</w:t>
      </w:r>
      <w:r w:rsidRPr="000F466C">
        <w:rPr>
          <w:rFonts w:ascii="Arial" w:hAnsi="Arial" w:cs="Arial"/>
          <w:sz w:val="20"/>
          <w:szCs w:val="20"/>
        </w:rPr>
        <w:t xml:space="preserve"> by </w:t>
      </w:r>
      <w:r w:rsidR="00DB5AAE" w:rsidRPr="000F466C">
        <w:rPr>
          <w:rFonts w:ascii="Arial" w:hAnsi="Arial" w:cs="Arial"/>
          <w:sz w:val="20"/>
          <w:szCs w:val="20"/>
        </w:rPr>
        <w:t>32%</w:t>
      </w:r>
      <w:r w:rsidR="000F466C" w:rsidRPr="000F466C">
        <w:rPr>
          <w:rFonts w:ascii="Arial" w:hAnsi="Arial" w:cs="Arial"/>
          <w:sz w:val="20"/>
          <w:szCs w:val="20"/>
        </w:rPr>
        <w:t xml:space="preserve"> to </w:t>
      </w:r>
      <w:r w:rsidR="000F466C" w:rsidRPr="00DE33D6">
        <w:rPr>
          <w:rFonts w:ascii="Arial" w:hAnsi="Arial" w:cs="Arial"/>
          <w:sz w:val="20"/>
          <w:szCs w:val="20"/>
        </w:rPr>
        <w:t xml:space="preserve">272,807 </w:t>
      </w:r>
      <w:proofErr w:type="spellStart"/>
      <w:r w:rsidR="000F466C">
        <w:rPr>
          <w:rFonts w:ascii="Arial" w:hAnsi="Arial" w:cs="Arial"/>
          <w:sz w:val="20"/>
          <w:szCs w:val="20"/>
        </w:rPr>
        <w:t>tonnes</w:t>
      </w:r>
      <w:proofErr w:type="spellEnd"/>
      <w:r w:rsidRPr="000F466C">
        <w:rPr>
          <w:rFonts w:ascii="Arial" w:hAnsi="Arial" w:cs="Arial"/>
          <w:sz w:val="20"/>
          <w:szCs w:val="20"/>
        </w:rPr>
        <w:t xml:space="preserve"> </w:t>
      </w:r>
      <w:r w:rsidR="009A7319" w:rsidRPr="000F466C">
        <w:rPr>
          <w:rFonts w:ascii="Arial" w:hAnsi="Arial" w:cs="Arial"/>
          <w:sz w:val="20"/>
          <w:szCs w:val="20"/>
        </w:rPr>
        <w:t>(</w:t>
      </w:r>
      <w:r w:rsidR="00D2118D" w:rsidRPr="000F466C">
        <w:rPr>
          <w:rFonts w:ascii="Arial" w:hAnsi="Arial" w:cs="Arial"/>
          <w:sz w:val="20"/>
          <w:szCs w:val="20"/>
        </w:rPr>
        <w:t>12</w:t>
      </w:r>
      <w:r w:rsidR="002B658D" w:rsidRPr="000F466C">
        <w:rPr>
          <w:rFonts w:ascii="Arial" w:hAnsi="Arial" w:cs="Arial"/>
          <w:sz w:val="20"/>
          <w:szCs w:val="20"/>
        </w:rPr>
        <w:t>M</w:t>
      </w:r>
      <w:r w:rsidRPr="000F466C">
        <w:rPr>
          <w:rFonts w:ascii="Arial" w:hAnsi="Arial" w:cs="Arial"/>
          <w:sz w:val="20"/>
          <w:szCs w:val="20"/>
        </w:rPr>
        <w:t xml:space="preserve"> 2021</w:t>
      </w:r>
      <w:r w:rsidR="009A7319" w:rsidRPr="000F466C">
        <w:rPr>
          <w:rFonts w:ascii="Arial" w:hAnsi="Arial" w:cs="Arial"/>
          <w:sz w:val="20"/>
          <w:szCs w:val="20"/>
        </w:rPr>
        <w:t>:</w:t>
      </w:r>
      <w:r w:rsidRPr="000F466C">
        <w:rPr>
          <w:rFonts w:ascii="Arial" w:hAnsi="Arial" w:cs="Arial"/>
          <w:sz w:val="20"/>
          <w:szCs w:val="20"/>
        </w:rPr>
        <w:t xml:space="preserve"> </w:t>
      </w:r>
      <w:r w:rsidR="000F466C" w:rsidRPr="00DE33D6">
        <w:rPr>
          <w:rFonts w:ascii="Arial" w:hAnsi="Arial" w:cs="Arial"/>
          <w:sz w:val="20"/>
          <w:szCs w:val="20"/>
        </w:rPr>
        <w:t>207,240</w:t>
      </w:r>
      <w:r w:rsidRPr="000F466C">
        <w:rPr>
          <w:rFonts w:ascii="Arial" w:hAnsi="Arial" w:cs="Arial"/>
          <w:sz w:val="20"/>
          <w:szCs w:val="20"/>
        </w:rPr>
        <w:t xml:space="preserve"> </w:t>
      </w:r>
      <w:proofErr w:type="spellStart"/>
      <w:r w:rsidRPr="000F466C">
        <w:rPr>
          <w:rFonts w:ascii="Arial" w:hAnsi="Arial" w:cs="Arial"/>
          <w:sz w:val="20"/>
          <w:szCs w:val="20"/>
        </w:rPr>
        <w:t>tonnes</w:t>
      </w:r>
      <w:proofErr w:type="spellEnd"/>
      <w:r w:rsidR="009A7319" w:rsidRPr="00EF6048">
        <w:rPr>
          <w:rFonts w:ascii="Arial" w:hAnsi="Arial" w:cs="Arial"/>
          <w:sz w:val="20"/>
          <w:szCs w:val="20"/>
        </w:rPr>
        <w:t>)</w:t>
      </w:r>
      <w:r w:rsidRPr="00EF6048">
        <w:rPr>
          <w:rFonts w:ascii="Arial" w:hAnsi="Arial" w:cs="Arial"/>
          <w:sz w:val="20"/>
          <w:szCs w:val="20"/>
        </w:rPr>
        <w:t xml:space="preserve">, </w:t>
      </w:r>
      <w:r w:rsidR="00A07D7F" w:rsidRPr="00EF6048">
        <w:rPr>
          <w:rFonts w:ascii="Arial" w:hAnsi="Arial" w:cs="Arial"/>
          <w:sz w:val="20"/>
          <w:szCs w:val="20"/>
        </w:rPr>
        <w:t>mainly driven by an increase in production of sunflower cake (</w:t>
      </w:r>
      <w:r w:rsidR="009A7319" w:rsidRPr="00EF6048">
        <w:rPr>
          <w:rFonts w:ascii="Arial" w:hAnsi="Arial" w:cs="Arial"/>
          <w:sz w:val="20"/>
          <w:szCs w:val="20"/>
        </w:rPr>
        <w:t xml:space="preserve">a </w:t>
      </w:r>
      <w:r w:rsidR="00A07D7F" w:rsidRPr="00EF6048">
        <w:rPr>
          <w:rFonts w:ascii="Arial" w:hAnsi="Arial" w:cs="Arial"/>
          <w:sz w:val="20"/>
          <w:szCs w:val="20"/>
        </w:rPr>
        <w:t>change in the recipe), which was substantially lower in Q</w:t>
      </w:r>
      <w:r w:rsidR="00D2118D" w:rsidRPr="00EF6048">
        <w:rPr>
          <w:rFonts w:ascii="Arial" w:hAnsi="Arial" w:cs="Arial"/>
          <w:sz w:val="20"/>
          <w:szCs w:val="20"/>
        </w:rPr>
        <w:t>4</w:t>
      </w:r>
      <w:r w:rsidR="00A07D7F" w:rsidRPr="00EF6048">
        <w:rPr>
          <w:rFonts w:ascii="Arial" w:hAnsi="Arial" w:cs="Arial"/>
          <w:sz w:val="20"/>
          <w:szCs w:val="20"/>
        </w:rPr>
        <w:t xml:space="preserve"> 2021 (</w:t>
      </w:r>
      <w:r w:rsidR="009A7319" w:rsidRPr="00EF6048">
        <w:rPr>
          <w:rFonts w:ascii="Arial" w:hAnsi="Arial" w:cs="Arial"/>
          <w:sz w:val="20"/>
          <w:szCs w:val="20"/>
        </w:rPr>
        <w:t xml:space="preserve"> when the </w:t>
      </w:r>
      <w:r w:rsidR="00A07D7F" w:rsidRPr="00EF6048">
        <w:rPr>
          <w:rFonts w:ascii="Arial" w:hAnsi="Arial" w:cs="Arial"/>
          <w:sz w:val="20"/>
          <w:szCs w:val="20"/>
        </w:rPr>
        <w:t>fodder recipe was based more on soyabean cake) as well as positive change</w:t>
      </w:r>
      <w:r w:rsidR="009A7319" w:rsidRPr="00EF6048">
        <w:rPr>
          <w:rFonts w:ascii="Arial" w:hAnsi="Arial" w:cs="Arial"/>
          <w:sz w:val="20"/>
          <w:szCs w:val="20"/>
        </w:rPr>
        <w:t>s</w:t>
      </w:r>
      <w:r w:rsidR="00A07D7F" w:rsidRPr="00EF6048">
        <w:rPr>
          <w:rFonts w:ascii="Arial" w:hAnsi="Arial" w:cs="Arial"/>
          <w:sz w:val="20"/>
          <w:szCs w:val="20"/>
        </w:rPr>
        <w:t xml:space="preserve"> (</w:t>
      </w:r>
      <w:r w:rsidR="000F466C">
        <w:rPr>
          <w:rFonts w:ascii="Arial" w:hAnsi="Arial" w:cs="Arial"/>
          <w:sz w:val="20"/>
          <w:szCs w:val="20"/>
        </w:rPr>
        <w:t xml:space="preserve">in logistic with </w:t>
      </w:r>
      <w:r w:rsidR="009A7319" w:rsidRPr="00EF6048">
        <w:rPr>
          <w:rFonts w:ascii="Arial" w:hAnsi="Arial" w:cs="Arial"/>
          <w:sz w:val="20"/>
          <w:szCs w:val="20"/>
        </w:rPr>
        <w:t xml:space="preserve">faster </w:t>
      </w:r>
      <w:r w:rsidR="00A07D7F" w:rsidRPr="00EF6048">
        <w:rPr>
          <w:rFonts w:ascii="Arial" w:hAnsi="Arial" w:cs="Arial"/>
          <w:sz w:val="20"/>
          <w:szCs w:val="20"/>
        </w:rPr>
        <w:t xml:space="preserve">ships </w:t>
      </w:r>
      <w:r w:rsidR="009A7319" w:rsidRPr="00EF6048">
        <w:rPr>
          <w:rFonts w:ascii="Arial" w:hAnsi="Arial" w:cs="Arial"/>
          <w:sz w:val="20"/>
          <w:szCs w:val="20"/>
        </w:rPr>
        <w:t>turnaround</w:t>
      </w:r>
      <w:r w:rsidR="00A07D7F" w:rsidRPr="00EF6048">
        <w:rPr>
          <w:rFonts w:ascii="Arial" w:hAnsi="Arial" w:cs="Arial"/>
          <w:sz w:val="20"/>
          <w:szCs w:val="20"/>
        </w:rPr>
        <w:t>)</w:t>
      </w:r>
      <w:r w:rsidRPr="00EF6048">
        <w:rPr>
          <w:rFonts w:ascii="Arial" w:hAnsi="Arial" w:cs="Arial"/>
          <w:sz w:val="20"/>
          <w:szCs w:val="20"/>
        </w:rPr>
        <w:t>.</w:t>
      </w:r>
      <w:r w:rsidR="003D0524" w:rsidRPr="00EF6048">
        <w:rPr>
          <w:rFonts w:ascii="Arial" w:hAnsi="Arial" w:cs="Arial"/>
          <w:sz w:val="20"/>
          <w:szCs w:val="20"/>
        </w:rPr>
        <w:t xml:space="preserve"> </w:t>
      </w:r>
    </w:p>
    <w:p w14:paraId="528E4845" w14:textId="64866294" w:rsidR="009B5804" w:rsidRPr="00EF6048" w:rsidRDefault="00242618" w:rsidP="00242618">
      <w:pPr>
        <w:spacing w:before="120" w:after="120"/>
        <w:jc w:val="both"/>
        <w:rPr>
          <w:rFonts w:ascii="Arial" w:hAnsi="Arial" w:cs="Arial"/>
          <w:sz w:val="20"/>
          <w:szCs w:val="20"/>
        </w:rPr>
      </w:pPr>
      <w:r w:rsidRPr="00EF6048">
        <w:rPr>
          <w:rFonts w:ascii="Arial" w:hAnsi="Arial" w:cs="Arial"/>
          <w:sz w:val="20"/>
          <w:szCs w:val="20"/>
        </w:rPr>
        <w:t xml:space="preserve">Sales of soybean oil </w:t>
      </w:r>
      <w:r w:rsidR="00870CB7" w:rsidRPr="00EF6048">
        <w:rPr>
          <w:rFonts w:ascii="Arial" w:hAnsi="Arial" w:cs="Arial"/>
          <w:sz w:val="20"/>
          <w:szCs w:val="20"/>
        </w:rPr>
        <w:t>were</w:t>
      </w:r>
      <w:r w:rsidRPr="00EF6048">
        <w:rPr>
          <w:rFonts w:ascii="Arial" w:hAnsi="Arial" w:cs="Arial"/>
          <w:sz w:val="20"/>
          <w:szCs w:val="20"/>
        </w:rPr>
        <w:t xml:space="preserve"> </w:t>
      </w:r>
      <w:r w:rsidR="00DB5AAE" w:rsidRPr="000D120B">
        <w:rPr>
          <w:rFonts w:ascii="Arial" w:hAnsi="Arial" w:cs="Arial"/>
          <w:sz w:val="20"/>
          <w:szCs w:val="20"/>
        </w:rPr>
        <w:t>13,583</w:t>
      </w:r>
      <w:r w:rsidRPr="00EF6048">
        <w:rPr>
          <w:rFonts w:ascii="Arial" w:hAnsi="Arial" w:cs="Arial"/>
          <w:sz w:val="20"/>
          <w:szCs w:val="20"/>
        </w:rPr>
        <w:t xml:space="preserve"> </w:t>
      </w:r>
      <w:proofErr w:type="spellStart"/>
      <w:r w:rsidRPr="00EF6048">
        <w:rPr>
          <w:rFonts w:ascii="Arial" w:hAnsi="Arial" w:cs="Arial"/>
          <w:sz w:val="20"/>
          <w:szCs w:val="20"/>
        </w:rPr>
        <w:t>tonnes</w:t>
      </w:r>
      <w:proofErr w:type="spellEnd"/>
      <w:r w:rsidRPr="00EF6048">
        <w:rPr>
          <w:rFonts w:ascii="Arial" w:hAnsi="Arial" w:cs="Arial"/>
          <w:sz w:val="20"/>
          <w:szCs w:val="20"/>
        </w:rPr>
        <w:t xml:space="preserve"> in Q</w:t>
      </w:r>
      <w:r w:rsidR="00D2118D" w:rsidRPr="00EF6048">
        <w:rPr>
          <w:rFonts w:ascii="Arial" w:hAnsi="Arial" w:cs="Arial"/>
          <w:sz w:val="20"/>
          <w:szCs w:val="20"/>
        </w:rPr>
        <w:t>4</w:t>
      </w:r>
      <w:r w:rsidRPr="00EF6048">
        <w:rPr>
          <w:rFonts w:ascii="Arial" w:hAnsi="Arial" w:cs="Arial"/>
          <w:sz w:val="20"/>
          <w:szCs w:val="20"/>
        </w:rPr>
        <w:t xml:space="preserve"> 2022, </w:t>
      </w:r>
      <w:r w:rsidR="00DB5AAE" w:rsidRPr="000D120B">
        <w:rPr>
          <w:rFonts w:ascii="Arial" w:hAnsi="Arial" w:cs="Arial"/>
          <w:sz w:val="20"/>
          <w:szCs w:val="20"/>
        </w:rPr>
        <w:t>41%</w:t>
      </w:r>
      <w:r w:rsidRPr="00EF6048">
        <w:rPr>
          <w:rFonts w:ascii="Arial" w:hAnsi="Arial" w:cs="Arial"/>
          <w:sz w:val="20"/>
          <w:szCs w:val="20"/>
        </w:rPr>
        <w:t xml:space="preserve"> </w:t>
      </w:r>
      <w:r w:rsidR="00A83C0A" w:rsidRPr="00EF6048">
        <w:rPr>
          <w:rFonts w:ascii="Arial" w:hAnsi="Arial" w:cs="Arial"/>
          <w:sz w:val="20"/>
          <w:szCs w:val="20"/>
        </w:rPr>
        <w:t>hig</w:t>
      </w:r>
      <w:r w:rsidR="00911543" w:rsidRPr="00EF6048">
        <w:rPr>
          <w:rFonts w:ascii="Arial" w:hAnsi="Arial" w:cs="Arial"/>
          <w:sz w:val="20"/>
          <w:szCs w:val="20"/>
        </w:rPr>
        <w:t>h</w:t>
      </w:r>
      <w:r w:rsidR="00A83C0A" w:rsidRPr="00EF6048">
        <w:rPr>
          <w:rFonts w:ascii="Arial" w:hAnsi="Arial" w:cs="Arial"/>
          <w:sz w:val="20"/>
          <w:szCs w:val="20"/>
        </w:rPr>
        <w:t>er</w:t>
      </w:r>
      <w:r w:rsidRPr="00EF6048">
        <w:rPr>
          <w:rFonts w:ascii="Arial" w:hAnsi="Arial" w:cs="Arial"/>
          <w:sz w:val="20"/>
          <w:szCs w:val="20"/>
        </w:rPr>
        <w:t xml:space="preserve"> </w:t>
      </w:r>
      <w:r w:rsidR="003F2FCB" w:rsidRPr="00EF6048">
        <w:rPr>
          <w:rFonts w:ascii="Arial" w:hAnsi="Arial" w:cs="Arial"/>
          <w:sz w:val="20"/>
          <w:szCs w:val="20"/>
        </w:rPr>
        <w:t>y/y</w:t>
      </w:r>
      <w:r w:rsidRPr="00EF6048">
        <w:rPr>
          <w:rFonts w:ascii="Arial" w:hAnsi="Arial" w:cs="Arial"/>
          <w:sz w:val="20"/>
          <w:szCs w:val="20"/>
        </w:rPr>
        <w:t xml:space="preserve">, and </w:t>
      </w:r>
      <w:r w:rsidR="00DB5AAE" w:rsidRPr="000D120B">
        <w:rPr>
          <w:rFonts w:ascii="Arial" w:hAnsi="Arial" w:cs="Arial"/>
          <w:sz w:val="20"/>
          <w:szCs w:val="20"/>
        </w:rPr>
        <w:t>40,845</w:t>
      </w:r>
      <w:r w:rsidRPr="00EF6048">
        <w:rPr>
          <w:rFonts w:ascii="Arial" w:hAnsi="Arial" w:cs="Arial"/>
          <w:sz w:val="20"/>
          <w:szCs w:val="20"/>
        </w:rPr>
        <w:t xml:space="preserve"> </w:t>
      </w:r>
      <w:proofErr w:type="spellStart"/>
      <w:r w:rsidRPr="00EF6048">
        <w:rPr>
          <w:rFonts w:ascii="Arial" w:hAnsi="Arial" w:cs="Arial"/>
          <w:sz w:val="20"/>
          <w:szCs w:val="20"/>
        </w:rPr>
        <w:t>tonnes</w:t>
      </w:r>
      <w:proofErr w:type="spellEnd"/>
      <w:r w:rsidRPr="00EF6048">
        <w:rPr>
          <w:rFonts w:ascii="Arial" w:hAnsi="Arial" w:cs="Arial"/>
          <w:sz w:val="20"/>
          <w:szCs w:val="20"/>
        </w:rPr>
        <w:t xml:space="preserve"> in </w:t>
      </w:r>
      <w:r w:rsidR="00D2118D" w:rsidRPr="00EF6048">
        <w:rPr>
          <w:rFonts w:ascii="Arial" w:hAnsi="Arial" w:cs="Arial"/>
          <w:sz w:val="20"/>
          <w:szCs w:val="20"/>
        </w:rPr>
        <w:t>12</w:t>
      </w:r>
      <w:r w:rsidR="002B658D" w:rsidRPr="00EF6048">
        <w:rPr>
          <w:rFonts w:ascii="Arial" w:hAnsi="Arial" w:cs="Arial"/>
          <w:sz w:val="20"/>
          <w:szCs w:val="20"/>
        </w:rPr>
        <w:t>M</w:t>
      </w:r>
      <w:r w:rsidRPr="00EF6048">
        <w:rPr>
          <w:rFonts w:ascii="Arial" w:hAnsi="Arial" w:cs="Arial"/>
          <w:sz w:val="20"/>
          <w:szCs w:val="20"/>
        </w:rPr>
        <w:t xml:space="preserve"> 2022, </w:t>
      </w:r>
      <w:r w:rsidR="00DB5AAE" w:rsidRPr="000D120B">
        <w:rPr>
          <w:rFonts w:ascii="Arial" w:hAnsi="Arial" w:cs="Arial"/>
          <w:sz w:val="20"/>
          <w:szCs w:val="20"/>
        </w:rPr>
        <w:t>10%</w:t>
      </w:r>
      <w:r w:rsidRPr="00EF6048">
        <w:rPr>
          <w:rFonts w:ascii="Arial" w:hAnsi="Arial" w:cs="Arial"/>
          <w:sz w:val="20"/>
          <w:szCs w:val="20"/>
        </w:rPr>
        <w:t xml:space="preserve"> </w:t>
      </w:r>
      <w:r w:rsidR="007A4A0A" w:rsidRPr="00EF6048">
        <w:rPr>
          <w:rFonts w:ascii="Arial" w:hAnsi="Arial" w:cs="Arial"/>
          <w:sz w:val="20"/>
          <w:szCs w:val="20"/>
        </w:rPr>
        <w:t>lower</w:t>
      </w:r>
      <w:r w:rsidRPr="00EF6048">
        <w:rPr>
          <w:rFonts w:ascii="Arial" w:hAnsi="Arial" w:cs="Arial"/>
          <w:sz w:val="20"/>
          <w:szCs w:val="20"/>
        </w:rPr>
        <w:t xml:space="preserve"> </w:t>
      </w:r>
      <w:r w:rsidR="003F2FCB" w:rsidRPr="00EF6048">
        <w:rPr>
          <w:rFonts w:ascii="Arial" w:hAnsi="Arial" w:cs="Arial"/>
          <w:sz w:val="20"/>
          <w:szCs w:val="20"/>
        </w:rPr>
        <w:t>y/y</w:t>
      </w:r>
      <w:r w:rsidRPr="00EF6048">
        <w:rPr>
          <w:rFonts w:ascii="Arial" w:hAnsi="Arial" w:cs="Arial"/>
          <w:sz w:val="20"/>
          <w:szCs w:val="20"/>
        </w:rPr>
        <w:t xml:space="preserve">, mainly </w:t>
      </w:r>
      <w:r w:rsidR="00A07D7F" w:rsidRPr="00EF6048">
        <w:rPr>
          <w:rFonts w:ascii="Arial" w:hAnsi="Arial" w:cs="Arial"/>
          <w:sz w:val="20"/>
          <w:szCs w:val="20"/>
        </w:rPr>
        <w:t>as a result of lower production volume</w:t>
      </w:r>
      <w:r w:rsidR="00B71E10" w:rsidRPr="00EF6048">
        <w:rPr>
          <w:rFonts w:ascii="Arial" w:hAnsi="Arial" w:cs="Arial"/>
          <w:sz w:val="20"/>
          <w:szCs w:val="20"/>
        </w:rPr>
        <w:t>s</w:t>
      </w:r>
      <w:r w:rsidR="00A07D7F" w:rsidRPr="00EF6048">
        <w:rPr>
          <w:rFonts w:ascii="Arial" w:hAnsi="Arial" w:cs="Arial"/>
          <w:sz w:val="20"/>
          <w:szCs w:val="20"/>
        </w:rPr>
        <w:t xml:space="preserve"> of soyabean cake required for the fodder recipe substituted by sunflower cake since Q2 2022</w:t>
      </w:r>
      <w:r w:rsidR="00B71E10" w:rsidRPr="00EF6048">
        <w:rPr>
          <w:rFonts w:ascii="Arial" w:hAnsi="Arial" w:cs="Arial"/>
          <w:sz w:val="20"/>
          <w:szCs w:val="20"/>
        </w:rPr>
        <w:t>,</w:t>
      </w:r>
      <w:r w:rsidR="00A07D7F" w:rsidRPr="00EF6048">
        <w:rPr>
          <w:rFonts w:ascii="Arial" w:hAnsi="Arial" w:cs="Arial"/>
          <w:sz w:val="20"/>
          <w:szCs w:val="20"/>
        </w:rPr>
        <w:t xml:space="preserve"> and challenges associated with export logistics because of the </w:t>
      </w:r>
      <w:r w:rsidR="00B71E10" w:rsidRPr="00EF6048">
        <w:rPr>
          <w:rFonts w:ascii="Arial" w:hAnsi="Arial" w:cs="Arial"/>
          <w:sz w:val="20"/>
          <w:szCs w:val="20"/>
        </w:rPr>
        <w:t>W</w:t>
      </w:r>
      <w:r w:rsidR="00A07D7F" w:rsidRPr="00EF6048">
        <w:rPr>
          <w:rFonts w:ascii="Arial" w:hAnsi="Arial" w:cs="Arial"/>
          <w:sz w:val="20"/>
          <w:szCs w:val="20"/>
        </w:rPr>
        <w:t>ar in Ukraine</w:t>
      </w:r>
      <w:r w:rsidRPr="00EF6048">
        <w:rPr>
          <w:rFonts w:ascii="Arial" w:hAnsi="Arial" w:cs="Arial"/>
          <w:sz w:val="20"/>
          <w:szCs w:val="20"/>
        </w:rPr>
        <w:t>.</w:t>
      </w:r>
    </w:p>
    <w:p w14:paraId="2E9C6412" w14:textId="5B712D47" w:rsidR="003F2FCB" w:rsidRPr="00EA6A3D" w:rsidRDefault="003F2FCB" w:rsidP="003F2FCB">
      <w:pPr>
        <w:spacing w:before="120" w:after="120"/>
        <w:jc w:val="both"/>
        <w:rPr>
          <w:rFonts w:ascii="Arial" w:eastAsia="Calibri" w:hAnsi="Arial" w:cs="Arial"/>
          <w:b/>
          <w:bCs/>
          <w:sz w:val="20"/>
          <w:szCs w:val="20"/>
        </w:rPr>
      </w:pPr>
      <w:r w:rsidRPr="00EA6A3D">
        <w:rPr>
          <w:rFonts w:ascii="Arial" w:eastAsia="Calibri" w:hAnsi="Arial" w:cs="Arial"/>
          <w:b/>
          <w:bCs/>
          <w:sz w:val="20"/>
          <w:szCs w:val="20"/>
        </w:rPr>
        <w:t>Financial result and trends</w:t>
      </w:r>
    </w:p>
    <w:tbl>
      <w:tblPr>
        <w:tblW w:w="5000" w:type="pct"/>
        <w:tblLayout w:type="fixed"/>
        <w:tblLook w:val="04A0" w:firstRow="1" w:lastRow="0" w:firstColumn="1" w:lastColumn="0" w:noHBand="0" w:noVBand="1"/>
      </w:tblPr>
      <w:tblGrid>
        <w:gridCol w:w="2001"/>
        <w:gridCol w:w="236"/>
        <w:gridCol w:w="1016"/>
        <w:gridCol w:w="1016"/>
        <w:gridCol w:w="1016"/>
        <w:gridCol w:w="1016"/>
        <w:gridCol w:w="1012"/>
        <w:gridCol w:w="1012"/>
        <w:gridCol w:w="1012"/>
        <w:gridCol w:w="1010"/>
      </w:tblGrid>
      <w:tr w:rsidR="000C397E" w:rsidRPr="004569CE" w14:paraId="686C0E9E" w14:textId="35F79105" w:rsidTr="000C397E">
        <w:trPr>
          <w:trHeight w:val="297"/>
          <w:tblHeader/>
        </w:trPr>
        <w:tc>
          <w:tcPr>
            <w:tcW w:w="967" w:type="pct"/>
            <w:tcBorders>
              <w:top w:val="single" w:sz="12" w:space="0" w:color="auto"/>
              <w:bottom w:val="single" w:sz="12" w:space="0" w:color="auto"/>
            </w:tcBorders>
            <w:shd w:val="clear" w:color="auto" w:fill="auto"/>
            <w:noWrap/>
            <w:vAlign w:val="center"/>
            <w:hideMark/>
          </w:tcPr>
          <w:p w14:paraId="60AEF399" w14:textId="6FE51D33" w:rsidR="000C397E" w:rsidRPr="004569CE" w:rsidRDefault="000C397E" w:rsidP="000C397E">
            <w:pPr>
              <w:spacing w:after="0" w:line="240" w:lineRule="auto"/>
              <w:jc w:val="both"/>
              <w:rPr>
                <w:rFonts w:ascii="Arial" w:eastAsia="Times New Roman" w:hAnsi="Arial" w:cs="Arial"/>
                <w:color w:val="000000"/>
                <w:sz w:val="20"/>
                <w:szCs w:val="20"/>
                <w:lang w:eastAsia="ru-RU"/>
              </w:rPr>
            </w:pPr>
            <w:r w:rsidRPr="004569CE">
              <w:rPr>
                <w:rFonts w:ascii="Arial" w:hAnsi="Arial" w:cs="Arial"/>
                <w:sz w:val="20"/>
                <w:szCs w:val="20"/>
              </w:rPr>
              <w:br w:type="column"/>
            </w:r>
            <w:r w:rsidRPr="004569CE">
              <w:rPr>
                <w:rFonts w:ascii="Arial" w:hAnsi="Arial" w:cs="Arial"/>
                <w:sz w:val="20"/>
                <w:szCs w:val="20"/>
              </w:rPr>
              <w:br w:type="column"/>
            </w:r>
            <w:r w:rsidRPr="004569CE">
              <w:rPr>
                <w:rFonts w:ascii="Arial" w:eastAsia="Times New Roman" w:hAnsi="Arial" w:cs="Arial"/>
                <w:i/>
                <w:color w:val="000000"/>
                <w:sz w:val="20"/>
                <w:szCs w:val="20"/>
                <w:lang w:eastAsia="ru-RU"/>
              </w:rPr>
              <w:t xml:space="preserve">(in </w:t>
            </w:r>
            <w:proofErr w:type="spellStart"/>
            <w:r w:rsidRPr="004569CE">
              <w:rPr>
                <w:rFonts w:ascii="Arial" w:eastAsia="Times New Roman" w:hAnsi="Arial" w:cs="Arial"/>
                <w:i/>
                <w:color w:val="000000"/>
                <w:sz w:val="20"/>
                <w:szCs w:val="20"/>
                <w:lang w:eastAsia="ru-RU"/>
              </w:rPr>
              <w:t>mln</w:t>
            </w:r>
            <w:proofErr w:type="spellEnd"/>
            <w:r w:rsidRPr="004569CE">
              <w:rPr>
                <w:rFonts w:ascii="Arial" w:eastAsia="Times New Roman" w:hAnsi="Arial" w:cs="Arial"/>
                <w:i/>
                <w:color w:val="000000"/>
                <w:sz w:val="20"/>
                <w:szCs w:val="20"/>
                <w:lang w:eastAsia="ru-RU"/>
              </w:rPr>
              <w:t>. US$, unless indicated otherwise)</w:t>
            </w:r>
          </w:p>
        </w:tc>
        <w:tc>
          <w:tcPr>
            <w:tcW w:w="114" w:type="pct"/>
          </w:tcPr>
          <w:p w14:paraId="32C42A12" w14:textId="77777777" w:rsidR="000C397E" w:rsidRPr="004569CE"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12" w:space="0" w:color="auto"/>
              <w:bottom w:val="single" w:sz="12" w:space="0" w:color="auto"/>
            </w:tcBorders>
            <w:shd w:val="clear" w:color="auto" w:fill="auto"/>
            <w:noWrap/>
            <w:vAlign w:val="center"/>
            <w:hideMark/>
          </w:tcPr>
          <w:p w14:paraId="2A8EC730" w14:textId="779FAC6D" w:rsidR="000C397E" w:rsidRPr="004569CE" w:rsidRDefault="000C397E" w:rsidP="000C397E">
            <w:pPr>
              <w:spacing w:after="0" w:line="240" w:lineRule="auto"/>
              <w:ind w:right="-105"/>
              <w:jc w:val="right"/>
              <w:rPr>
                <w:rFonts w:ascii="Arial" w:eastAsia="Times New Roman" w:hAnsi="Arial" w:cs="Arial"/>
                <w:b/>
                <w:color w:val="000000"/>
                <w:sz w:val="20"/>
                <w:szCs w:val="20"/>
                <w:lang w:eastAsia="ru-RU"/>
              </w:rPr>
            </w:pPr>
            <w:r w:rsidRPr="004569CE">
              <w:rPr>
                <w:rFonts w:ascii="Arial" w:eastAsia="Times New Roman" w:hAnsi="Arial" w:cs="Arial"/>
                <w:b/>
                <w:bCs/>
                <w:color w:val="000000"/>
                <w:sz w:val="20"/>
                <w:szCs w:val="20"/>
                <w:lang w:eastAsia="ru-RU"/>
              </w:rPr>
              <w:t>Q</w:t>
            </w:r>
            <w:r w:rsidR="00D2118D" w:rsidRPr="004569CE">
              <w:rPr>
                <w:rFonts w:ascii="Arial" w:eastAsia="Times New Roman" w:hAnsi="Arial" w:cs="Arial"/>
                <w:b/>
                <w:bCs/>
                <w:color w:val="000000"/>
                <w:sz w:val="20"/>
                <w:szCs w:val="20"/>
                <w:lang w:eastAsia="ru-RU"/>
              </w:rPr>
              <w:t>4</w:t>
            </w:r>
            <w:r w:rsidRPr="004569CE">
              <w:rPr>
                <w:rFonts w:ascii="Arial" w:eastAsia="Times New Roman" w:hAnsi="Arial" w:cs="Arial"/>
                <w:b/>
                <w:bCs/>
                <w:color w:val="000000"/>
                <w:sz w:val="20"/>
                <w:szCs w:val="20"/>
                <w:lang w:eastAsia="ru-RU"/>
              </w:rPr>
              <w:t xml:space="preserve"> 2022</w:t>
            </w:r>
          </w:p>
        </w:tc>
        <w:tc>
          <w:tcPr>
            <w:tcW w:w="491" w:type="pct"/>
            <w:tcBorders>
              <w:top w:val="single" w:sz="12" w:space="0" w:color="auto"/>
              <w:bottom w:val="single" w:sz="12" w:space="0" w:color="auto"/>
            </w:tcBorders>
            <w:shd w:val="clear" w:color="auto" w:fill="auto"/>
            <w:noWrap/>
            <w:vAlign w:val="center"/>
            <w:hideMark/>
          </w:tcPr>
          <w:p w14:paraId="33497E88" w14:textId="72DC8B01" w:rsidR="000C397E" w:rsidRPr="004569CE" w:rsidRDefault="000C397E" w:rsidP="000C397E">
            <w:pPr>
              <w:spacing w:after="0" w:line="240" w:lineRule="auto"/>
              <w:ind w:right="-113"/>
              <w:jc w:val="right"/>
              <w:rPr>
                <w:rFonts w:ascii="Arial" w:eastAsia="Times New Roman" w:hAnsi="Arial" w:cs="Arial"/>
                <w:b/>
                <w:bCs/>
                <w:color w:val="000000"/>
                <w:sz w:val="20"/>
                <w:szCs w:val="20"/>
                <w:lang w:eastAsia="ru-RU"/>
              </w:rPr>
            </w:pPr>
            <w:r w:rsidRPr="004569CE">
              <w:rPr>
                <w:rFonts w:ascii="Arial" w:eastAsia="Times New Roman" w:hAnsi="Arial" w:cs="Arial"/>
                <w:b/>
                <w:bCs/>
                <w:color w:val="000000"/>
                <w:sz w:val="20"/>
                <w:szCs w:val="20"/>
                <w:lang w:eastAsia="ru-RU"/>
              </w:rPr>
              <w:t>Q</w:t>
            </w:r>
            <w:r w:rsidR="00D2118D" w:rsidRPr="004569CE">
              <w:rPr>
                <w:rFonts w:ascii="Arial" w:eastAsia="Times New Roman" w:hAnsi="Arial" w:cs="Arial"/>
                <w:b/>
                <w:bCs/>
                <w:color w:val="000000"/>
                <w:sz w:val="20"/>
                <w:szCs w:val="20"/>
                <w:lang w:eastAsia="ru-RU"/>
              </w:rPr>
              <w:t>4</w:t>
            </w:r>
            <w:r w:rsidRPr="004569CE">
              <w:rPr>
                <w:rFonts w:ascii="Arial" w:eastAsia="Times New Roman" w:hAnsi="Arial" w:cs="Arial"/>
                <w:b/>
                <w:bCs/>
                <w:color w:val="000000"/>
                <w:sz w:val="20"/>
                <w:szCs w:val="20"/>
                <w:lang w:eastAsia="ru-RU"/>
              </w:rPr>
              <w:t xml:space="preserve"> 2021</w:t>
            </w:r>
          </w:p>
        </w:tc>
        <w:tc>
          <w:tcPr>
            <w:tcW w:w="491" w:type="pct"/>
            <w:tcBorders>
              <w:top w:val="single" w:sz="12" w:space="0" w:color="auto"/>
              <w:bottom w:val="single" w:sz="12" w:space="0" w:color="auto"/>
            </w:tcBorders>
            <w:shd w:val="clear" w:color="auto" w:fill="auto"/>
            <w:noWrap/>
            <w:vAlign w:val="center"/>
            <w:hideMark/>
          </w:tcPr>
          <w:p w14:paraId="6C430F77" w14:textId="12D13369" w:rsidR="000C397E" w:rsidRPr="004569CE" w:rsidRDefault="000C397E" w:rsidP="000C397E">
            <w:pPr>
              <w:spacing w:after="0" w:line="240" w:lineRule="auto"/>
              <w:jc w:val="right"/>
              <w:rPr>
                <w:rFonts w:ascii="Arial" w:eastAsia="Times New Roman" w:hAnsi="Arial" w:cs="Arial"/>
                <w:i/>
                <w:color w:val="000000"/>
                <w:sz w:val="20"/>
                <w:szCs w:val="20"/>
                <w:lang w:eastAsia="ru-RU"/>
              </w:rPr>
            </w:pPr>
            <w:r w:rsidRPr="004569CE">
              <w:rPr>
                <w:rFonts w:ascii="Arial" w:eastAsia="Times New Roman" w:hAnsi="Arial" w:cs="Arial"/>
                <w:i/>
                <w:color w:val="000000"/>
                <w:sz w:val="20"/>
                <w:szCs w:val="20"/>
                <w:lang w:eastAsia="ru-RU"/>
              </w:rPr>
              <w:t>% change y/y</w:t>
            </w:r>
            <w:r w:rsidRPr="004569CE">
              <w:rPr>
                <w:rFonts w:ascii="Arial" w:eastAsia="Times New Roman" w:hAnsi="Arial" w:cs="Arial"/>
                <w:i/>
                <w:color w:val="000000"/>
                <w:sz w:val="20"/>
                <w:szCs w:val="20"/>
                <w:vertAlign w:val="superscript"/>
                <w:lang w:eastAsia="ru-RU"/>
              </w:rPr>
              <w:t>1)</w:t>
            </w:r>
          </w:p>
        </w:tc>
        <w:tc>
          <w:tcPr>
            <w:tcW w:w="491" w:type="pct"/>
            <w:tcBorders>
              <w:top w:val="single" w:sz="12" w:space="0" w:color="auto"/>
              <w:bottom w:val="single" w:sz="12" w:space="0" w:color="auto"/>
            </w:tcBorders>
            <w:vAlign w:val="center"/>
          </w:tcPr>
          <w:p w14:paraId="093C640E" w14:textId="1A2D13CD" w:rsidR="000C397E" w:rsidRPr="004569CE" w:rsidRDefault="000C397E" w:rsidP="000C397E">
            <w:pPr>
              <w:spacing w:after="0" w:line="240" w:lineRule="auto"/>
              <w:jc w:val="right"/>
              <w:rPr>
                <w:rFonts w:ascii="Arial" w:eastAsia="Times New Roman" w:hAnsi="Arial" w:cs="Arial"/>
                <w:i/>
                <w:color w:val="000000"/>
                <w:sz w:val="20"/>
                <w:szCs w:val="20"/>
                <w:lang w:eastAsia="ru-RU"/>
              </w:rPr>
            </w:pPr>
            <w:r w:rsidRPr="004569CE">
              <w:rPr>
                <w:rFonts w:ascii="Arial" w:eastAsia="Times New Roman" w:hAnsi="Arial" w:cs="Arial"/>
                <w:b/>
                <w:color w:val="000000"/>
                <w:sz w:val="20"/>
                <w:szCs w:val="20"/>
                <w:lang w:eastAsia="ru-RU"/>
              </w:rPr>
              <w:t>Q</w:t>
            </w:r>
            <w:r w:rsidR="00D2118D" w:rsidRPr="004569CE">
              <w:rPr>
                <w:rFonts w:ascii="Arial" w:eastAsia="Times New Roman" w:hAnsi="Arial" w:cs="Arial"/>
                <w:b/>
                <w:color w:val="000000"/>
                <w:sz w:val="20"/>
                <w:szCs w:val="20"/>
                <w:lang w:eastAsia="ru-RU"/>
              </w:rPr>
              <w:t>3</w:t>
            </w:r>
            <w:r w:rsidRPr="004569CE">
              <w:rPr>
                <w:rFonts w:ascii="Arial" w:eastAsia="Times New Roman" w:hAnsi="Arial" w:cs="Arial"/>
                <w:b/>
                <w:color w:val="000000"/>
                <w:sz w:val="20"/>
                <w:szCs w:val="20"/>
                <w:lang w:eastAsia="ru-RU"/>
              </w:rPr>
              <w:t xml:space="preserve"> 2022</w:t>
            </w:r>
          </w:p>
        </w:tc>
        <w:tc>
          <w:tcPr>
            <w:tcW w:w="489" w:type="pct"/>
            <w:tcBorders>
              <w:top w:val="single" w:sz="12" w:space="0" w:color="auto"/>
              <w:bottom w:val="single" w:sz="12" w:space="0" w:color="auto"/>
            </w:tcBorders>
            <w:vAlign w:val="center"/>
          </w:tcPr>
          <w:p w14:paraId="7765CE9B" w14:textId="7381BBEE" w:rsidR="000C397E" w:rsidRPr="004569CE" w:rsidRDefault="000C397E" w:rsidP="000C397E">
            <w:pPr>
              <w:spacing w:after="0" w:line="240" w:lineRule="auto"/>
              <w:jc w:val="right"/>
              <w:rPr>
                <w:rFonts w:ascii="Arial" w:eastAsia="Times New Roman" w:hAnsi="Arial" w:cs="Arial"/>
                <w:i/>
                <w:color w:val="000000"/>
                <w:sz w:val="20"/>
                <w:szCs w:val="20"/>
                <w:lang w:eastAsia="ru-RU"/>
              </w:rPr>
            </w:pPr>
            <w:r w:rsidRPr="004569CE">
              <w:rPr>
                <w:rFonts w:ascii="Arial" w:eastAsia="Times New Roman" w:hAnsi="Arial" w:cs="Arial"/>
                <w:i/>
                <w:color w:val="000000"/>
                <w:sz w:val="20"/>
                <w:szCs w:val="20"/>
                <w:lang w:eastAsia="ru-RU"/>
              </w:rPr>
              <w:t>% change q/q</w:t>
            </w:r>
            <w:r w:rsidRPr="004569CE">
              <w:rPr>
                <w:rFonts w:ascii="Arial" w:eastAsia="Times New Roman" w:hAnsi="Arial" w:cs="Arial"/>
                <w:i/>
                <w:color w:val="000000"/>
                <w:sz w:val="20"/>
                <w:szCs w:val="20"/>
                <w:vertAlign w:val="superscript"/>
                <w:lang w:eastAsia="ru-RU"/>
              </w:rPr>
              <w:t>1)</w:t>
            </w:r>
          </w:p>
        </w:tc>
        <w:tc>
          <w:tcPr>
            <w:tcW w:w="489" w:type="pct"/>
            <w:tcBorders>
              <w:top w:val="single" w:sz="12" w:space="0" w:color="auto"/>
              <w:bottom w:val="single" w:sz="12" w:space="0" w:color="auto"/>
            </w:tcBorders>
            <w:vAlign w:val="center"/>
          </w:tcPr>
          <w:p w14:paraId="0FF753C7" w14:textId="712D8A27" w:rsidR="000C397E" w:rsidRPr="004569CE" w:rsidRDefault="00D2118D" w:rsidP="000C397E">
            <w:pPr>
              <w:spacing w:after="0" w:line="240" w:lineRule="auto"/>
              <w:jc w:val="right"/>
              <w:rPr>
                <w:rFonts w:ascii="Arial" w:eastAsia="Times New Roman" w:hAnsi="Arial" w:cs="Arial"/>
                <w:i/>
                <w:color w:val="000000"/>
                <w:sz w:val="20"/>
                <w:szCs w:val="20"/>
                <w:lang w:eastAsia="ru-RU"/>
              </w:rPr>
            </w:pPr>
            <w:r w:rsidRPr="004569CE">
              <w:rPr>
                <w:rFonts w:ascii="Arial" w:eastAsia="Times New Roman" w:hAnsi="Arial" w:cs="Arial"/>
                <w:b/>
                <w:bCs/>
                <w:color w:val="000000"/>
                <w:sz w:val="20"/>
                <w:szCs w:val="20"/>
                <w:lang w:eastAsia="ru-RU"/>
              </w:rPr>
              <w:t>12</w:t>
            </w:r>
            <w:r w:rsidR="002B658D" w:rsidRPr="004569CE">
              <w:rPr>
                <w:rFonts w:ascii="Arial" w:eastAsia="Times New Roman" w:hAnsi="Arial" w:cs="Arial"/>
                <w:b/>
                <w:bCs/>
                <w:color w:val="000000"/>
                <w:sz w:val="20"/>
                <w:szCs w:val="20"/>
                <w:lang w:eastAsia="ru-RU"/>
              </w:rPr>
              <w:t>M</w:t>
            </w:r>
            <w:r w:rsidR="000C397E" w:rsidRPr="004569CE">
              <w:rPr>
                <w:rFonts w:ascii="Arial" w:eastAsia="Times New Roman" w:hAnsi="Arial" w:cs="Arial"/>
                <w:b/>
                <w:bCs/>
                <w:color w:val="000000"/>
                <w:sz w:val="20"/>
                <w:szCs w:val="20"/>
                <w:lang w:eastAsia="ru-RU"/>
              </w:rPr>
              <w:t xml:space="preserve"> 2022</w:t>
            </w:r>
          </w:p>
        </w:tc>
        <w:tc>
          <w:tcPr>
            <w:tcW w:w="489" w:type="pct"/>
            <w:tcBorders>
              <w:top w:val="single" w:sz="12" w:space="0" w:color="auto"/>
              <w:bottom w:val="single" w:sz="12" w:space="0" w:color="auto"/>
            </w:tcBorders>
            <w:vAlign w:val="center"/>
          </w:tcPr>
          <w:p w14:paraId="1D5D7AE6" w14:textId="3B2A8ACA" w:rsidR="000C397E" w:rsidRPr="004569CE" w:rsidRDefault="00D2118D" w:rsidP="000C397E">
            <w:pPr>
              <w:spacing w:after="0" w:line="240" w:lineRule="auto"/>
              <w:jc w:val="right"/>
              <w:rPr>
                <w:rFonts w:ascii="Arial" w:eastAsia="Times New Roman" w:hAnsi="Arial" w:cs="Arial"/>
                <w:i/>
                <w:color w:val="000000"/>
                <w:sz w:val="20"/>
                <w:szCs w:val="20"/>
                <w:lang w:eastAsia="ru-RU"/>
              </w:rPr>
            </w:pPr>
            <w:r w:rsidRPr="004569CE">
              <w:rPr>
                <w:rFonts w:ascii="Arial" w:eastAsia="Times New Roman" w:hAnsi="Arial" w:cs="Arial"/>
                <w:b/>
                <w:bCs/>
                <w:color w:val="000000"/>
                <w:sz w:val="20"/>
                <w:szCs w:val="20"/>
                <w:lang w:eastAsia="ru-RU"/>
              </w:rPr>
              <w:t>12</w:t>
            </w:r>
            <w:r w:rsidR="002B658D" w:rsidRPr="004569CE">
              <w:rPr>
                <w:rFonts w:ascii="Arial" w:eastAsia="Times New Roman" w:hAnsi="Arial" w:cs="Arial"/>
                <w:b/>
                <w:bCs/>
                <w:color w:val="000000"/>
                <w:sz w:val="20"/>
                <w:szCs w:val="20"/>
                <w:lang w:eastAsia="ru-RU"/>
              </w:rPr>
              <w:t>M</w:t>
            </w:r>
            <w:r w:rsidR="000C397E" w:rsidRPr="004569CE">
              <w:rPr>
                <w:rFonts w:ascii="Arial" w:eastAsia="Times New Roman" w:hAnsi="Arial" w:cs="Arial"/>
                <w:b/>
                <w:bCs/>
                <w:color w:val="000000"/>
                <w:sz w:val="20"/>
                <w:szCs w:val="20"/>
                <w:lang w:eastAsia="ru-RU"/>
              </w:rPr>
              <w:t xml:space="preserve"> 2021</w:t>
            </w:r>
          </w:p>
        </w:tc>
        <w:tc>
          <w:tcPr>
            <w:tcW w:w="488" w:type="pct"/>
            <w:tcBorders>
              <w:top w:val="single" w:sz="12" w:space="0" w:color="auto"/>
              <w:bottom w:val="single" w:sz="12" w:space="0" w:color="auto"/>
            </w:tcBorders>
            <w:vAlign w:val="center"/>
          </w:tcPr>
          <w:p w14:paraId="75832B74" w14:textId="095A6974" w:rsidR="000C397E" w:rsidRPr="004569CE" w:rsidRDefault="000C397E" w:rsidP="000C397E">
            <w:pPr>
              <w:spacing w:after="0" w:line="240" w:lineRule="auto"/>
              <w:jc w:val="right"/>
              <w:rPr>
                <w:rFonts w:ascii="Arial" w:eastAsia="Times New Roman" w:hAnsi="Arial" w:cs="Arial"/>
                <w:i/>
                <w:color w:val="000000"/>
                <w:sz w:val="20"/>
                <w:szCs w:val="20"/>
                <w:lang w:eastAsia="ru-RU"/>
              </w:rPr>
            </w:pPr>
            <w:r w:rsidRPr="004569CE">
              <w:rPr>
                <w:rFonts w:ascii="Arial" w:eastAsia="Times New Roman" w:hAnsi="Arial" w:cs="Arial"/>
                <w:i/>
                <w:iCs/>
                <w:color w:val="000000"/>
                <w:sz w:val="20"/>
                <w:szCs w:val="20"/>
                <w:lang w:eastAsia="ru-RU"/>
              </w:rPr>
              <w:t>% change</w:t>
            </w:r>
            <w:r w:rsidRPr="004569CE">
              <w:rPr>
                <w:rFonts w:ascii="Arial" w:eastAsia="Times New Roman" w:hAnsi="Arial" w:cs="Arial"/>
                <w:i/>
                <w:iCs/>
                <w:color w:val="000000"/>
                <w:sz w:val="20"/>
                <w:szCs w:val="20"/>
                <w:vertAlign w:val="superscript"/>
                <w:lang w:eastAsia="ru-RU"/>
              </w:rPr>
              <w:t>1)</w:t>
            </w:r>
          </w:p>
        </w:tc>
      </w:tr>
      <w:tr w:rsidR="000C397E" w:rsidRPr="004569CE" w14:paraId="530337A5" w14:textId="4426FBA6" w:rsidTr="000C397E">
        <w:trPr>
          <w:trHeight w:hRule="exact" w:val="66"/>
        </w:trPr>
        <w:tc>
          <w:tcPr>
            <w:tcW w:w="967" w:type="pct"/>
            <w:tcBorders>
              <w:top w:val="single" w:sz="12" w:space="0" w:color="auto"/>
            </w:tcBorders>
            <w:shd w:val="clear" w:color="auto" w:fill="auto"/>
            <w:noWrap/>
            <w:vAlign w:val="bottom"/>
          </w:tcPr>
          <w:p w14:paraId="04982A9B" w14:textId="77777777" w:rsidR="000C397E" w:rsidRPr="004569CE" w:rsidRDefault="000C397E" w:rsidP="000C397E">
            <w:pPr>
              <w:spacing w:after="0" w:line="240" w:lineRule="auto"/>
              <w:jc w:val="both"/>
              <w:rPr>
                <w:rFonts w:ascii="Arial" w:eastAsia="Times New Roman" w:hAnsi="Arial" w:cs="Arial"/>
                <w:b/>
                <w:color w:val="000000"/>
                <w:sz w:val="20"/>
                <w:szCs w:val="20"/>
                <w:lang w:eastAsia="ru-RU"/>
              </w:rPr>
            </w:pPr>
          </w:p>
        </w:tc>
        <w:tc>
          <w:tcPr>
            <w:tcW w:w="114" w:type="pct"/>
          </w:tcPr>
          <w:p w14:paraId="5CA741B1" w14:textId="77777777" w:rsidR="000C397E" w:rsidRPr="004569CE"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12" w:space="0" w:color="auto"/>
            </w:tcBorders>
            <w:shd w:val="clear" w:color="auto" w:fill="auto"/>
            <w:noWrap/>
            <w:vAlign w:val="center"/>
          </w:tcPr>
          <w:p w14:paraId="179004C9" w14:textId="77777777" w:rsidR="000C397E" w:rsidRPr="004569CE"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12" w:space="0" w:color="auto"/>
            </w:tcBorders>
            <w:shd w:val="clear" w:color="auto" w:fill="auto"/>
            <w:noWrap/>
            <w:vAlign w:val="center"/>
          </w:tcPr>
          <w:p w14:paraId="25B012FD" w14:textId="77777777" w:rsidR="000C397E" w:rsidRPr="004569CE"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12" w:space="0" w:color="auto"/>
            </w:tcBorders>
            <w:shd w:val="clear" w:color="auto" w:fill="auto"/>
            <w:noWrap/>
            <w:vAlign w:val="center"/>
          </w:tcPr>
          <w:p w14:paraId="065144BB" w14:textId="77777777" w:rsidR="000C397E" w:rsidRPr="004569CE" w:rsidRDefault="000C397E" w:rsidP="000C397E">
            <w:pPr>
              <w:spacing w:after="0" w:line="240" w:lineRule="auto"/>
              <w:jc w:val="right"/>
              <w:rPr>
                <w:rFonts w:ascii="Arial" w:eastAsia="Times New Roman" w:hAnsi="Arial" w:cs="Arial"/>
                <w:b/>
                <w:i/>
                <w:color w:val="000000"/>
                <w:sz w:val="20"/>
                <w:szCs w:val="20"/>
                <w:lang w:eastAsia="ru-RU"/>
              </w:rPr>
            </w:pPr>
          </w:p>
        </w:tc>
        <w:tc>
          <w:tcPr>
            <w:tcW w:w="491" w:type="pct"/>
            <w:tcBorders>
              <w:top w:val="single" w:sz="12" w:space="0" w:color="auto"/>
            </w:tcBorders>
          </w:tcPr>
          <w:p w14:paraId="1675EA0E" w14:textId="77777777" w:rsidR="000C397E" w:rsidRPr="004569CE" w:rsidRDefault="000C397E" w:rsidP="000C397E">
            <w:pPr>
              <w:spacing w:after="0" w:line="240" w:lineRule="auto"/>
              <w:jc w:val="right"/>
              <w:rPr>
                <w:rFonts w:ascii="Arial" w:eastAsia="Times New Roman" w:hAnsi="Arial" w:cs="Arial"/>
                <w:b/>
                <w:i/>
                <w:color w:val="000000"/>
                <w:sz w:val="20"/>
                <w:szCs w:val="20"/>
                <w:lang w:eastAsia="ru-RU"/>
              </w:rPr>
            </w:pPr>
          </w:p>
        </w:tc>
        <w:tc>
          <w:tcPr>
            <w:tcW w:w="489" w:type="pct"/>
            <w:tcBorders>
              <w:top w:val="single" w:sz="12" w:space="0" w:color="auto"/>
            </w:tcBorders>
          </w:tcPr>
          <w:p w14:paraId="6F0784A5" w14:textId="77777777" w:rsidR="000C397E" w:rsidRPr="004569CE" w:rsidRDefault="000C397E" w:rsidP="000C397E">
            <w:pPr>
              <w:spacing w:after="0" w:line="240" w:lineRule="auto"/>
              <w:jc w:val="right"/>
              <w:rPr>
                <w:rFonts w:ascii="Arial" w:eastAsia="Times New Roman" w:hAnsi="Arial" w:cs="Arial"/>
                <w:b/>
                <w:i/>
                <w:color w:val="000000"/>
                <w:sz w:val="20"/>
                <w:szCs w:val="20"/>
                <w:lang w:eastAsia="ru-RU"/>
              </w:rPr>
            </w:pPr>
          </w:p>
        </w:tc>
        <w:tc>
          <w:tcPr>
            <w:tcW w:w="489" w:type="pct"/>
            <w:tcBorders>
              <w:top w:val="single" w:sz="12" w:space="0" w:color="auto"/>
            </w:tcBorders>
          </w:tcPr>
          <w:p w14:paraId="5AA352C7" w14:textId="77777777" w:rsidR="000C397E" w:rsidRPr="004569CE" w:rsidRDefault="000C397E" w:rsidP="000C397E">
            <w:pPr>
              <w:spacing w:after="0" w:line="240" w:lineRule="auto"/>
              <w:jc w:val="right"/>
              <w:rPr>
                <w:rFonts w:ascii="Arial" w:eastAsia="Times New Roman" w:hAnsi="Arial" w:cs="Arial"/>
                <w:b/>
                <w:i/>
                <w:color w:val="000000"/>
                <w:sz w:val="20"/>
                <w:szCs w:val="20"/>
                <w:lang w:eastAsia="ru-RU"/>
              </w:rPr>
            </w:pPr>
          </w:p>
        </w:tc>
        <w:tc>
          <w:tcPr>
            <w:tcW w:w="489" w:type="pct"/>
            <w:tcBorders>
              <w:top w:val="single" w:sz="12" w:space="0" w:color="auto"/>
            </w:tcBorders>
          </w:tcPr>
          <w:p w14:paraId="1662070B" w14:textId="77777777" w:rsidR="000C397E" w:rsidRPr="004569CE" w:rsidRDefault="000C397E" w:rsidP="000C397E">
            <w:pPr>
              <w:spacing w:after="0" w:line="240" w:lineRule="auto"/>
              <w:jc w:val="right"/>
              <w:rPr>
                <w:rFonts w:ascii="Arial" w:eastAsia="Times New Roman" w:hAnsi="Arial" w:cs="Arial"/>
                <w:b/>
                <w:i/>
                <w:color w:val="000000"/>
                <w:sz w:val="20"/>
                <w:szCs w:val="20"/>
                <w:lang w:eastAsia="ru-RU"/>
              </w:rPr>
            </w:pPr>
          </w:p>
        </w:tc>
        <w:tc>
          <w:tcPr>
            <w:tcW w:w="488" w:type="pct"/>
            <w:tcBorders>
              <w:top w:val="single" w:sz="12" w:space="0" w:color="auto"/>
            </w:tcBorders>
          </w:tcPr>
          <w:p w14:paraId="2690E88C" w14:textId="77777777" w:rsidR="000C397E" w:rsidRPr="004569CE" w:rsidRDefault="000C397E" w:rsidP="000C397E">
            <w:pPr>
              <w:spacing w:after="0" w:line="240" w:lineRule="auto"/>
              <w:jc w:val="right"/>
              <w:rPr>
                <w:rFonts w:ascii="Arial" w:eastAsia="Times New Roman" w:hAnsi="Arial" w:cs="Arial"/>
                <w:b/>
                <w:i/>
                <w:color w:val="000000"/>
                <w:sz w:val="20"/>
                <w:szCs w:val="20"/>
                <w:lang w:eastAsia="ru-RU"/>
              </w:rPr>
            </w:pPr>
          </w:p>
        </w:tc>
      </w:tr>
      <w:tr w:rsidR="000C397E" w:rsidRPr="004569CE" w14:paraId="0012FE85" w14:textId="20360326" w:rsidTr="00642B02">
        <w:trPr>
          <w:trHeight w:val="349"/>
        </w:trPr>
        <w:tc>
          <w:tcPr>
            <w:tcW w:w="967" w:type="pct"/>
            <w:shd w:val="clear" w:color="auto" w:fill="auto"/>
            <w:noWrap/>
            <w:vAlign w:val="bottom"/>
            <w:hideMark/>
          </w:tcPr>
          <w:p w14:paraId="3D7A9F1E" w14:textId="77777777" w:rsidR="000C397E" w:rsidRPr="004569CE" w:rsidRDefault="000C397E" w:rsidP="000C397E">
            <w:pPr>
              <w:spacing w:after="0" w:line="240" w:lineRule="auto"/>
              <w:jc w:val="both"/>
              <w:rPr>
                <w:rFonts w:ascii="Arial" w:eastAsia="Times New Roman" w:hAnsi="Arial" w:cs="Arial"/>
                <w:b/>
                <w:color w:val="000000"/>
                <w:sz w:val="20"/>
                <w:szCs w:val="20"/>
                <w:lang w:eastAsia="ru-RU"/>
              </w:rPr>
            </w:pPr>
            <w:r w:rsidRPr="004569CE">
              <w:rPr>
                <w:rFonts w:ascii="Arial" w:eastAsia="Times New Roman" w:hAnsi="Arial" w:cs="Arial"/>
                <w:b/>
                <w:color w:val="000000"/>
                <w:sz w:val="20"/>
                <w:szCs w:val="20"/>
                <w:lang w:eastAsia="ru-RU"/>
              </w:rPr>
              <w:t>Revenue</w:t>
            </w:r>
          </w:p>
        </w:tc>
        <w:tc>
          <w:tcPr>
            <w:tcW w:w="114" w:type="pct"/>
          </w:tcPr>
          <w:p w14:paraId="24370423" w14:textId="77777777" w:rsidR="000C397E" w:rsidRPr="004569CE"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shd w:val="clear" w:color="auto" w:fill="auto"/>
            <w:noWrap/>
            <w:vAlign w:val="center"/>
          </w:tcPr>
          <w:p w14:paraId="6DA67C11" w14:textId="4294905B" w:rsidR="000C397E" w:rsidRPr="004569CE" w:rsidRDefault="003C0E32" w:rsidP="00642B02">
            <w:pPr>
              <w:spacing w:after="0" w:line="240" w:lineRule="auto"/>
              <w:jc w:val="right"/>
              <w:rPr>
                <w:rFonts w:ascii="Arial" w:eastAsia="Times New Roman" w:hAnsi="Arial" w:cs="Arial"/>
                <w:b/>
                <w:color w:val="000000"/>
                <w:sz w:val="20"/>
                <w:szCs w:val="20"/>
                <w:lang w:eastAsia="ru-RU"/>
              </w:rPr>
            </w:pPr>
            <w:r w:rsidRPr="004569CE">
              <w:rPr>
                <w:rFonts w:ascii="Arial" w:eastAsia="Times New Roman" w:hAnsi="Arial" w:cs="Arial"/>
                <w:b/>
                <w:color w:val="000000"/>
                <w:sz w:val="20"/>
                <w:szCs w:val="20"/>
                <w:lang w:eastAsia="ru-RU"/>
              </w:rPr>
              <w:t xml:space="preserve"> </w:t>
            </w:r>
            <w:r w:rsidR="00DB5AAE" w:rsidRPr="000D120B">
              <w:rPr>
                <w:rFonts w:ascii="Arial" w:hAnsi="Arial" w:cs="Arial"/>
                <w:b/>
                <w:sz w:val="20"/>
                <w:szCs w:val="20"/>
              </w:rPr>
              <w:t xml:space="preserve"> 537</w:t>
            </w:r>
          </w:p>
        </w:tc>
        <w:tc>
          <w:tcPr>
            <w:tcW w:w="491" w:type="pct"/>
            <w:shd w:val="clear" w:color="auto" w:fill="auto"/>
            <w:noWrap/>
            <w:vAlign w:val="center"/>
          </w:tcPr>
          <w:p w14:paraId="42CCBE92" w14:textId="386635E5" w:rsidR="000C397E" w:rsidRPr="004569CE" w:rsidRDefault="003C0E32" w:rsidP="00642B02">
            <w:pPr>
              <w:spacing w:after="0" w:line="240" w:lineRule="auto"/>
              <w:jc w:val="right"/>
              <w:rPr>
                <w:rFonts w:ascii="Arial" w:eastAsia="Times New Roman" w:hAnsi="Arial" w:cs="Arial"/>
                <w:b/>
                <w:color w:val="000000"/>
                <w:sz w:val="20"/>
                <w:szCs w:val="20"/>
                <w:lang w:eastAsia="ru-RU"/>
              </w:rPr>
            </w:pPr>
            <w:r w:rsidRPr="004569CE">
              <w:rPr>
                <w:rFonts w:ascii="Arial" w:eastAsia="Times New Roman" w:hAnsi="Arial" w:cs="Arial"/>
                <w:b/>
                <w:color w:val="000000"/>
                <w:sz w:val="20"/>
                <w:szCs w:val="20"/>
                <w:lang w:eastAsia="ru-RU"/>
              </w:rPr>
              <w:t xml:space="preserve"> </w:t>
            </w:r>
            <w:r w:rsidR="00DB5AAE" w:rsidRPr="000D120B">
              <w:rPr>
                <w:rFonts w:ascii="Arial" w:hAnsi="Arial" w:cs="Arial"/>
                <w:b/>
                <w:sz w:val="20"/>
                <w:szCs w:val="20"/>
              </w:rPr>
              <w:t>467</w:t>
            </w:r>
          </w:p>
        </w:tc>
        <w:tc>
          <w:tcPr>
            <w:tcW w:w="491" w:type="pct"/>
            <w:shd w:val="clear" w:color="auto" w:fill="auto"/>
            <w:noWrap/>
            <w:vAlign w:val="center"/>
          </w:tcPr>
          <w:p w14:paraId="7AEDEF3A" w14:textId="1100BB9B" w:rsidR="000C397E" w:rsidRPr="004569CE" w:rsidRDefault="00DB5AAE" w:rsidP="00642B02">
            <w:pPr>
              <w:spacing w:after="0" w:line="240" w:lineRule="auto"/>
              <w:jc w:val="right"/>
              <w:rPr>
                <w:rFonts w:ascii="Arial" w:eastAsia="Times New Roman" w:hAnsi="Arial" w:cs="Arial"/>
                <w:b/>
                <w:color w:val="000000"/>
                <w:sz w:val="20"/>
                <w:szCs w:val="20"/>
                <w:lang w:eastAsia="ru-RU"/>
              </w:rPr>
            </w:pPr>
            <w:r w:rsidRPr="000D120B">
              <w:rPr>
                <w:rFonts w:ascii="Arial" w:hAnsi="Arial" w:cs="Arial"/>
                <w:b/>
                <w:sz w:val="20"/>
                <w:szCs w:val="20"/>
              </w:rPr>
              <w:t>15%</w:t>
            </w:r>
          </w:p>
        </w:tc>
        <w:tc>
          <w:tcPr>
            <w:tcW w:w="491" w:type="pct"/>
            <w:vAlign w:val="center"/>
          </w:tcPr>
          <w:p w14:paraId="66EAC9F3" w14:textId="60C9FB0F" w:rsidR="000C397E" w:rsidRPr="004569CE" w:rsidRDefault="003C0E32" w:rsidP="00642B02">
            <w:pPr>
              <w:spacing w:after="0" w:line="240" w:lineRule="auto"/>
              <w:jc w:val="right"/>
              <w:rPr>
                <w:rFonts w:ascii="Arial" w:eastAsia="Times New Roman" w:hAnsi="Arial" w:cs="Arial"/>
                <w:b/>
                <w:color w:val="000000"/>
                <w:sz w:val="20"/>
                <w:szCs w:val="20"/>
                <w:lang w:eastAsia="ru-RU"/>
              </w:rPr>
            </w:pPr>
            <w:r w:rsidRPr="004569CE">
              <w:rPr>
                <w:rFonts w:ascii="Arial" w:hAnsi="Arial" w:cs="Arial"/>
                <w:b/>
                <w:sz w:val="20"/>
                <w:szCs w:val="20"/>
              </w:rPr>
              <w:t xml:space="preserve"> </w:t>
            </w:r>
            <w:r w:rsidR="00DB5AAE" w:rsidRPr="000D120B">
              <w:rPr>
                <w:rFonts w:ascii="Arial" w:hAnsi="Arial" w:cs="Arial"/>
                <w:b/>
                <w:sz w:val="20"/>
                <w:szCs w:val="20"/>
              </w:rPr>
              <w:t xml:space="preserve"> 541</w:t>
            </w:r>
          </w:p>
        </w:tc>
        <w:tc>
          <w:tcPr>
            <w:tcW w:w="489" w:type="pct"/>
            <w:vAlign w:val="center"/>
          </w:tcPr>
          <w:p w14:paraId="468135FB" w14:textId="443D0629" w:rsidR="000C397E" w:rsidRPr="004569CE" w:rsidRDefault="00DB5AAE" w:rsidP="00642B02">
            <w:pPr>
              <w:spacing w:after="0" w:line="240" w:lineRule="auto"/>
              <w:jc w:val="right"/>
              <w:rPr>
                <w:rFonts w:ascii="Arial" w:eastAsia="Times New Roman" w:hAnsi="Arial" w:cs="Arial"/>
                <w:b/>
                <w:color w:val="000000"/>
                <w:sz w:val="20"/>
                <w:szCs w:val="20"/>
                <w:lang w:eastAsia="ru-RU"/>
              </w:rPr>
            </w:pPr>
            <w:r w:rsidRPr="000D120B">
              <w:rPr>
                <w:rFonts w:ascii="Arial" w:hAnsi="Arial" w:cs="Arial"/>
                <w:b/>
                <w:sz w:val="20"/>
                <w:szCs w:val="20"/>
              </w:rPr>
              <w:t>-1%</w:t>
            </w:r>
          </w:p>
        </w:tc>
        <w:tc>
          <w:tcPr>
            <w:tcW w:w="489" w:type="pct"/>
            <w:vAlign w:val="center"/>
          </w:tcPr>
          <w:p w14:paraId="3B052658" w14:textId="18D2577B" w:rsidR="000C397E" w:rsidRPr="004569CE" w:rsidRDefault="003C0E32" w:rsidP="00642B02">
            <w:pPr>
              <w:spacing w:after="0" w:line="240" w:lineRule="auto"/>
              <w:jc w:val="right"/>
              <w:rPr>
                <w:rFonts w:ascii="Arial" w:eastAsia="Times New Roman" w:hAnsi="Arial" w:cs="Arial"/>
                <w:b/>
                <w:color w:val="000000"/>
                <w:sz w:val="20"/>
                <w:szCs w:val="20"/>
                <w:lang w:eastAsia="ru-RU"/>
              </w:rPr>
            </w:pPr>
            <w:r w:rsidRPr="004569CE">
              <w:rPr>
                <w:rFonts w:ascii="Arial" w:hAnsi="Arial" w:cs="Arial"/>
                <w:b/>
                <w:sz w:val="20"/>
                <w:szCs w:val="20"/>
              </w:rPr>
              <w:t xml:space="preserve"> </w:t>
            </w:r>
            <w:r w:rsidR="00DB5AAE" w:rsidRPr="000D120B">
              <w:rPr>
                <w:rFonts w:ascii="Arial" w:hAnsi="Arial" w:cs="Arial"/>
                <w:b/>
                <w:sz w:val="20"/>
                <w:szCs w:val="20"/>
              </w:rPr>
              <w:t>1,887</w:t>
            </w:r>
          </w:p>
        </w:tc>
        <w:tc>
          <w:tcPr>
            <w:tcW w:w="489" w:type="pct"/>
            <w:vAlign w:val="center"/>
          </w:tcPr>
          <w:p w14:paraId="3B8B492E" w14:textId="52D032D2" w:rsidR="000C397E" w:rsidRPr="004569CE" w:rsidRDefault="003C0E32" w:rsidP="00642B02">
            <w:pPr>
              <w:spacing w:after="0" w:line="240" w:lineRule="auto"/>
              <w:jc w:val="right"/>
              <w:rPr>
                <w:rFonts w:ascii="Arial" w:eastAsia="Times New Roman" w:hAnsi="Arial" w:cs="Arial"/>
                <w:b/>
                <w:color w:val="000000"/>
                <w:sz w:val="20"/>
                <w:szCs w:val="20"/>
                <w:lang w:eastAsia="ru-RU"/>
              </w:rPr>
            </w:pPr>
            <w:r w:rsidRPr="004569CE">
              <w:rPr>
                <w:rFonts w:ascii="Arial" w:hAnsi="Arial" w:cs="Arial"/>
                <w:b/>
                <w:sz w:val="20"/>
                <w:szCs w:val="20"/>
              </w:rPr>
              <w:t xml:space="preserve"> </w:t>
            </w:r>
            <w:r w:rsidR="00DB5AAE" w:rsidRPr="000D120B">
              <w:rPr>
                <w:rFonts w:ascii="Arial" w:hAnsi="Arial" w:cs="Arial"/>
                <w:b/>
                <w:sz w:val="20"/>
                <w:szCs w:val="20"/>
              </w:rPr>
              <w:t>1,607</w:t>
            </w:r>
          </w:p>
        </w:tc>
        <w:tc>
          <w:tcPr>
            <w:tcW w:w="488" w:type="pct"/>
            <w:vAlign w:val="center"/>
          </w:tcPr>
          <w:p w14:paraId="53239CCC" w14:textId="7A559267" w:rsidR="000C397E" w:rsidRPr="004569CE" w:rsidRDefault="00DB5AAE" w:rsidP="00642B02">
            <w:pPr>
              <w:spacing w:after="0" w:line="240" w:lineRule="auto"/>
              <w:jc w:val="right"/>
              <w:rPr>
                <w:rFonts w:ascii="Arial" w:eastAsia="Times New Roman" w:hAnsi="Arial" w:cs="Arial"/>
                <w:b/>
                <w:color w:val="000000"/>
                <w:sz w:val="20"/>
                <w:szCs w:val="20"/>
                <w:lang w:eastAsia="ru-RU"/>
              </w:rPr>
            </w:pPr>
            <w:r w:rsidRPr="000D120B">
              <w:rPr>
                <w:rFonts w:ascii="Arial" w:hAnsi="Arial" w:cs="Arial"/>
                <w:b/>
                <w:sz w:val="20"/>
                <w:szCs w:val="20"/>
              </w:rPr>
              <w:t>17%</w:t>
            </w:r>
          </w:p>
        </w:tc>
      </w:tr>
      <w:tr w:rsidR="000C397E" w:rsidRPr="004569CE" w14:paraId="53DAE40F" w14:textId="18432FB4" w:rsidTr="00642B02">
        <w:trPr>
          <w:trHeight w:val="283"/>
        </w:trPr>
        <w:tc>
          <w:tcPr>
            <w:tcW w:w="967" w:type="pct"/>
            <w:shd w:val="clear" w:color="auto" w:fill="auto"/>
            <w:noWrap/>
            <w:vAlign w:val="bottom"/>
            <w:hideMark/>
          </w:tcPr>
          <w:p w14:paraId="73BAE744" w14:textId="77777777" w:rsidR="000C397E" w:rsidRPr="004569CE" w:rsidRDefault="000C397E" w:rsidP="000C397E">
            <w:pPr>
              <w:spacing w:after="0" w:line="240" w:lineRule="auto"/>
              <w:jc w:val="both"/>
              <w:rPr>
                <w:rFonts w:ascii="Arial" w:eastAsia="Times New Roman" w:hAnsi="Arial" w:cs="Arial"/>
                <w:i/>
                <w:color w:val="000000"/>
                <w:sz w:val="20"/>
                <w:szCs w:val="20"/>
                <w:lang w:eastAsia="ru-RU"/>
              </w:rPr>
            </w:pPr>
            <w:r w:rsidRPr="004569CE">
              <w:rPr>
                <w:rFonts w:ascii="Arial" w:eastAsia="Times New Roman" w:hAnsi="Arial" w:cs="Arial"/>
                <w:i/>
                <w:color w:val="000000"/>
                <w:sz w:val="20"/>
                <w:szCs w:val="20"/>
                <w:lang w:eastAsia="ru-RU"/>
              </w:rPr>
              <w:t>- Poultry and other</w:t>
            </w:r>
          </w:p>
        </w:tc>
        <w:tc>
          <w:tcPr>
            <w:tcW w:w="114" w:type="pct"/>
          </w:tcPr>
          <w:p w14:paraId="64470953" w14:textId="77777777" w:rsidR="000C397E" w:rsidRPr="004569CE" w:rsidRDefault="000C397E" w:rsidP="000C397E">
            <w:pPr>
              <w:spacing w:after="0" w:line="240" w:lineRule="auto"/>
              <w:jc w:val="right"/>
              <w:rPr>
                <w:rFonts w:ascii="Arial" w:eastAsia="Times New Roman" w:hAnsi="Arial" w:cs="Arial"/>
                <w:i/>
                <w:color w:val="000000"/>
                <w:sz w:val="20"/>
                <w:szCs w:val="20"/>
                <w:lang w:eastAsia="ru-RU"/>
              </w:rPr>
            </w:pPr>
          </w:p>
        </w:tc>
        <w:tc>
          <w:tcPr>
            <w:tcW w:w="491" w:type="pct"/>
            <w:shd w:val="clear" w:color="auto" w:fill="auto"/>
            <w:noWrap/>
            <w:vAlign w:val="center"/>
          </w:tcPr>
          <w:p w14:paraId="143D92BE" w14:textId="550FC10A" w:rsidR="000C397E" w:rsidRPr="004569CE" w:rsidRDefault="00045A7E" w:rsidP="00642B02">
            <w:pPr>
              <w:spacing w:after="0" w:line="240" w:lineRule="auto"/>
              <w:jc w:val="right"/>
              <w:rPr>
                <w:rFonts w:ascii="Arial" w:eastAsia="Times New Roman" w:hAnsi="Arial" w:cs="Arial"/>
                <w:i/>
                <w:color w:val="000000"/>
                <w:sz w:val="20"/>
                <w:szCs w:val="20"/>
                <w:lang w:eastAsia="ru-RU"/>
              </w:rPr>
            </w:pPr>
            <w:r w:rsidRPr="004569CE">
              <w:rPr>
                <w:rFonts w:ascii="Arial" w:eastAsia="Times New Roman" w:hAnsi="Arial" w:cs="Arial"/>
                <w:i/>
                <w:color w:val="000000"/>
                <w:sz w:val="20"/>
                <w:szCs w:val="20"/>
                <w:lang w:eastAsia="ru-RU"/>
              </w:rPr>
              <w:t xml:space="preserve"> </w:t>
            </w:r>
            <w:r w:rsidR="00DB5AAE" w:rsidRPr="000D120B">
              <w:rPr>
                <w:rFonts w:ascii="Arial" w:hAnsi="Arial" w:cs="Arial"/>
                <w:i/>
                <w:sz w:val="20"/>
                <w:szCs w:val="20"/>
              </w:rPr>
              <w:t xml:space="preserve"> 382</w:t>
            </w:r>
          </w:p>
        </w:tc>
        <w:tc>
          <w:tcPr>
            <w:tcW w:w="491" w:type="pct"/>
            <w:shd w:val="clear" w:color="auto" w:fill="auto"/>
            <w:noWrap/>
            <w:vAlign w:val="center"/>
          </w:tcPr>
          <w:p w14:paraId="5BFE06D6" w14:textId="5B47B5AB" w:rsidR="000C397E" w:rsidRPr="004569CE" w:rsidRDefault="003C0E32" w:rsidP="00642B02">
            <w:pPr>
              <w:spacing w:after="0" w:line="240" w:lineRule="auto"/>
              <w:jc w:val="right"/>
              <w:rPr>
                <w:rFonts w:ascii="Arial" w:eastAsia="Times New Roman" w:hAnsi="Arial" w:cs="Arial"/>
                <w:i/>
                <w:color w:val="000000"/>
                <w:sz w:val="20"/>
                <w:szCs w:val="20"/>
                <w:lang w:eastAsia="ru-RU"/>
              </w:rPr>
            </w:pPr>
            <w:r w:rsidRPr="004569CE">
              <w:rPr>
                <w:rFonts w:ascii="Arial" w:hAnsi="Arial" w:cs="Arial"/>
                <w:i/>
                <w:sz w:val="20"/>
                <w:szCs w:val="20"/>
              </w:rPr>
              <w:t xml:space="preserve"> </w:t>
            </w:r>
            <w:r w:rsidR="00DB5AAE" w:rsidRPr="000D120B">
              <w:rPr>
                <w:rFonts w:ascii="Arial" w:hAnsi="Arial" w:cs="Arial"/>
                <w:i/>
                <w:sz w:val="20"/>
                <w:szCs w:val="20"/>
              </w:rPr>
              <w:t xml:space="preserve"> 357</w:t>
            </w:r>
          </w:p>
        </w:tc>
        <w:tc>
          <w:tcPr>
            <w:tcW w:w="491" w:type="pct"/>
            <w:shd w:val="clear" w:color="auto" w:fill="auto"/>
            <w:noWrap/>
            <w:vAlign w:val="center"/>
          </w:tcPr>
          <w:p w14:paraId="65484E83" w14:textId="4226F79D"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7%</w:t>
            </w:r>
          </w:p>
        </w:tc>
        <w:tc>
          <w:tcPr>
            <w:tcW w:w="491" w:type="pct"/>
            <w:vAlign w:val="center"/>
          </w:tcPr>
          <w:p w14:paraId="6B2FEE83" w14:textId="08EFDCFE" w:rsidR="000C397E" w:rsidRPr="004569CE" w:rsidRDefault="003C0E32" w:rsidP="00642B02">
            <w:pPr>
              <w:spacing w:after="0" w:line="240" w:lineRule="auto"/>
              <w:jc w:val="right"/>
              <w:rPr>
                <w:rFonts w:ascii="Arial" w:hAnsi="Arial" w:cs="Arial"/>
                <w:i/>
                <w:sz w:val="20"/>
                <w:szCs w:val="20"/>
              </w:rPr>
            </w:pPr>
            <w:r w:rsidRPr="004569CE">
              <w:rPr>
                <w:rFonts w:ascii="Arial" w:hAnsi="Arial" w:cs="Arial"/>
                <w:i/>
                <w:sz w:val="20"/>
                <w:szCs w:val="20"/>
              </w:rPr>
              <w:t xml:space="preserve"> </w:t>
            </w:r>
            <w:r w:rsidR="00DB5AAE" w:rsidRPr="000D120B">
              <w:rPr>
                <w:rFonts w:ascii="Arial" w:hAnsi="Arial" w:cs="Arial"/>
                <w:i/>
                <w:sz w:val="20"/>
                <w:szCs w:val="20"/>
              </w:rPr>
              <w:t xml:space="preserve"> 392</w:t>
            </w:r>
          </w:p>
        </w:tc>
        <w:tc>
          <w:tcPr>
            <w:tcW w:w="489" w:type="pct"/>
            <w:vAlign w:val="center"/>
          </w:tcPr>
          <w:p w14:paraId="425EC9D9" w14:textId="1051E330"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-3%</w:t>
            </w:r>
          </w:p>
        </w:tc>
        <w:tc>
          <w:tcPr>
            <w:tcW w:w="489" w:type="pct"/>
            <w:vAlign w:val="center"/>
          </w:tcPr>
          <w:p w14:paraId="4CB72CE6" w14:textId="6053AFD3" w:rsidR="000C397E" w:rsidRPr="004569CE" w:rsidRDefault="003C0E32" w:rsidP="00642B02">
            <w:pPr>
              <w:spacing w:after="0" w:line="240" w:lineRule="auto"/>
              <w:jc w:val="right"/>
              <w:rPr>
                <w:rFonts w:ascii="Arial" w:eastAsia="Times New Roman" w:hAnsi="Arial" w:cs="Arial"/>
                <w:i/>
                <w:color w:val="000000"/>
                <w:sz w:val="20"/>
                <w:szCs w:val="20"/>
                <w:lang w:eastAsia="ru-RU"/>
              </w:rPr>
            </w:pPr>
            <w:r w:rsidRPr="004569CE">
              <w:rPr>
                <w:rFonts w:ascii="Arial" w:hAnsi="Arial" w:cs="Arial"/>
                <w:i/>
                <w:sz w:val="20"/>
                <w:szCs w:val="20"/>
              </w:rPr>
              <w:t xml:space="preserve"> </w:t>
            </w:r>
            <w:r w:rsidR="00DB5AAE" w:rsidRPr="000D120B">
              <w:rPr>
                <w:rFonts w:ascii="Arial" w:hAnsi="Arial" w:cs="Arial"/>
                <w:i/>
                <w:sz w:val="20"/>
                <w:szCs w:val="20"/>
              </w:rPr>
              <w:t xml:space="preserve"> 1,425</w:t>
            </w:r>
          </w:p>
        </w:tc>
        <w:tc>
          <w:tcPr>
            <w:tcW w:w="489" w:type="pct"/>
            <w:vAlign w:val="center"/>
          </w:tcPr>
          <w:p w14:paraId="6D5B7787" w14:textId="1E2763F2" w:rsidR="000C397E" w:rsidRPr="004569CE" w:rsidRDefault="003C0E32" w:rsidP="00642B02">
            <w:pPr>
              <w:spacing w:after="0" w:line="240" w:lineRule="auto"/>
              <w:jc w:val="right"/>
              <w:rPr>
                <w:rFonts w:ascii="Arial" w:eastAsia="Times New Roman" w:hAnsi="Arial" w:cs="Arial"/>
                <w:i/>
                <w:color w:val="000000"/>
                <w:sz w:val="20"/>
                <w:szCs w:val="20"/>
                <w:lang w:eastAsia="ru-RU"/>
              </w:rPr>
            </w:pPr>
            <w:r w:rsidRPr="004569CE">
              <w:rPr>
                <w:rFonts w:ascii="Arial" w:hAnsi="Arial" w:cs="Arial"/>
                <w:i/>
                <w:sz w:val="20"/>
                <w:szCs w:val="20"/>
              </w:rPr>
              <w:t xml:space="preserve"> </w:t>
            </w:r>
            <w:r w:rsidR="00DB5AAE" w:rsidRPr="000D120B">
              <w:rPr>
                <w:rFonts w:ascii="Arial" w:hAnsi="Arial" w:cs="Arial"/>
                <w:i/>
                <w:sz w:val="20"/>
                <w:szCs w:val="20"/>
              </w:rPr>
              <w:t xml:space="preserve"> 1,305</w:t>
            </w:r>
          </w:p>
        </w:tc>
        <w:tc>
          <w:tcPr>
            <w:tcW w:w="488" w:type="pct"/>
            <w:vAlign w:val="center"/>
          </w:tcPr>
          <w:p w14:paraId="6489CDF3" w14:textId="3D162DAC"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9%</w:t>
            </w:r>
          </w:p>
        </w:tc>
      </w:tr>
      <w:tr w:rsidR="000C397E" w:rsidRPr="004569CE" w14:paraId="7CD438B3" w14:textId="15AEE103" w:rsidTr="00642B02">
        <w:trPr>
          <w:trHeight w:val="288"/>
        </w:trPr>
        <w:tc>
          <w:tcPr>
            <w:tcW w:w="967" w:type="pct"/>
            <w:shd w:val="clear" w:color="auto" w:fill="auto"/>
            <w:noWrap/>
            <w:vAlign w:val="bottom"/>
            <w:hideMark/>
          </w:tcPr>
          <w:p w14:paraId="0F6BE679" w14:textId="77777777" w:rsidR="000C397E" w:rsidRPr="004569CE" w:rsidRDefault="000C397E" w:rsidP="000C397E">
            <w:pPr>
              <w:spacing w:after="0" w:line="240" w:lineRule="auto"/>
              <w:jc w:val="both"/>
              <w:rPr>
                <w:rFonts w:ascii="Arial" w:eastAsia="Times New Roman" w:hAnsi="Arial" w:cs="Arial"/>
                <w:i/>
                <w:color w:val="000000"/>
                <w:sz w:val="20"/>
                <w:szCs w:val="20"/>
                <w:lang w:eastAsia="ru-RU"/>
              </w:rPr>
            </w:pPr>
            <w:r w:rsidRPr="004569CE">
              <w:rPr>
                <w:rFonts w:ascii="Arial" w:eastAsia="Times New Roman" w:hAnsi="Arial" w:cs="Arial"/>
                <w:i/>
                <w:color w:val="000000"/>
                <w:sz w:val="20"/>
                <w:szCs w:val="20"/>
                <w:lang w:eastAsia="ru-RU"/>
              </w:rPr>
              <w:t>- Vegetable oil</w:t>
            </w:r>
          </w:p>
        </w:tc>
        <w:tc>
          <w:tcPr>
            <w:tcW w:w="114" w:type="pct"/>
          </w:tcPr>
          <w:p w14:paraId="39756D53" w14:textId="77777777" w:rsidR="000C397E" w:rsidRPr="004569CE" w:rsidRDefault="000C397E" w:rsidP="000C397E">
            <w:pPr>
              <w:spacing w:after="0" w:line="240" w:lineRule="auto"/>
              <w:jc w:val="right"/>
              <w:rPr>
                <w:rFonts w:ascii="Arial" w:eastAsia="Times New Roman" w:hAnsi="Arial" w:cs="Arial"/>
                <w:i/>
                <w:color w:val="000000"/>
                <w:sz w:val="20"/>
                <w:szCs w:val="20"/>
                <w:lang w:eastAsia="ru-RU"/>
              </w:rPr>
            </w:pPr>
          </w:p>
        </w:tc>
        <w:tc>
          <w:tcPr>
            <w:tcW w:w="491" w:type="pct"/>
            <w:shd w:val="clear" w:color="auto" w:fill="auto"/>
            <w:noWrap/>
            <w:vAlign w:val="center"/>
          </w:tcPr>
          <w:p w14:paraId="68EFD9EC" w14:textId="64066470" w:rsidR="000C397E" w:rsidRPr="004569CE" w:rsidRDefault="003C0E32" w:rsidP="00642B02">
            <w:pPr>
              <w:spacing w:after="0" w:line="240" w:lineRule="auto"/>
              <w:jc w:val="right"/>
              <w:rPr>
                <w:rFonts w:ascii="Arial" w:eastAsia="Times New Roman" w:hAnsi="Arial" w:cs="Arial"/>
                <w:i/>
                <w:color w:val="000000"/>
                <w:sz w:val="20"/>
                <w:szCs w:val="20"/>
                <w:lang w:eastAsia="ru-RU"/>
              </w:rPr>
            </w:pPr>
            <w:r w:rsidRPr="004569CE">
              <w:rPr>
                <w:rFonts w:ascii="Arial" w:hAnsi="Arial" w:cs="Arial"/>
                <w:i/>
                <w:sz w:val="20"/>
                <w:szCs w:val="20"/>
              </w:rPr>
              <w:t xml:space="preserve"> </w:t>
            </w:r>
            <w:r w:rsidR="00DB5AAE" w:rsidRPr="000D120B">
              <w:rPr>
                <w:rFonts w:ascii="Arial" w:hAnsi="Arial" w:cs="Arial"/>
                <w:i/>
                <w:sz w:val="20"/>
                <w:szCs w:val="20"/>
              </w:rPr>
              <w:t xml:space="preserve"> 155</w:t>
            </w:r>
          </w:p>
        </w:tc>
        <w:tc>
          <w:tcPr>
            <w:tcW w:w="491" w:type="pct"/>
            <w:shd w:val="clear" w:color="auto" w:fill="auto"/>
            <w:noWrap/>
            <w:vAlign w:val="center"/>
          </w:tcPr>
          <w:p w14:paraId="06FD3F89" w14:textId="38BB1BA6" w:rsidR="000C397E" w:rsidRPr="004569CE" w:rsidRDefault="003C0E32" w:rsidP="00642B02">
            <w:pPr>
              <w:spacing w:after="0" w:line="240" w:lineRule="auto"/>
              <w:jc w:val="right"/>
              <w:rPr>
                <w:rFonts w:ascii="Arial" w:eastAsia="Times New Roman" w:hAnsi="Arial" w:cs="Arial"/>
                <w:i/>
                <w:color w:val="000000"/>
                <w:sz w:val="20"/>
                <w:szCs w:val="20"/>
                <w:lang w:eastAsia="ru-RU"/>
              </w:rPr>
            </w:pPr>
            <w:r w:rsidRPr="004569CE">
              <w:rPr>
                <w:rFonts w:ascii="Arial" w:hAnsi="Arial" w:cs="Arial"/>
                <w:i/>
                <w:sz w:val="20"/>
                <w:szCs w:val="20"/>
              </w:rPr>
              <w:t xml:space="preserve"> </w:t>
            </w:r>
            <w:r w:rsidR="00DB5AAE" w:rsidRPr="000D120B">
              <w:rPr>
                <w:rFonts w:ascii="Arial" w:hAnsi="Arial" w:cs="Arial"/>
                <w:i/>
                <w:sz w:val="20"/>
                <w:szCs w:val="20"/>
              </w:rPr>
              <w:t xml:space="preserve"> 110</w:t>
            </w:r>
          </w:p>
        </w:tc>
        <w:tc>
          <w:tcPr>
            <w:tcW w:w="491" w:type="pct"/>
            <w:shd w:val="clear" w:color="auto" w:fill="auto"/>
            <w:noWrap/>
            <w:vAlign w:val="center"/>
          </w:tcPr>
          <w:p w14:paraId="5D3B066A" w14:textId="02981313"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41%</w:t>
            </w:r>
          </w:p>
        </w:tc>
        <w:tc>
          <w:tcPr>
            <w:tcW w:w="491" w:type="pct"/>
            <w:vAlign w:val="center"/>
          </w:tcPr>
          <w:p w14:paraId="68A8B67F" w14:textId="36183550" w:rsidR="000C397E" w:rsidRPr="004569CE" w:rsidRDefault="003C0E32" w:rsidP="00642B02">
            <w:pPr>
              <w:spacing w:after="0" w:line="240" w:lineRule="auto"/>
              <w:jc w:val="right"/>
              <w:rPr>
                <w:rFonts w:ascii="Arial" w:eastAsia="Times New Roman" w:hAnsi="Arial" w:cs="Arial"/>
                <w:i/>
                <w:color w:val="000000"/>
                <w:sz w:val="20"/>
                <w:szCs w:val="20"/>
                <w:lang w:eastAsia="ru-RU"/>
              </w:rPr>
            </w:pPr>
            <w:r w:rsidRPr="004569CE">
              <w:rPr>
                <w:rFonts w:ascii="Arial" w:hAnsi="Arial" w:cs="Arial"/>
                <w:i/>
                <w:sz w:val="20"/>
                <w:szCs w:val="20"/>
              </w:rPr>
              <w:t xml:space="preserve"> </w:t>
            </w:r>
            <w:r w:rsidR="00DB5AAE" w:rsidRPr="000D120B">
              <w:rPr>
                <w:rFonts w:ascii="Arial" w:hAnsi="Arial" w:cs="Arial"/>
                <w:i/>
                <w:sz w:val="20"/>
                <w:szCs w:val="20"/>
              </w:rPr>
              <w:t xml:space="preserve"> 149</w:t>
            </w:r>
          </w:p>
        </w:tc>
        <w:tc>
          <w:tcPr>
            <w:tcW w:w="489" w:type="pct"/>
            <w:vAlign w:val="center"/>
          </w:tcPr>
          <w:p w14:paraId="41FC8AF6" w14:textId="7D308DF6"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4%</w:t>
            </w:r>
          </w:p>
        </w:tc>
        <w:tc>
          <w:tcPr>
            <w:tcW w:w="489" w:type="pct"/>
            <w:vAlign w:val="center"/>
          </w:tcPr>
          <w:p w14:paraId="4F26B044" w14:textId="370CFCC1" w:rsidR="000C397E" w:rsidRPr="004569CE" w:rsidRDefault="00654C42" w:rsidP="00642B02">
            <w:pPr>
              <w:spacing w:after="0" w:line="240" w:lineRule="auto"/>
              <w:jc w:val="right"/>
              <w:rPr>
                <w:rFonts w:ascii="Arial" w:eastAsia="Times New Roman" w:hAnsi="Arial" w:cs="Arial"/>
                <w:i/>
                <w:color w:val="000000"/>
                <w:sz w:val="20"/>
                <w:szCs w:val="20"/>
                <w:lang w:eastAsia="ru-RU"/>
              </w:rPr>
            </w:pPr>
            <w:r w:rsidRPr="004569CE">
              <w:rPr>
                <w:rFonts w:ascii="Arial" w:hAnsi="Arial" w:cs="Arial"/>
                <w:i/>
                <w:sz w:val="20"/>
                <w:szCs w:val="20"/>
              </w:rPr>
              <w:t xml:space="preserve"> </w:t>
            </w:r>
            <w:r w:rsidR="00DB5AAE" w:rsidRPr="000D120B">
              <w:rPr>
                <w:rFonts w:ascii="Arial" w:hAnsi="Arial" w:cs="Arial"/>
                <w:i/>
                <w:sz w:val="20"/>
                <w:szCs w:val="20"/>
              </w:rPr>
              <w:t xml:space="preserve"> 462</w:t>
            </w:r>
          </w:p>
        </w:tc>
        <w:tc>
          <w:tcPr>
            <w:tcW w:w="489" w:type="pct"/>
            <w:vAlign w:val="center"/>
          </w:tcPr>
          <w:p w14:paraId="100F323A" w14:textId="6EC6FD79" w:rsidR="000C397E" w:rsidRPr="004569CE" w:rsidRDefault="003C0E32" w:rsidP="00642B02">
            <w:pPr>
              <w:spacing w:after="0" w:line="240" w:lineRule="auto"/>
              <w:jc w:val="right"/>
              <w:rPr>
                <w:rFonts w:ascii="Arial" w:eastAsia="Times New Roman" w:hAnsi="Arial" w:cs="Arial"/>
                <w:i/>
                <w:color w:val="000000"/>
                <w:sz w:val="20"/>
                <w:szCs w:val="20"/>
                <w:lang w:eastAsia="ru-RU"/>
              </w:rPr>
            </w:pPr>
            <w:r w:rsidRPr="004569CE">
              <w:rPr>
                <w:rFonts w:ascii="Arial" w:hAnsi="Arial" w:cs="Arial"/>
                <w:i/>
                <w:sz w:val="20"/>
                <w:szCs w:val="20"/>
              </w:rPr>
              <w:t xml:space="preserve"> </w:t>
            </w:r>
            <w:r w:rsidR="00DB5AAE" w:rsidRPr="000D120B">
              <w:rPr>
                <w:rFonts w:ascii="Arial" w:hAnsi="Arial" w:cs="Arial"/>
                <w:i/>
                <w:sz w:val="20"/>
                <w:szCs w:val="20"/>
              </w:rPr>
              <w:t xml:space="preserve"> 302</w:t>
            </w:r>
          </w:p>
        </w:tc>
        <w:tc>
          <w:tcPr>
            <w:tcW w:w="488" w:type="pct"/>
            <w:vAlign w:val="center"/>
          </w:tcPr>
          <w:p w14:paraId="70FADB9F" w14:textId="567B686F"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53%</w:t>
            </w:r>
          </w:p>
        </w:tc>
      </w:tr>
      <w:tr w:rsidR="000C397E" w:rsidRPr="004569CE" w14:paraId="4C311197" w14:textId="62C8510E" w:rsidTr="00642B02">
        <w:trPr>
          <w:trHeight w:hRule="exact" w:val="66"/>
        </w:trPr>
        <w:tc>
          <w:tcPr>
            <w:tcW w:w="967" w:type="pct"/>
            <w:shd w:val="clear" w:color="auto" w:fill="auto"/>
            <w:noWrap/>
            <w:vAlign w:val="bottom"/>
          </w:tcPr>
          <w:p w14:paraId="7490350B" w14:textId="77777777" w:rsidR="000C397E" w:rsidRPr="004569CE" w:rsidRDefault="000C397E" w:rsidP="000C397E">
            <w:pPr>
              <w:spacing w:after="0" w:line="240" w:lineRule="auto"/>
              <w:jc w:val="both"/>
              <w:rPr>
                <w:rFonts w:ascii="Arial" w:eastAsia="Times New Roman" w:hAnsi="Arial" w:cs="Arial"/>
                <w:b/>
                <w:color w:val="000000"/>
                <w:sz w:val="20"/>
                <w:szCs w:val="20"/>
                <w:lang w:eastAsia="ru-RU"/>
              </w:rPr>
            </w:pPr>
          </w:p>
        </w:tc>
        <w:tc>
          <w:tcPr>
            <w:tcW w:w="114" w:type="pct"/>
          </w:tcPr>
          <w:p w14:paraId="5B4FD750" w14:textId="77777777" w:rsidR="000C397E" w:rsidRPr="004569CE"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shd w:val="clear" w:color="auto" w:fill="auto"/>
            <w:noWrap/>
            <w:vAlign w:val="center"/>
          </w:tcPr>
          <w:p w14:paraId="2103FCB2"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91" w:type="pct"/>
            <w:shd w:val="clear" w:color="auto" w:fill="auto"/>
            <w:noWrap/>
            <w:vAlign w:val="center"/>
          </w:tcPr>
          <w:p w14:paraId="31799680"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91" w:type="pct"/>
            <w:shd w:val="clear" w:color="auto" w:fill="auto"/>
            <w:noWrap/>
            <w:vAlign w:val="center"/>
          </w:tcPr>
          <w:p w14:paraId="3DB9E26C"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91" w:type="pct"/>
            <w:vAlign w:val="center"/>
          </w:tcPr>
          <w:p w14:paraId="3689056A"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89" w:type="pct"/>
            <w:vAlign w:val="center"/>
          </w:tcPr>
          <w:p w14:paraId="14F4325E" w14:textId="77777777" w:rsidR="000C397E" w:rsidRPr="004569CE" w:rsidRDefault="000C397E" w:rsidP="00642B02">
            <w:pPr>
              <w:spacing w:after="0" w:line="240" w:lineRule="auto"/>
              <w:jc w:val="right"/>
              <w:rPr>
                <w:rFonts w:ascii="Arial" w:eastAsia="Times New Roman" w:hAnsi="Arial" w:cs="Arial"/>
                <w:b/>
                <w:bCs/>
                <w:color w:val="000000"/>
                <w:sz w:val="20"/>
                <w:szCs w:val="20"/>
                <w:lang w:eastAsia="ru-RU"/>
              </w:rPr>
            </w:pPr>
          </w:p>
        </w:tc>
        <w:tc>
          <w:tcPr>
            <w:tcW w:w="489" w:type="pct"/>
            <w:vAlign w:val="center"/>
          </w:tcPr>
          <w:p w14:paraId="62412432" w14:textId="77777777" w:rsidR="000C397E" w:rsidRPr="004569CE" w:rsidRDefault="000C397E" w:rsidP="00642B02">
            <w:pPr>
              <w:spacing w:after="0" w:line="240" w:lineRule="auto"/>
              <w:jc w:val="right"/>
              <w:rPr>
                <w:rFonts w:ascii="Arial" w:eastAsia="Times New Roman" w:hAnsi="Arial" w:cs="Arial"/>
                <w:b/>
                <w:bCs/>
                <w:color w:val="000000"/>
                <w:sz w:val="20"/>
                <w:szCs w:val="20"/>
                <w:lang w:eastAsia="ru-RU"/>
              </w:rPr>
            </w:pPr>
          </w:p>
        </w:tc>
        <w:tc>
          <w:tcPr>
            <w:tcW w:w="489" w:type="pct"/>
            <w:vAlign w:val="center"/>
          </w:tcPr>
          <w:p w14:paraId="3F529125" w14:textId="77777777" w:rsidR="000C397E" w:rsidRPr="004569CE" w:rsidRDefault="000C397E" w:rsidP="00642B02">
            <w:pPr>
              <w:spacing w:after="0" w:line="240" w:lineRule="auto"/>
              <w:jc w:val="right"/>
              <w:rPr>
                <w:rFonts w:ascii="Arial" w:eastAsia="Times New Roman" w:hAnsi="Arial" w:cs="Arial"/>
                <w:b/>
                <w:bCs/>
                <w:color w:val="000000"/>
                <w:sz w:val="20"/>
                <w:szCs w:val="20"/>
                <w:lang w:eastAsia="ru-RU"/>
              </w:rPr>
            </w:pPr>
          </w:p>
        </w:tc>
        <w:tc>
          <w:tcPr>
            <w:tcW w:w="488" w:type="pct"/>
            <w:vAlign w:val="center"/>
          </w:tcPr>
          <w:p w14:paraId="39DA6E50" w14:textId="77777777" w:rsidR="000C397E" w:rsidRPr="004569CE" w:rsidRDefault="000C397E" w:rsidP="00642B02">
            <w:pPr>
              <w:spacing w:after="0" w:line="240" w:lineRule="auto"/>
              <w:jc w:val="right"/>
              <w:rPr>
                <w:rFonts w:ascii="Arial" w:eastAsia="Times New Roman" w:hAnsi="Arial" w:cs="Arial"/>
                <w:b/>
                <w:bCs/>
                <w:color w:val="000000"/>
                <w:sz w:val="20"/>
                <w:szCs w:val="20"/>
                <w:lang w:eastAsia="ru-RU"/>
              </w:rPr>
            </w:pPr>
          </w:p>
        </w:tc>
      </w:tr>
      <w:tr w:rsidR="000C397E" w:rsidRPr="004569CE" w14:paraId="336D610E" w14:textId="0BC6BFF1" w:rsidTr="00642B02">
        <w:trPr>
          <w:trHeight w:val="222"/>
        </w:trPr>
        <w:tc>
          <w:tcPr>
            <w:tcW w:w="967" w:type="pct"/>
            <w:tcBorders>
              <w:bottom w:val="single" w:sz="2" w:space="0" w:color="auto"/>
            </w:tcBorders>
            <w:shd w:val="clear" w:color="auto" w:fill="auto"/>
            <w:noWrap/>
            <w:vAlign w:val="bottom"/>
            <w:hideMark/>
          </w:tcPr>
          <w:p w14:paraId="117C9F02" w14:textId="2986A7D5" w:rsidR="000C397E" w:rsidRPr="004569CE" w:rsidRDefault="000C397E" w:rsidP="000C397E">
            <w:pPr>
              <w:spacing w:after="0" w:line="240" w:lineRule="auto"/>
              <w:jc w:val="both"/>
              <w:rPr>
                <w:rFonts w:ascii="Arial" w:eastAsia="Times New Roman" w:hAnsi="Arial" w:cs="Arial"/>
                <w:bCs/>
                <w:color w:val="000000"/>
                <w:sz w:val="20"/>
                <w:szCs w:val="20"/>
                <w:lang w:eastAsia="ru-RU"/>
              </w:rPr>
            </w:pPr>
            <w:r w:rsidRPr="004569CE">
              <w:rPr>
                <w:rFonts w:ascii="Arial" w:eastAsia="Times New Roman" w:hAnsi="Arial" w:cs="Arial"/>
                <w:bCs/>
                <w:color w:val="000000"/>
                <w:sz w:val="20"/>
                <w:szCs w:val="20"/>
                <w:lang w:eastAsia="ru-RU"/>
              </w:rPr>
              <w:t>IAS 41 standard gain</w:t>
            </w:r>
          </w:p>
        </w:tc>
        <w:tc>
          <w:tcPr>
            <w:tcW w:w="114" w:type="pct"/>
            <w:vAlign w:val="bottom"/>
          </w:tcPr>
          <w:p w14:paraId="74ECB856" w14:textId="77777777" w:rsidR="000C397E" w:rsidRPr="004569CE" w:rsidRDefault="000C397E" w:rsidP="000C397E">
            <w:pPr>
              <w:spacing w:after="0" w:line="240" w:lineRule="auto"/>
              <w:jc w:val="right"/>
              <w:rPr>
                <w:rFonts w:ascii="Arial" w:eastAsia="Times New Roman" w:hAnsi="Arial" w:cs="Arial"/>
                <w:bCs/>
                <w:color w:val="000000"/>
                <w:sz w:val="20"/>
                <w:szCs w:val="20"/>
                <w:lang w:eastAsia="ru-RU"/>
              </w:rPr>
            </w:pPr>
          </w:p>
        </w:tc>
        <w:tc>
          <w:tcPr>
            <w:tcW w:w="491" w:type="pct"/>
            <w:tcBorders>
              <w:bottom w:val="single" w:sz="2" w:space="0" w:color="auto"/>
            </w:tcBorders>
            <w:shd w:val="clear" w:color="auto" w:fill="auto"/>
            <w:noWrap/>
            <w:vAlign w:val="center"/>
          </w:tcPr>
          <w:p w14:paraId="3868A651" w14:textId="7A2FB671" w:rsidR="000C397E" w:rsidRPr="004569CE" w:rsidRDefault="003C0E32" w:rsidP="00642B02">
            <w:pPr>
              <w:spacing w:after="0" w:line="240" w:lineRule="auto"/>
              <w:jc w:val="right"/>
              <w:rPr>
                <w:rFonts w:ascii="Arial" w:eastAsia="Times New Roman" w:hAnsi="Arial" w:cs="Arial"/>
                <w:bCs/>
                <w:color w:val="000000"/>
                <w:sz w:val="20"/>
                <w:szCs w:val="20"/>
                <w:lang w:eastAsia="ru-RU"/>
              </w:rPr>
            </w:pPr>
            <w:r w:rsidRPr="004569CE">
              <w:rPr>
                <w:rFonts w:ascii="Arial" w:eastAsia="Times New Roman" w:hAnsi="Arial" w:cs="Arial"/>
                <w:bCs/>
                <w:color w:val="000000"/>
                <w:sz w:val="20"/>
                <w:szCs w:val="20"/>
                <w:lang w:eastAsia="ru-RU"/>
              </w:rPr>
              <w:t xml:space="preserve"> </w:t>
            </w:r>
            <w:r w:rsidR="00DB5AAE" w:rsidRPr="000D120B">
              <w:rPr>
                <w:rFonts w:ascii="Arial" w:hAnsi="Arial" w:cs="Arial"/>
                <w:sz w:val="20"/>
                <w:szCs w:val="20"/>
              </w:rPr>
              <w:t>(11)</w:t>
            </w:r>
          </w:p>
        </w:tc>
        <w:tc>
          <w:tcPr>
            <w:tcW w:w="491" w:type="pct"/>
            <w:tcBorders>
              <w:bottom w:val="single" w:sz="2" w:space="0" w:color="auto"/>
            </w:tcBorders>
            <w:shd w:val="clear" w:color="auto" w:fill="auto"/>
            <w:noWrap/>
            <w:vAlign w:val="center"/>
          </w:tcPr>
          <w:p w14:paraId="0CF31E17" w14:textId="1412DA0F" w:rsidR="000C397E" w:rsidRPr="004569CE" w:rsidRDefault="00DB5AAE" w:rsidP="00642B02">
            <w:pPr>
              <w:spacing w:after="0" w:line="240" w:lineRule="auto"/>
              <w:jc w:val="right"/>
              <w:rPr>
                <w:rFonts w:ascii="Arial" w:eastAsia="Times New Roman" w:hAnsi="Arial" w:cs="Arial"/>
                <w:bCs/>
                <w:color w:val="000000"/>
                <w:sz w:val="20"/>
                <w:szCs w:val="20"/>
                <w:lang w:eastAsia="ru-RU"/>
              </w:rPr>
            </w:pPr>
            <w:r w:rsidRPr="000D120B">
              <w:rPr>
                <w:rFonts w:ascii="Arial" w:hAnsi="Arial" w:cs="Arial"/>
                <w:sz w:val="20"/>
                <w:szCs w:val="20"/>
              </w:rPr>
              <w:t xml:space="preserve"> 7</w:t>
            </w:r>
          </w:p>
        </w:tc>
        <w:tc>
          <w:tcPr>
            <w:tcW w:w="491" w:type="pct"/>
            <w:tcBorders>
              <w:bottom w:val="single" w:sz="2" w:space="0" w:color="auto"/>
            </w:tcBorders>
            <w:shd w:val="clear" w:color="auto" w:fill="auto"/>
            <w:noWrap/>
            <w:vAlign w:val="center"/>
          </w:tcPr>
          <w:p w14:paraId="5E9F46EA" w14:textId="616F6211" w:rsidR="000C397E" w:rsidRPr="004569CE" w:rsidRDefault="00DB5AAE" w:rsidP="00642B02">
            <w:pPr>
              <w:spacing w:after="0" w:line="240" w:lineRule="auto"/>
              <w:jc w:val="right"/>
              <w:rPr>
                <w:rFonts w:ascii="Arial" w:eastAsia="Times New Roman" w:hAnsi="Arial" w:cs="Arial"/>
                <w:bCs/>
                <w:color w:val="000000"/>
                <w:sz w:val="20"/>
                <w:szCs w:val="20"/>
                <w:lang w:eastAsia="ru-RU"/>
              </w:rPr>
            </w:pPr>
            <w:r w:rsidRPr="000D120B">
              <w:rPr>
                <w:rFonts w:ascii="Arial" w:hAnsi="Arial" w:cs="Arial"/>
                <w:sz w:val="20"/>
                <w:szCs w:val="20"/>
              </w:rPr>
              <w:t>-257%</w:t>
            </w:r>
          </w:p>
        </w:tc>
        <w:tc>
          <w:tcPr>
            <w:tcW w:w="491" w:type="pct"/>
            <w:tcBorders>
              <w:bottom w:val="single" w:sz="2" w:space="0" w:color="auto"/>
            </w:tcBorders>
            <w:vAlign w:val="center"/>
          </w:tcPr>
          <w:p w14:paraId="6D5F4503" w14:textId="35E9FA41" w:rsidR="000C397E" w:rsidRPr="004569CE" w:rsidRDefault="003C0E32" w:rsidP="00642B02">
            <w:pPr>
              <w:spacing w:after="0" w:line="240" w:lineRule="auto"/>
              <w:jc w:val="right"/>
              <w:rPr>
                <w:rFonts w:ascii="Arial" w:eastAsia="Times New Roman" w:hAnsi="Arial" w:cs="Arial"/>
                <w:bCs/>
                <w:color w:val="000000"/>
                <w:sz w:val="20"/>
                <w:szCs w:val="20"/>
                <w:lang w:eastAsia="ru-RU"/>
              </w:rPr>
            </w:pPr>
            <w:r w:rsidRPr="004569CE">
              <w:rPr>
                <w:rFonts w:ascii="Arial" w:eastAsia="Times New Roman" w:hAnsi="Arial" w:cs="Arial"/>
                <w:bCs/>
                <w:color w:val="000000"/>
                <w:sz w:val="20"/>
                <w:szCs w:val="20"/>
                <w:lang w:eastAsia="ru-RU"/>
              </w:rPr>
              <w:t xml:space="preserve"> </w:t>
            </w:r>
            <w:r w:rsidR="00DB5AAE" w:rsidRPr="000D120B">
              <w:rPr>
                <w:rFonts w:ascii="Arial" w:hAnsi="Arial" w:cs="Arial"/>
                <w:sz w:val="20"/>
                <w:szCs w:val="20"/>
              </w:rPr>
              <w:t xml:space="preserve"> 9</w:t>
            </w:r>
          </w:p>
        </w:tc>
        <w:tc>
          <w:tcPr>
            <w:tcW w:w="489" w:type="pct"/>
            <w:tcBorders>
              <w:bottom w:val="single" w:sz="2" w:space="0" w:color="auto"/>
            </w:tcBorders>
            <w:vAlign w:val="center"/>
          </w:tcPr>
          <w:p w14:paraId="7A7A5A5A" w14:textId="0E097F1B" w:rsidR="000C397E" w:rsidRPr="004569CE" w:rsidRDefault="00DB5AAE" w:rsidP="00642B02">
            <w:pPr>
              <w:spacing w:after="0" w:line="240" w:lineRule="auto"/>
              <w:jc w:val="right"/>
              <w:rPr>
                <w:rFonts w:ascii="Arial" w:eastAsia="Times New Roman" w:hAnsi="Arial" w:cs="Arial"/>
                <w:bCs/>
                <w:color w:val="000000"/>
                <w:sz w:val="20"/>
                <w:szCs w:val="20"/>
                <w:lang w:eastAsia="ru-RU"/>
              </w:rPr>
            </w:pPr>
            <w:r w:rsidRPr="000D120B">
              <w:rPr>
                <w:rFonts w:ascii="Arial" w:hAnsi="Arial" w:cs="Arial"/>
                <w:sz w:val="20"/>
                <w:szCs w:val="20"/>
              </w:rPr>
              <w:t>-222%</w:t>
            </w:r>
          </w:p>
        </w:tc>
        <w:tc>
          <w:tcPr>
            <w:tcW w:w="489" w:type="pct"/>
            <w:tcBorders>
              <w:bottom w:val="single" w:sz="2" w:space="0" w:color="auto"/>
            </w:tcBorders>
            <w:vAlign w:val="center"/>
          </w:tcPr>
          <w:p w14:paraId="0F1A9576" w14:textId="4253E5EE" w:rsidR="000C397E" w:rsidRPr="004569CE" w:rsidRDefault="003C0E32" w:rsidP="00642B02">
            <w:pPr>
              <w:spacing w:after="0" w:line="240" w:lineRule="auto"/>
              <w:jc w:val="right"/>
              <w:rPr>
                <w:rFonts w:ascii="Arial" w:eastAsia="Times New Roman" w:hAnsi="Arial" w:cs="Arial"/>
                <w:bCs/>
                <w:color w:val="000000"/>
                <w:sz w:val="20"/>
                <w:szCs w:val="20"/>
                <w:lang w:eastAsia="ru-RU"/>
              </w:rPr>
            </w:pPr>
            <w:r w:rsidRPr="004569CE">
              <w:rPr>
                <w:rFonts w:ascii="Arial" w:hAnsi="Arial" w:cs="Arial"/>
                <w:sz w:val="20"/>
                <w:szCs w:val="20"/>
              </w:rPr>
              <w:t xml:space="preserve"> </w:t>
            </w:r>
            <w:r w:rsidR="00DB5AAE" w:rsidRPr="000D120B">
              <w:rPr>
                <w:rFonts w:ascii="Arial" w:hAnsi="Arial" w:cs="Arial"/>
                <w:sz w:val="20"/>
                <w:szCs w:val="20"/>
              </w:rPr>
              <w:t xml:space="preserve"> 13</w:t>
            </w:r>
          </w:p>
        </w:tc>
        <w:tc>
          <w:tcPr>
            <w:tcW w:w="489" w:type="pct"/>
            <w:tcBorders>
              <w:bottom w:val="single" w:sz="2" w:space="0" w:color="auto"/>
            </w:tcBorders>
            <w:vAlign w:val="center"/>
          </w:tcPr>
          <w:p w14:paraId="085FFD6D" w14:textId="6D6F357E" w:rsidR="000C397E" w:rsidRPr="004569CE" w:rsidRDefault="003C0E32" w:rsidP="00642B02">
            <w:pPr>
              <w:spacing w:after="0" w:line="240" w:lineRule="auto"/>
              <w:jc w:val="right"/>
              <w:rPr>
                <w:rFonts w:ascii="Arial" w:eastAsia="Times New Roman" w:hAnsi="Arial" w:cs="Arial"/>
                <w:bCs/>
                <w:color w:val="000000"/>
                <w:sz w:val="20"/>
                <w:szCs w:val="20"/>
                <w:lang w:eastAsia="ru-RU"/>
              </w:rPr>
            </w:pPr>
            <w:r w:rsidRPr="004569CE">
              <w:rPr>
                <w:rFonts w:ascii="Arial" w:hAnsi="Arial" w:cs="Arial"/>
                <w:sz w:val="20"/>
                <w:szCs w:val="20"/>
              </w:rPr>
              <w:t xml:space="preserve"> </w:t>
            </w:r>
            <w:r w:rsidR="00DB5AAE" w:rsidRPr="000D120B">
              <w:rPr>
                <w:rFonts w:ascii="Arial" w:hAnsi="Arial" w:cs="Arial"/>
                <w:sz w:val="20"/>
                <w:szCs w:val="20"/>
              </w:rPr>
              <w:t xml:space="preserve"> 14</w:t>
            </w:r>
          </w:p>
        </w:tc>
        <w:tc>
          <w:tcPr>
            <w:tcW w:w="488" w:type="pct"/>
            <w:tcBorders>
              <w:bottom w:val="single" w:sz="2" w:space="0" w:color="auto"/>
            </w:tcBorders>
            <w:vAlign w:val="center"/>
          </w:tcPr>
          <w:p w14:paraId="62BE41F6" w14:textId="3EDC8FBB" w:rsidR="000C397E" w:rsidRPr="004569CE" w:rsidRDefault="00DB5AAE" w:rsidP="00642B02">
            <w:pPr>
              <w:spacing w:after="0" w:line="240" w:lineRule="auto"/>
              <w:jc w:val="right"/>
              <w:rPr>
                <w:rFonts w:ascii="Arial" w:eastAsia="Times New Roman" w:hAnsi="Arial" w:cs="Arial"/>
                <w:bCs/>
                <w:color w:val="000000"/>
                <w:sz w:val="20"/>
                <w:szCs w:val="20"/>
                <w:lang w:eastAsia="ru-RU"/>
              </w:rPr>
            </w:pPr>
            <w:r w:rsidRPr="000D120B">
              <w:rPr>
                <w:rFonts w:ascii="Arial" w:hAnsi="Arial" w:cs="Arial"/>
                <w:sz w:val="20"/>
                <w:szCs w:val="20"/>
              </w:rPr>
              <w:t>-7%</w:t>
            </w:r>
          </w:p>
        </w:tc>
      </w:tr>
      <w:tr w:rsidR="000C397E" w:rsidRPr="004569CE" w14:paraId="5B9C049C" w14:textId="37F56A29" w:rsidTr="00642B02">
        <w:trPr>
          <w:trHeight w:hRule="exact" w:val="117"/>
        </w:trPr>
        <w:tc>
          <w:tcPr>
            <w:tcW w:w="967" w:type="pct"/>
            <w:tcBorders>
              <w:top w:val="single" w:sz="2" w:space="0" w:color="auto"/>
            </w:tcBorders>
            <w:shd w:val="clear" w:color="auto" w:fill="auto"/>
            <w:noWrap/>
            <w:vAlign w:val="bottom"/>
          </w:tcPr>
          <w:p w14:paraId="06313313" w14:textId="77777777" w:rsidR="000C397E" w:rsidRPr="004569CE" w:rsidRDefault="000C397E" w:rsidP="000C397E">
            <w:pPr>
              <w:spacing w:after="0" w:line="240" w:lineRule="auto"/>
              <w:jc w:val="both"/>
              <w:rPr>
                <w:rFonts w:ascii="Arial" w:eastAsia="Times New Roman" w:hAnsi="Arial" w:cs="Arial"/>
                <w:b/>
                <w:color w:val="000000"/>
                <w:sz w:val="20"/>
                <w:szCs w:val="20"/>
                <w:lang w:eastAsia="ru-RU"/>
              </w:rPr>
            </w:pPr>
          </w:p>
        </w:tc>
        <w:tc>
          <w:tcPr>
            <w:tcW w:w="114" w:type="pct"/>
            <w:vAlign w:val="bottom"/>
          </w:tcPr>
          <w:p w14:paraId="28812357" w14:textId="77777777" w:rsidR="000C397E" w:rsidRPr="004569CE"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2" w:space="0" w:color="auto"/>
            </w:tcBorders>
            <w:shd w:val="clear" w:color="auto" w:fill="auto"/>
            <w:noWrap/>
            <w:vAlign w:val="center"/>
          </w:tcPr>
          <w:p w14:paraId="7D35865C"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91" w:type="pct"/>
            <w:tcBorders>
              <w:top w:val="single" w:sz="2" w:space="0" w:color="auto"/>
            </w:tcBorders>
            <w:shd w:val="clear" w:color="auto" w:fill="auto"/>
            <w:noWrap/>
            <w:vAlign w:val="center"/>
          </w:tcPr>
          <w:p w14:paraId="3B481FD6"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91" w:type="pct"/>
            <w:tcBorders>
              <w:top w:val="single" w:sz="2" w:space="0" w:color="auto"/>
            </w:tcBorders>
            <w:shd w:val="clear" w:color="auto" w:fill="auto"/>
            <w:noWrap/>
            <w:vAlign w:val="center"/>
          </w:tcPr>
          <w:p w14:paraId="0DA6A0A9"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91" w:type="pct"/>
            <w:tcBorders>
              <w:top w:val="single" w:sz="2" w:space="0" w:color="auto"/>
            </w:tcBorders>
            <w:vAlign w:val="center"/>
          </w:tcPr>
          <w:p w14:paraId="1ADFD035"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89" w:type="pct"/>
            <w:tcBorders>
              <w:top w:val="single" w:sz="2" w:space="0" w:color="auto"/>
            </w:tcBorders>
            <w:vAlign w:val="center"/>
          </w:tcPr>
          <w:p w14:paraId="04ED13FF"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89" w:type="pct"/>
            <w:tcBorders>
              <w:top w:val="single" w:sz="2" w:space="0" w:color="auto"/>
            </w:tcBorders>
            <w:vAlign w:val="center"/>
          </w:tcPr>
          <w:p w14:paraId="1F8C8D43"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89" w:type="pct"/>
            <w:tcBorders>
              <w:top w:val="single" w:sz="2" w:space="0" w:color="auto"/>
            </w:tcBorders>
            <w:vAlign w:val="center"/>
          </w:tcPr>
          <w:p w14:paraId="7821342F"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88" w:type="pct"/>
            <w:tcBorders>
              <w:top w:val="single" w:sz="2" w:space="0" w:color="auto"/>
            </w:tcBorders>
            <w:vAlign w:val="center"/>
          </w:tcPr>
          <w:p w14:paraId="5CF68108"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r>
      <w:tr w:rsidR="000C397E" w:rsidRPr="004569CE" w14:paraId="2F043342" w14:textId="77C0FD73" w:rsidTr="00642B02">
        <w:trPr>
          <w:trHeight w:val="267"/>
        </w:trPr>
        <w:tc>
          <w:tcPr>
            <w:tcW w:w="967" w:type="pct"/>
            <w:shd w:val="clear" w:color="auto" w:fill="auto"/>
            <w:noWrap/>
            <w:vAlign w:val="bottom"/>
            <w:hideMark/>
          </w:tcPr>
          <w:p w14:paraId="0B69B8C8" w14:textId="77777777" w:rsidR="000C397E" w:rsidRPr="004569CE" w:rsidRDefault="000C397E" w:rsidP="000C397E">
            <w:pPr>
              <w:spacing w:after="0" w:line="240" w:lineRule="auto"/>
              <w:jc w:val="both"/>
              <w:rPr>
                <w:rFonts w:ascii="Arial" w:eastAsia="Times New Roman" w:hAnsi="Arial" w:cs="Arial"/>
                <w:b/>
                <w:color w:val="000000"/>
                <w:sz w:val="20"/>
                <w:szCs w:val="20"/>
                <w:lang w:eastAsia="ru-RU"/>
              </w:rPr>
            </w:pPr>
            <w:r w:rsidRPr="004569CE">
              <w:rPr>
                <w:rFonts w:ascii="Arial" w:eastAsia="Times New Roman" w:hAnsi="Arial" w:cs="Arial"/>
                <w:b/>
                <w:color w:val="000000"/>
                <w:sz w:val="20"/>
                <w:szCs w:val="20"/>
                <w:lang w:eastAsia="ru-RU"/>
              </w:rPr>
              <w:t>Gross profit</w:t>
            </w:r>
          </w:p>
        </w:tc>
        <w:tc>
          <w:tcPr>
            <w:tcW w:w="114" w:type="pct"/>
            <w:vAlign w:val="bottom"/>
          </w:tcPr>
          <w:p w14:paraId="71E2778B" w14:textId="77777777" w:rsidR="000C397E" w:rsidRPr="004569CE"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shd w:val="clear" w:color="auto" w:fill="auto"/>
            <w:noWrap/>
            <w:vAlign w:val="center"/>
          </w:tcPr>
          <w:p w14:paraId="1810F3C1" w14:textId="296140C3" w:rsidR="000C397E" w:rsidRPr="004569CE" w:rsidRDefault="003C0E32" w:rsidP="00642B02">
            <w:pPr>
              <w:spacing w:after="0" w:line="240" w:lineRule="auto"/>
              <w:jc w:val="right"/>
              <w:rPr>
                <w:rFonts w:ascii="Arial" w:eastAsia="Times New Roman" w:hAnsi="Arial" w:cs="Arial"/>
                <w:b/>
                <w:color w:val="000000"/>
                <w:sz w:val="20"/>
                <w:szCs w:val="20"/>
                <w:lang w:eastAsia="ru-RU"/>
              </w:rPr>
            </w:pPr>
            <w:r w:rsidRPr="004569CE">
              <w:rPr>
                <w:rFonts w:ascii="Arial" w:eastAsia="Times New Roman" w:hAnsi="Arial" w:cs="Arial"/>
                <w:b/>
                <w:color w:val="000000"/>
                <w:sz w:val="20"/>
                <w:szCs w:val="20"/>
                <w:lang w:eastAsia="ru-RU"/>
              </w:rPr>
              <w:t xml:space="preserve"> </w:t>
            </w:r>
            <w:r w:rsidR="00DB5AAE" w:rsidRPr="000D120B">
              <w:rPr>
                <w:rFonts w:ascii="Arial" w:hAnsi="Arial" w:cs="Arial"/>
                <w:b/>
                <w:sz w:val="20"/>
                <w:szCs w:val="20"/>
              </w:rPr>
              <w:t xml:space="preserve"> 123</w:t>
            </w:r>
          </w:p>
        </w:tc>
        <w:tc>
          <w:tcPr>
            <w:tcW w:w="491" w:type="pct"/>
            <w:shd w:val="clear" w:color="auto" w:fill="auto"/>
            <w:noWrap/>
            <w:vAlign w:val="center"/>
          </w:tcPr>
          <w:p w14:paraId="5CCB7DF0" w14:textId="6681081B" w:rsidR="000C397E" w:rsidRPr="004569CE" w:rsidRDefault="003C0E32" w:rsidP="00642B02">
            <w:pPr>
              <w:spacing w:after="0" w:line="240" w:lineRule="auto"/>
              <w:jc w:val="right"/>
              <w:rPr>
                <w:rFonts w:ascii="Arial" w:eastAsia="Times New Roman" w:hAnsi="Arial" w:cs="Arial"/>
                <w:b/>
                <w:color w:val="000000"/>
                <w:sz w:val="20"/>
                <w:szCs w:val="20"/>
                <w:lang w:eastAsia="ru-RU"/>
              </w:rPr>
            </w:pPr>
            <w:r w:rsidRPr="004569CE">
              <w:rPr>
                <w:rFonts w:ascii="Arial" w:hAnsi="Arial" w:cs="Arial"/>
                <w:b/>
                <w:sz w:val="20"/>
                <w:szCs w:val="20"/>
              </w:rPr>
              <w:t xml:space="preserve"> </w:t>
            </w:r>
            <w:r w:rsidR="00DB5AAE" w:rsidRPr="000D120B">
              <w:rPr>
                <w:rFonts w:ascii="Arial" w:hAnsi="Arial" w:cs="Arial"/>
                <w:b/>
                <w:sz w:val="20"/>
                <w:szCs w:val="20"/>
              </w:rPr>
              <w:t xml:space="preserve"> 66</w:t>
            </w:r>
          </w:p>
        </w:tc>
        <w:tc>
          <w:tcPr>
            <w:tcW w:w="491" w:type="pct"/>
            <w:shd w:val="clear" w:color="auto" w:fill="auto"/>
            <w:noWrap/>
            <w:vAlign w:val="center"/>
          </w:tcPr>
          <w:p w14:paraId="19B1F89B" w14:textId="6BF40007" w:rsidR="000C397E" w:rsidRPr="004569CE" w:rsidRDefault="00DB5AAE" w:rsidP="00642B02">
            <w:pPr>
              <w:spacing w:after="0" w:line="240" w:lineRule="auto"/>
              <w:jc w:val="right"/>
              <w:rPr>
                <w:rFonts w:ascii="Arial" w:eastAsia="Times New Roman" w:hAnsi="Arial" w:cs="Arial"/>
                <w:b/>
                <w:color w:val="000000"/>
                <w:sz w:val="20"/>
                <w:szCs w:val="20"/>
                <w:lang w:eastAsia="ru-RU"/>
              </w:rPr>
            </w:pPr>
            <w:r w:rsidRPr="000D120B">
              <w:rPr>
                <w:rFonts w:ascii="Arial" w:hAnsi="Arial" w:cs="Arial"/>
                <w:b/>
                <w:sz w:val="20"/>
                <w:szCs w:val="20"/>
              </w:rPr>
              <w:t>86%</w:t>
            </w:r>
          </w:p>
        </w:tc>
        <w:tc>
          <w:tcPr>
            <w:tcW w:w="491" w:type="pct"/>
            <w:vAlign w:val="center"/>
          </w:tcPr>
          <w:p w14:paraId="0764C5F5" w14:textId="5F41DEF6" w:rsidR="000C397E" w:rsidRPr="004569CE" w:rsidRDefault="003C0E32" w:rsidP="00642B02">
            <w:pPr>
              <w:spacing w:after="0" w:line="240" w:lineRule="auto"/>
              <w:jc w:val="right"/>
              <w:rPr>
                <w:rFonts w:ascii="Arial" w:hAnsi="Arial" w:cs="Arial"/>
                <w:b/>
                <w:sz w:val="20"/>
                <w:szCs w:val="20"/>
              </w:rPr>
            </w:pPr>
            <w:r w:rsidRPr="004569CE">
              <w:rPr>
                <w:rFonts w:ascii="Arial" w:hAnsi="Arial" w:cs="Arial"/>
                <w:b/>
                <w:sz w:val="20"/>
                <w:szCs w:val="20"/>
              </w:rPr>
              <w:t xml:space="preserve"> </w:t>
            </w:r>
            <w:r w:rsidR="00DB5AAE" w:rsidRPr="000D120B">
              <w:rPr>
                <w:rFonts w:ascii="Arial" w:hAnsi="Arial" w:cs="Arial"/>
                <w:b/>
                <w:sz w:val="20"/>
                <w:szCs w:val="20"/>
              </w:rPr>
              <w:t xml:space="preserve"> 105</w:t>
            </w:r>
          </w:p>
        </w:tc>
        <w:tc>
          <w:tcPr>
            <w:tcW w:w="489" w:type="pct"/>
            <w:vAlign w:val="center"/>
          </w:tcPr>
          <w:p w14:paraId="1F851F8B" w14:textId="03DA768F" w:rsidR="000C397E" w:rsidRPr="004569CE" w:rsidRDefault="00DB5AAE" w:rsidP="00642B02">
            <w:pPr>
              <w:spacing w:after="0" w:line="240" w:lineRule="auto"/>
              <w:jc w:val="right"/>
              <w:rPr>
                <w:rFonts w:ascii="Arial" w:hAnsi="Arial" w:cs="Arial"/>
                <w:b/>
                <w:sz w:val="20"/>
                <w:szCs w:val="20"/>
              </w:rPr>
            </w:pPr>
            <w:r w:rsidRPr="000D120B">
              <w:rPr>
                <w:rFonts w:ascii="Arial" w:hAnsi="Arial" w:cs="Arial"/>
                <w:b/>
                <w:sz w:val="20"/>
                <w:szCs w:val="20"/>
              </w:rPr>
              <w:t>17%</w:t>
            </w:r>
          </w:p>
        </w:tc>
        <w:tc>
          <w:tcPr>
            <w:tcW w:w="489" w:type="pct"/>
            <w:vAlign w:val="center"/>
          </w:tcPr>
          <w:p w14:paraId="12041E2A" w14:textId="37F217EF" w:rsidR="000C397E" w:rsidRPr="004569CE" w:rsidRDefault="003C0E32" w:rsidP="00642B02">
            <w:pPr>
              <w:spacing w:after="0" w:line="240" w:lineRule="auto"/>
              <w:jc w:val="right"/>
              <w:rPr>
                <w:rFonts w:ascii="Arial" w:hAnsi="Arial" w:cs="Arial"/>
                <w:b/>
                <w:sz w:val="20"/>
                <w:szCs w:val="20"/>
              </w:rPr>
            </w:pPr>
            <w:r w:rsidRPr="004569CE">
              <w:rPr>
                <w:rFonts w:ascii="Arial" w:hAnsi="Arial" w:cs="Arial"/>
                <w:b/>
                <w:sz w:val="20"/>
                <w:szCs w:val="20"/>
              </w:rPr>
              <w:t xml:space="preserve"> </w:t>
            </w:r>
            <w:r w:rsidR="00DB5AAE" w:rsidRPr="000D120B">
              <w:rPr>
                <w:rFonts w:ascii="Arial" w:hAnsi="Arial" w:cs="Arial"/>
                <w:b/>
                <w:sz w:val="20"/>
                <w:szCs w:val="20"/>
              </w:rPr>
              <w:t xml:space="preserve"> 375</w:t>
            </w:r>
            <w:r w:rsidRPr="004569CE">
              <w:rPr>
                <w:rFonts w:ascii="Arial" w:hAnsi="Arial" w:cs="Arial"/>
                <w:b/>
                <w:sz w:val="20"/>
                <w:szCs w:val="20"/>
              </w:rPr>
              <w:t xml:space="preserve"> </w:t>
            </w:r>
          </w:p>
        </w:tc>
        <w:tc>
          <w:tcPr>
            <w:tcW w:w="489" w:type="pct"/>
            <w:vAlign w:val="center"/>
          </w:tcPr>
          <w:p w14:paraId="0A8BBE95" w14:textId="520407EB" w:rsidR="000C397E" w:rsidRPr="004569CE" w:rsidRDefault="003C0E32" w:rsidP="00642B02">
            <w:pPr>
              <w:spacing w:after="0" w:line="240" w:lineRule="auto"/>
              <w:jc w:val="right"/>
              <w:rPr>
                <w:rFonts w:ascii="Arial" w:hAnsi="Arial" w:cs="Arial"/>
                <w:b/>
                <w:sz w:val="20"/>
                <w:szCs w:val="20"/>
              </w:rPr>
            </w:pPr>
            <w:r w:rsidRPr="004569CE">
              <w:rPr>
                <w:rFonts w:ascii="Arial" w:hAnsi="Arial" w:cs="Arial"/>
                <w:b/>
                <w:sz w:val="20"/>
                <w:szCs w:val="20"/>
              </w:rPr>
              <w:t xml:space="preserve"> </w:t>
            </w:r>
            <w:r w:rsidR="00DB5AAE" w:rsidRPr="000D120B">
              <w:rPr>
                <w:rFonts w:ascii="Arial" w:hAnsi="Arial" w:cs="Arial"/>
                <w:b/>
                <w:sz w:val="20"/>
                <w:szCs w:val="20"/>
              </w:rPr>
              <w:t xml:space="preserve"> 285</w:t>
            </w:r>
          </w:p>
        </w:tc>
        <w:tc>
          <w:tcPr>
            <w:tcW w:w="488" w:type="pct"/>
            <w:vAlign w:val="center"/>
          </w:tcPr>
          <w:p w14:paraId="41C8140C" w14:textId="688A62A1" w:rsidR="000C397E" w:rsidRPr="004569CE" w:rsidRDefault="00DB5AAE" w:rsidP="00642B02">
            <w:pPr>
              <w:spacing w:after="0" w:line="240" w:lineRule="auto"/>
              <w:jc w:val="right"/>
              <w:rPr>
                <w:rFonts w:ascii="Arial" w:hAnsi="Arial" w:cs="Arial"/>
                <w:b/>
                <w:sz w:val="20"/>
                <w:szCs w:val="20"/>
              </w:rPr>
            </w:pPr>
            <w:r w:rsidRPr="000D120B">
              <w:rPr>
                <w:rFonts w:ascii="Arial" w:hAnsi="Arial" w:cs="Arial"/>
                <w:b/>
                <w:sz w:val="20"/>
                <w:szCs w:val="20"/>
              </w:rPr>
              <w:t>32%</w:t>
            </w:r>
          </w:p>
        </w:tc>
      </w:tr>
      <w:tr w:rsidR="000C397E" w:rsidRPr="004569CE" w14:paraId="7731C44A" w14:textId="33B5E029" w:rsidTr="00642B02">
        <w:trPr>
          <w:trHeight w:val="288"/>
        </w:trPr>
        <w:tc>
          <w:tcPr>
            <w:tcW w:w="967" w:type="pct"/>
            <w:tcBorders>
              <w:bottom w:val="single" w:sz="2" w:space="0" w:color="auto"/>
            </w:tcBorders>
            <w:shd w:val="clear" w:color="auto" w:fill="auto"/>
            <w:noWrap/>
            <w:vAlign w:val="bottom"/>
            <w:hideMark/>
          </w:tcPr>
          <w:p w14:paraId="4F2F2558" w14:textId="77777777" w:rsidR="000C397E" w:rsidRPr="004569CE" w:rsidRDefault="000C397E" w:rsidP="000C397E">
            <w:pPr>
              <w:spacing w:after="0" w:line="240" w:lineRule="auto"/>
              <w:jc w:val="both"/>
              <w:rPr>
                <w:rFonts w:ascii="Arial" w:eastAsia="Times New Roman" w:hAnsi="Arial" w:cs="Arial"/>
                <w:i/>
                <w:color w:val="000000"/>
                <w:sz w:val="20"/>
                <w:szCs w:val="20"/>
                <w:lang w:eastAsia="ru-RU"/>
              </w:rPr>
            </w:pPr>
            <w:r w:rsidRPr="004569CE">
              <w:rPr>
                <w:rFonts w:ascii="Arial" w:eastAsia="Times New Roman" w:hAnsi="Arial" w:cs="Arial"/>
                <w:i/>
                <w:color w:val="000000"/>
                <w:sz w:val="20"/>
                <w:szCs w:val="20"/>
                <w:lang w:eastAsia="ru-RU"/>
              </w:rPr>
              <w:t>Gross margin</w:t>
            </w:r>
          </w:p>
        </w:tc>
        <w:tc>
          <w:tcPr>
            <w:tcW w:w="114" w:type="pct"/>
          </w:tcPr>
          <w:p w14:paraId="5EB88DEA" w14:textId="77777777" w:rsidR="000C397E" w:rsidRPr="004569CE" w:rsidRDefault="000C397E" w:rsidP="000C397E">
            <w:pPr>
              <w:spacing w:after="0" w:line="240" w:lineRule="auto"/>
              <w:jc w:val="right"/>
              <w:rPr>
                <w:rFonts w:ascii="Arial" w:eastAsia="Times New Roman" w:hAnsi="Arial" w:cs="Arial"/>
                <w:i/>
                <w:color w:val="000000"/>
                <w:sz w:val="20"/>
                <w:szCs w:val="20"/>
                <w:lang w:eastAsia="ru-RU"/>
              </w:rPr>
            </w:pPr>
          </w:p>
        </w:tc>
        <w:tc>
          <w:tcPr>
            <w:tcW w:w="491" w:type="pct"/>
            <w:tcBorders>
              <w:bottom w:val="single" w:sz="2" w:space="0" w:color="auto"/>
            </w:tcBorders>
            <w:shd w:val="clear" w:color="auto" w:fill="auto"/>
            <w:noWrap/>
            <w:vAlign w:val="center"/>
          </w:tcPr>
          <w:p w14:paraId="692927E4" w14:textId="7B8BE61D"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23%</w:t>
            </w:r>
          </w:p>
        </w:tc>
        <w:tc>
          <w:tcPr>
            <w:tcW w:w="491" w:type="pct"/>
            <w:tcBorders>
              <w:bottom w:val="single" w:sz="2" w:space="0" w:color="auto"/>
            </w:tcBorders>
            <w:shd w:val="clear" w:color="auto" w:fill="auto"/>
            <w:noWrap/>
            <w:vAlign w:val="center"/>
          </w:tcPr>
          <w:p w14:paraId="055A3D5A" w14:textId="678ED9C6"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14%</w:t>
            </w:r>
          </w:p>
        </w:tc>
        <w:tc>
          <w:tcPr>
            <w:tcW w:w="491" w:type="pct"/>
            <w:tcBorders>
              <w:bottom w:val="single" w:sz="2" w:space="0" w:color="auto"/>
            </w:tcBorders>
            <w:shd w:val="clear" w:color="auto" w:fill="auto"/>
            <w:noWrap/>
            <w:vAlign w:val="center"/>
          </w:tcPr>
          <w:p w14:paraId="2DE72FA8" w14:textId="6F68D200"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 xml:space="preserve">9 </w:t>
            </w:r>
            <w:proofErr w:type="spellStart"/>
            <w:r w:rsidRPr="000D120B">
              <w:rPr>
                <w:rFonts w:ascii="Arial" w:hAnsi="Arial" w:cs="Arial"/>
                <w:i/>
                <w:sz w:val="20"/>
                <w:szCs w:val="20"/>
              </w:rPr>
              <w:t>pps</w:t>
            </w:r>
            <w:proofErr w:type="spellEnd"/>
          </w:p>
        </w:tc>
        <w:tc>
          <w:tcPr>
            <w:tcW w:w="491" w:type="pct"/>
            <w:tcBorders>
              <w:bottom w:val="single" w:sz="2" w:space="0" w:color="auto"/>
            </w:tcBorders>
            <w:vAlign w:val="center"/>
          </w:tcPr>
          <w:p w14:paraId="7DF74B07" w14:textId="3DD33146"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19%</w:t>
            </w:r>
          </w:p>
        </w:tc>
        <w:tc>
          <w:tcPr>
            <w:tcW w:w="489" w:type="pct"/>
            <w:tcBorders>
              <w:bottom w:val="single" w:sz="2" w:space="0" w:color="auto"/>
            </w:tcBorders>
            <w:vAlign w:val="center"/>
          </w:tcPr>
          <w:p w14:paraId="1AB84E47" w14:textId="0FD34023"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 xml:space="preserve">4 </w:t>
            </w:r>
            <w:proofErr w:type="spellStart"/>
            <w:r w:rsidRPr="000D120B">
              <w:rPr>
                <w:rFonts w:ascii="Arial" w:hAnsi="Arial" w:cs="Arial"/>
                <w:i/>
                <w:sz w:val="20"/>
                <w:szCs w:val="20"/>
              </w:rPr>
              <w:t>pps</w:t>
            </w:r>
            <w:proofErr w:type="spellEnd"/>
          </w:p>
        </w:tc>
        <w:tc>
          <w:tcPr>
            <w:tcW w:w="489" w:type="pct"/>
            <w:tcBorders>
              <w:bottom w:val="single" w:sz="2" w:space="0" w:color="auto"/>
            </w:tcBorders>
            <w:vAlign w:val="center"/>
          </w:tcPr>
          <w:p w14:paraId="57552D3D" w14:textId="7910ACB3"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20%</w:t>
            </w:r>
          </w:p>
        </w:tc>
        <w:tc>
          <w:tcPr>
            <w:tcW w:w="489" w:type="pct"/>
            <w:tcBorders>
              <w:bottom w:val="single" w:sz="2" w:space="0" w:color="auto"/>
            </w:tcBorders>
            <w:vAlign w:val="center"/>
          </w:tcPr>
          <w:p w14:paraId="60F3CD50" w14:textId="64758364"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18%</w:t>
            </w:r>
          </w:p>
        </w:tc>
        <w:tc>
          <w:tcPr>
            <w:tcW w:w="488" w:type="pct"/>
            <w:tcBorders>
              <w:bottom w:val="single" w:sz="2" w:space="0" w:color="auto"/>
            </w:tcBorders>
            <w:vAlign w:val="center"/>
          </w:tcPr>
          <w:p w14:paraId="63654987" w14:textId="462034F1"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 xml:space="preserve">2 </w:t>
            </w:r>
            <w:proofErr w:type="spellStart"/>
            <w:r w:rsidRPr="000D120B">
              <w:rPr>
                <w:rFonts w:ascii="Arial" w:hAnsi="Arial" w:cs="Arial"/>
                <w:i/>
                <w:sz w:val="20"/>
                <w:szCs w:val="20"/>
              </w:rPr>
              <w:t>pps</w:t>
            </w:r>
            <w:proofErr w:type="spellEnd"/>
          </w:p>
        </w:tc>
      </w:tr>
      <w:tr w:rsidR="000C397E" w:rsidRPr="004569CE" w14:paraId="4032445F" w14:textId="3FC2A891" w:rsidTr="00642B02">
        <w:trPr>
          <w:trHeight w:hRule="exact" w:val="57"/>
        </w:trPr>
        <w:tc>
          <w:tcPr>
            <w:tcW w:w="967" w:type="pct"/>
            <w:tcBorders>
              <w:bottom w:val="single" w:sz="2" w:space="0" w:color="auto"/>
            </w:tcBorders>
            <w:shd w:val="clear" w:color="auto" w:fill="auto"/>
            <w:noWrap/>
            <w:vAlign w:val="bottom"/>
          </w:tcPr>
          <w:p w14:paraId="7A522A99" w14:textId="77777777" w:rsidR="000C397E" w:rsidRPr="004569CE" w:rsidRDefault="000C397E" w:rsidP="000C397E">
            <w:pPr>
              <w:spacing w:after="0" w:line="240" w:lineRule="auto"/>
              <w:jc w:val="both"/>
              <w:rPr>
                <w:rFonts w:ascii="Arial" w:eastAsia="Times New Roman" w:hAnsi="Arial" w:cs="Arial"/>
                <w:i/>
                <w:color w:val="000000"/>
                <w:sz w:val="20"/>
                <w:szCs w:val="20"/>
                <w:lang w:eastAsia="ru-RU"/>
              </w:rPr>
            </w:pPr>
          </w:p>
        </w:tc>
        <w:tc>
          <w:tcPr>
            <w:tcW w:w="114" w:type="pct"/>
          </w:tcPr>
          <w:p w14:paraId="3D3939D3" w14:textId="77777777" w:rsidR="000C397E" w:rsidRPr="004569CE" w:rsidRDefault="000C397E" w:rsidP="000C397E">
            <w:pPr>
              <w:spacing w:after="0" w:line="240" w:lineRule="auto"/>
              <w:jc w:val="right"/>
              <w:rPr>
                <w:rFonts w:ascii="Arial" w:eastAsia="Times New Roman" w:hAnsi="Arial" w:cs="Arial"/>
                <w:i/>
                <w:color w:val="000000"/>
                <w:sz w:val="20"/>
                <w:szCs w:val="20"/>
                <w:lang w:eastAsia="ru-RU"/>
              </w:rPr>
            </w:pPr>
          </w:p>
        </w:tc>
        <w:tc>
          <w:tcPr>
            <w:tcW w:w="491" w:type="pct"/>
            <w:tcBorders>
              <w:bottom w:val="single" w:sz="2" w:space="0" w:color="auto"/>
            </w:tcBorders>
            <w:shd w:val="clear" w:color="auto" w:fill="auto"/>
            <w:noWrap/>
            <w:vAlign w:val="center"/>
          </w:tcPr>
          <w:p w14:paraId="576C326F" w14:textId="77777777" w:rsidR="000C397E" w:rsidRPr="004569CE" w:rsidRDefault="000C397E" w:rsidP="00642B02">
            <w:pPr>
              <w:spacing w:after="0" w:line="240" w:lineRule="auto"/>
              <w:jc w:val="right"/>
              <w:rPr>
                <w:rFonts w:ascii="Arial" w:eastAsia="Times New Roman" w:hAnsi="Arial" w:cs="Arial"/>
                <w:i/>
                <w:color w:val="000000"/>
                <w:sz w:val="20"/>
                <w:szCs w:val="20"/>
                <w:lang w:eastAsia="ru-RU"/>
              </w:rPr>
            </w:pPr>
          </w:p>
        </w:tc>
        <w:tc>
          <w:tcPr>
            <w:tcW w:w="491" w:type="pct"/>
            <w:tcBorders>
              <w:bottom w:val="single" w:sz="2" w:space="0" w:color="auto"/>
            </w:tcBorders>
            <w:shd w:val="clear" w:color="auto" w:fill="auto"/>
            <w:noWrap/>
            <w:vAlign w:val="center"/>
          </w:tcPr>
          <w:p w14:paraId="6CD7C3E8" w14:textId="77777777" w:rsidR="000C397E" w:rsidRPr="004569CE" w:rsidRDefault="000C397E" w:rsidP="00642B02">
            <w:pPr>
              <w:spacing w:after="0" w:line="240" w:lineRule="auto"/>
              <w:jc w:val="right"/>
              <w:rPr>
                <w:rFonts w:ascii="Arial" w:eastAsia="Times New Roman" w:hAnsi="Arial" w:cs="Arial"/>
                <w:i/>
                <w:color w:val="000000"/>
                <w:sz w:val="20"/>
                <w:szCs w:val="20"/>
                <w:lang w:eastAsia="ru-RU"/>
              </w:rPr>
            </w:pPr>
          </w:p>
        </w:tc>
        <w:tc>
          <w:tcPr>
            <w:tcW w:w="491" w:type="pct"/>
            <w:tcBorders>
              <w:bottom w:val="single" w:sz="2" w:space="0" w:color="auto"/>
            </w:tcBorders>
            <w:shd w:val="clear" w:color="auto" w:fill="auto"/>
            <w:noWrap/>
            <w:vAlign w:val="center"/>
          </w:tcPr>
          <w:p w14:paraId="2C839797" w14:textId="77777777" w:rsidR="000C397E" w:rsidRPr="004569CE" w:rsidRDefault="000C397E" w:rsidP="00642B02">
            <w:pPr>
              <w:spacing w:after="0" w:line="240" w:lineRule="auto"/>
              <w:jc w:val="right"/>
              <w:rPr>
                <w:rFonts w:ascii="Arial" w:eastAsia="Times New Roman" w:hAnsi="Arial" w:cs="Arial"/>
                <w:i/>
                <w:color w:val="000000"/>
                <w:sz w:val="20"/>
                <w:szCs w:val="20"/>
                <w:lang w:eastAsia="ru-RU"/>
              </w:rPr>
            </w:pPr>
          </w:p>
        </w:tc>
        <w:tc>
          <w:tcPr>
            <w:tcW w:w="491" w:type="pct"/>
            <w:tcBorders>
              <w:bottom w:val="single" w:sz="2" w:space="0" w:color="auto"/>
            </w:tcBorders>
            <w:vAlign w:val="center"/>
          </w:tcPr>
          <w:p w14:paraId="4F5B3C85" w14:textId="77777777" w:rsidR="000C397E" w:rsidRPr="004569CE" w:rsidRDefault="000C397E" w:rsidP="00642B02">
            <w:pPr>
              <w:spacing w:after="0" w:line="240" w:lineRule="auto"/>
              <w:jc w:val="right"/>
              <w:rPr>
                <w:rFonts w:ascii="Arial" w:eastAsia="Times New Roman" w:hAnsi="Arial" w:cs="Arial"/>
                <w:i/>
                <w:color w:val="000000"/>
                <w:sz w:val="20"/>
                <w:szCs w:val="20"/>
                <w:lang w:eastAsia="ru-RU"/>
              </w:rPr>
            </w:pPr>
          </w:p>
        </w:tc>
        <w:tc>
          <w:tcPr>
            <w:tcW w:w="489" w:type="pct"/>
            <w:tcBorders>
              <w:bottom w:val="single" w:sz="2" w:space="0" w:color="auto"/>
            </w:tcBorders>
            <w:vAlign w:val="center"/>
          </w:tcPr>
          <w:p w14:paraId="7A2D8AC9" w14:textId="77777777" w:rsidR="000C397E" w:rsidRPr="004569CE" w:rsidRDefault="000C397E" w:rsidP="00642B02">
            <w:pPr>
              <w:spacing w:after="0" w:line="240" w:lineRule="auto"/>
              <w:jc w:val="right"/>
              <w:rPr>
                <w:rFonts w:ascii="Arial" w:eastAsia="Times New Roman" w:hAnsi="Arial" w:cs="Arial"/>
                <w:i/>
                <w:color w:val="000000"/>
                <w:sz w:val="20"/>
                <w:szCs w:val="20"/>
                <w:lang w:eastAsia="ru-RU"/>
              </w:rPr>
            </w:pPr>
          </w:p>
        </w:tc>
        <w:tc>
          <w:tcPr>
            <w:tcW w:w="489" w:type="pct"/>
            <w:tcBorders>
              <w:bottom w:val="single" w:sz="2" w:space="0" w:color="auto"/>
            </w:tcBorders>
            <w:vAlign w:val="center"/>
          </w:tcPr>
          <w:p w14:paraId="3F9A8CDC" w14:textId="77777777" w:rsidR="000C397E" w:rsidRPr="004569CE" w:rsidRDefault="000C397E" w:rsidP="00642B02">
            <w:pPr>
              <w:spacing w:after="0" w:line="240" w:lineRule="auto"/>
              <w:jc w:val="right"/>
              <w:rPr>
                <w:rFonts w:ascii="Arial" w:eastAsia="Times New Roman" w:hAnsi="Arial" w:cs="Arial"/>
                <w:i/>
                <w:color w:val="000000"/>
                <w:sz w:val="20"/>
                <w:szCs w:val="20"/>
                <w:lang w:eastAsia="ru-RU"/>
              </w:rPr>
            </w:pPr>
          </w:p>
        </w:tc>
        <w:tc>
          <w:tcPr>
            <w:tcW w:w="489" w:type="pct"/>
            <w:tcBorders>
              <w:bottom w:val="single" w:sz="2" w:space="0" w:color="auto"/>
            </w:tcBorders>
            <w:vAlign w:val="center"/>
          </w:tcPr>
          <w:p w14:paraId="35A3ECBC" w14:textId="77777777" w:rsidR="000C397E" w:rsidRPr="004569CE" w:rsidRDefault="000C397E" w:rsidP="00642B02">
            <w:pPr>
              <w:spacing w:after="0" w:line="240" w:lineRule="auto"/>
              <w:jc w:val="right"/>
              <w:rPr>
                <w:rFonts w:ascii="Arial" w:eastAsia="Times New Roman" w:hAnsi="Arial" w:cs="Arial"/>
                <w:i/>
                <w:color w:val="000000"/>
                <w:sz w:val="20"/>
                <w:szCs w:val="20"/>
                <w:lang w:eastAsia="ru-RU"/>
              </w:rPr>
            </w:pPr>
          </w:p>
        </w:tc>
        <w:tc>
          <w:tcPr>
            <w:tcW w:w="488" w:type="pct"/>
            <w:tcBorders>
              <w:bottom w:val="single" w:sz="2" w:space="0" w:color="auto"/>
            </w:tcBorders>
            <w:vAlign w:val="center"/>
          </w:tcPr>
          <w:p w14:paraId="29C9AB6D" w14:textId="77777777" w:rsidR="000C397E" w:rsidRPr="004569CE" w:rsidRDefault="000C397E" w:rsidP="00642B02">
            <w:pPr>
              <w:spacing w:after="0" w:line="240" w:lineRule="auto"/>
              <w:jc w:val="right"/>
              <w:rPr>
                <w:rFonts w:ascii="Arial" w:eastAsia="Times New Roman" w:hAnsi="Arial" w:cs="Arial"/>
                <w:i/>
                <w:color w:val="000000"/>
                <w:sz w:val="20"/>
                <w:szCs w:val="20"/>
                <w:lang w:eastAsia="ru-RU"/>
              </w:rPr>
            </w:pPr>
          </w:p>
        </w:tc>
      </w:tr>
      <w:tr w:rsidR="000C397E" w:rsidRPr="004569CE" w14:paraId="0BBE6AFA" w14:textId="38C24BE4" w:rsidTr="00642B02">
        <w:trPr>
          <w:trHeight w:hRule="exact" w:val="480"/>
        </w:trPr>
        <w:tc>
          <w:tcPr>
            <w:tcW w:w="967" w:type="pct"/>
            <w:tcBorders>
              <w:bottom w:val="single" w:sz="2" w:space="0" w:color="auto"/>
            </w:tcBorders>
            <w:shd w:val="clear" w:color="auto" w:fill="auto"/>
            <w:noWrap/>
            <w:vAlign w:val="bottom"/>
          </w:tcPr>
          <w:p w14:paraId="5F6A001F" w14:textId="552E8977" w:rsidR="000C397E" w:rsidRPr="004569CE" w:rsidRDefault="000C397E" w:rsidP="000C397E">
            <w:pPr>
              <w:spacing w:after="0" w:line="240" w:lineRule="auto"/>
              <w:jc w:val="both"/>
              <w:rPr>
                <w:rFonts w:ascii="Arial" w:eastAsia="Times New Roman" w:hAnsi="Arial" w:cs="Arial"/>
                <w:bCs/>
                <w:color w:val="000000"/>
                <w:sz w:val="20"/>
                <w:szCs w:val="20"/>
                <w:lang w:eastAsia="ru-RU"/>
              </w:rPr>
            </w:pPr>
            <w:r w:rsidRPr="004569CE">
              <w:rPr>
                <w:rFonts w:ascii="Arial" w:eastAsia="Times New Roman" w:hAnsi="Arial" w:cs="Arial"/>
                <w:bCs/>
                <w:color w:val="000000"/>
                <w:sz w:val="20"/>
                <w:szCs w:val="20"/>
                <w:lang w:eastAsia="ru-RU"/>
              </w:rPr>
              <w:t>War-related expenses</w:t>
            </w:r>
          </w:p>
        </w:tc>
        <w:tc>
          <w:tcPr>
            <w:tcW w:w="114" w:type="pct"/>
            <w:vAlign w:val="bottom"/>
          </w:tcPr>
          <w:p w14:paraId="0093938F" w14:textId="77777777" w:rsidR="000C397E" w:rsidRPr="004569CE" w:rsidRDefault="000C397E" w:rsidP="000C397E">
            <w:pPr>
              <w:spacing w:after="0" w:line="240" w:lineRule="auto"/>
              <w:jc w:val="right"/>
              <w:rPr>
                <w:rFonts w:ascii="Arial" w:eastAsia="Times New Roman" w:hAnsi="Arial" w:cs="Arial"/>
                <w:bCs/>
                <w:color w:val="000000"/>
                <w:sz w:val="20"/>
                <w:szCs w:val="20"/>
                <w:lang w:eastAsia="ru-RU"/>
              </w:rPr>
            </w:pPr>
          </w:p>
        </w:tc>
        <w:tc>
          <w:tcPr>
            <w:tcW w:w="491" w:type="pct"/>
            <w:tcBorders>
              <w:bottom w:val="single" w:sz="2" w:space="0" w:color="auto"/>
            </w:tcBorders>
            <w:shd w:val="clear" w:color="auto" w:fill="auto"/>
            <w:noWrap/>
            <w:vAlign w:val="center"/>
          </w:tcPr>
          <w:p w14:paraId="389096D0" w14:textId="244E9E9C" w:rsidR="000C397E" w:rsidRPr="004569CE" w:rsidRDefault="00DB5AAE" w:rsidP="00642B02">
            <w:pPr>
              <w:spacing w:after="0" w:line="240" w:lineRule="auto"/>
              <w:jc w:val="right"/>
              <w:rPr>
                <w:rFonts w:ascii="Arial" w:eastAsia="Times New Roman" w:hAnsi="Arial" w:cs="Arial"/>
                <w:bCs/>
                <w:color w:val="000000"/>
                <w:sz w:val="20"/>
                <w:szCs w:val="20"/>
                <w:lang w:eastAsia="ru-RU"/>
              </w:rPr>
            </w:pPr>
            <w:r w:rsidRPr="000D120B">
              <w:rPr>
                <w:rFonts w:ascii="Arial" w:hAnsi="Arial" w:cs="Arial"/>
                <w:sz w:val="20"/>
                <w:szCs w:val="20"/>
              </w:rPr>
              <w:t>(3)</w:t>
            </w:r>
          </w:p>
        </w:tc>
        <w:tc>
          <w:tcPr>
            <w:tcW w:w="491" w:type="pct"/>
            <w:tcBorders>
              <w:bottom w:val="single" w:sz="2" w:space="0" w:color="auto"/>
            </w:tcBorders>
            <w:shd w:val="clear" w:color="auto" w:fill="auto"/>
            <w:noWrap/>
            <w:vAlign w:val="center"/>
          </w:tcPr>
          <w:p w14:paraId="1DF67671" w14:textId="185C2972" w:rsidR="000C397E" w:rsidRPr="004569CE" w:rsidRDefault="003C0E32" w:rsidP="00642B02">
            <w:pPr>
              <w:spacing w:after="0" w:line="240" w:lineRule="auto"/>
              <w:jc w:val="right"/>
              <w:rPr>
                <w:rFonts w:ascii="Arial" w:eastAsia="Times New Roman" w:hAnsi="Arial" w:cs="Arial"/>
                <w:bCs/>
                <w:color w:val="000000"/>
                <w:sz w:val="20"/>
                <w:szCs w:val="20"/>
                <w:lang w:eastAsia="ru-RU"/>
              </w:rPr>
            </w:pPr>
            <w:r w:rsidRPr="004569CE">
              <w:rPr>
                <w:rFonts w:ascii="Arial" w:hAnsi="Arial" w:cs="Arial"/>
                <w:sz w:val="20"/>
                <w:szCs w:val="20"/>
              </w:rPr>
              <w:t xml:space="preserve"> </w:t>
            </w:r>
            <w:r w:rsidR="00DB5AAE" w:rsidRPr="000D120B">
              <w:rPr>
                <w:rFonts w:ascii="Arial" w:hAnsi="Arial" w:cs="Arial"/>
                <w:sz w:val="20"/>
                <w:szCs w:val="20"/>
              </w:rPr>
              <w:t xml:space="preserve"> -</w:t>
            </w:r>
          </w:p>
        </w:tc>
        <w:tc>
          <w:tcPr>
            <w:tcW w:w="491" w:type="pct"/>
            <w:tcBorders>
              <w:bottom w:val="single" w:sz="2" w:space="0" w:color="auto"/>
            </w:tcBorders>
            <w:shd w:val="clear" w:color="auto" w:fill="auto"/>
            <w:noWrap/>
            <w:vAlign w:val="center"/>
          </w:tcPr>
          <w:p w14:paraId="132A99EE" w14:textId="354421E0" w:rsidR="000C397E" w:rsidRPr="004569CE" w:rsidRDefault="00DB5AAE" w:rsidP="00642B02">
            <w:pPr>
              <w:spacing w:after="0" w:line="240" w:lineRule="auto"/>
              <w:jc w:val="right"/>
              <w:rPr>
                <w:rFonts w:ascii="Arial" w:eastAsia="Times New Roman" w:hAnsi="Arial" w:cs="Arial"/>
                <w:bCs/>
                <w:color w:val="000000"/>
                <w:sz w:val="20"/>
                <w:szCs w:val="20"/>
                <w:lang w:eastAsia="ru-RU"/>
              </w:rPr>
            </w:pPr>
            <w:r w:rsidRPr="000D120B">
              <w:rPr>
                <w:rFonts w:ascii="Arial" w:hAnsi="Arial" w:cs="Arial"/>
                <w:sz w:val="20"/>
                <w:szCs w:val="20"/>
              </w:rPr>
              <w:t>-100%</w:t>
            </w:r>
          </w:p>
        </w:tc>
        <w:tc>
          <w:tcPr>
            <w:tcW w:w="491" w:type="pct"/>
            <w:tcBorders>
              <w:bottom w:val="single" w:sz="2" w:space="0" w:color="auto"/>
            </w:tcBorders>
            <w:vAlign w:val="center"/>
          </w:tcPr>
          <w:p w14:paraId="646000DF" w14:textId="31A854C6" w:rsidR="000C397E" w:rsidRPr="004569CE" w:rsidRDefault="00DB5AAE" w:rsidP="00642B02">
            <w:pPr>
              <w:spacing w:after="0" w:line="240" w:lineRule="auto"/>
              <w:jc w:val="right"/>
              <w:rPr>
                <w:rFonts w:ascii="Arial" w:hAnsi="Arial" w:cs="Arial"/>
                <w:sz w:val="20"/>
                <w:szCs w:val="20"/>
              </w:rPr>
            </w:pPr>
            <w:r w:rsidRPr="000D120B">
              <w:rPr>
                <w:rFonts w:ascii="Arial" w:hAnsi="Arial" w:cs="Arial"/>
                <w:sz w:val="20"/>
                <w:szCs w:val="20"/>
              </w:rPr>
              <w:t>(4)</w:t>
            </w:r>
          </w:p>
        </w:tc>
        <w:tc>
          <w:tcPr>
            <w:tcW w:w="489" w:type="pct"/>
            <w:tcBorders>
              <w:bottom w:val="single" w:sz="2" w:space="0" w:color="auto"/>
            </w:tcBorders>
            <w:vAlign w:val="center"/>
          </w:tcPr>
          <w:p w14:paraId="520E5ACE" w14:textId="45DA5CE6" w:rsidR="000C397E" w:rsidRPr="004569CE" w:rsidRDefault="00DB5AAE" w:rsidP="00642B02">
            <w:pPr>
              <w:spacing w:after="0" w:line="240" w:lineRule="auto"/>
              <w:jc w:val="right"/>
              <w:rPr>
                <w:rFonts w:ascii="Arial" w:eastAsia="Times New Roman" w:hAnsi="Arial" w:cs="Arial"/>
                <w:bCs/>
                <w:color w:val="000000"/>
                <w:sz w:val="20"/>
                <w:szCs w:val="20"/>
                <w:lang w:eastAsia="ru-RU"/>
              </w:rPr>
            </w:pPr>
            <w:r w:rsidRPr="000D120B">
              <w:rPr>
                <w:rFonts w:ascii="Arial" w:hAnsi="Arial" w:cs="Arial"/>
                <w:sz w:val="20"/>
                <w:szCs w:val="20"/>
              </w:rPr>
              <w:t>23%</w:t>
            </w:r>
          </w:p>
        </w:tc>
        <w:tc>
          <w:tcPr>
            <w:tcW w:w="489" w:type="pct"/>
            <w:tcBorders>
              <w:bottom w:val="single" w:sz="2" w:space="0" w:color="auto"/>
            </w:tcBorders>
            <w:vAlign w:val="center"/>
          </w:tcPr>
          <w:p w14:paraId="4305007B" w14:textId="7BDA8BE4" w:rsidR="000C397E" w:rsidRPr="004569CE" w:rsidRDefault="003C0E32" w:rsidP="00642B02">
            <w:pPr>
              <w:spacing w:after="0" w:line="240" w:lineRule="auto"/>
              <w:jc w:val="right"/>
              <w:rPr>
                <w:rFonts w:ascii="Arial" w:eastAsia="Times New Roman" w:hAnsi="Arial" w:cs="Arial"/>
                <w:bCs/>
                <w:color w:val="000000"/>
                <w:sz w:val="20"/>
                <w:szCs w:val="20"/>
                <w:lang w:eastAsia="ru-RU"/>
              </w:rPr>
            </w:pPr>
            <w:r w:rsidRPr="004569CE">
              <w:rPr>
                <w:rFonts w:ascii="Arial" w:hAnsi="Arial" w:cs="Arial"/>
                <w:sz w:val="20"/>
                <w:szCs w:val="20"/>
              </w:rPr>
              <w:t xml:space="preserve"> </w:t>
            </w:r>
            <w:r w:rsidR="00DB5AAE" w:rsidRPr="000D120B">
              <w:rPr>
                <w:rFonts w:ascii="Arial" w:hAnsi="Arial" w:cs="Arial"/>
                <w:sz w:val="20"/>
                <w:szCs w:val="20"/>
              </w:rPr>
              <w:t>(38)</w:t>
            </w:r>
          </w:p>
        </w:tc>
        <w:tc>
          <w:tcPr>
            <w:tcW w:w="489" w:type="pct"/>
            <w:tcBorders>
              <w:bottom w:val="single" w:sz="2" w:space="0" w:color="auto"/>
            </w:tcBorders>
            <w:vAlign w:val="center"/>
          </w:tcPr>
          <w:p w14:paraId="45D93561" w14:textId="2AD3C083" w:rsidR="000C397E" w:rsidRPr="004569CE" w:rsidRDefault="003C0E32" w:rsidP="00642B02">
            <w:pPr>
              <w:spacing w:after="0" w:line="240" w:lineRule="auto"/>
              <w:jc w:val="right"/>
              <w:rPr>
                <w:rFonts w:ascii="Arial" w:eastAsia="Times New Roman" w:hAnsi="Arial" w:cs="Arial"/>
                <w:bCs/>
                <w:color w:val="000000"/>
                <w:sz w:val="20"/>
                <w:szCs w:val="20"/>
                <w:lang w:eastAsia="ru-RU"/>
              </w:rPr>
            </w:pPr>
            <w:r w:rsidRPr="004569CE">
              <w:rPr>
                <w:rFonts w:ascii="Arial" w:hAnsi="Arial" w:cs="Arial"/>
                <w:sz w:val="20"/>
                <w:szCs w:val="20"/>
              </w:rPr>
              <w:t xml:space="preserve"> </w:t>
            </w:r>
            <w:r w:rsidR="00DB5AAE" w:rsidRPr="000D120B">
              <w:rPr>
                <w:rFonts w:ascii="Arial" w:hAnsi="Arial" w:cs="Arial"/>
                <w:sz w:val="20"/>
                <w:szCs w:val="20"/>
              </w:rPr>
              <w:t xml:space="preserve"> -</w:t>
            </w:r>
          </w:p>
        </w:tc>
        <w:tc>
          <w:tcPr>
            <w:tcW w:w="488" w:type="pct"/>
            <w:tcBorders>
              <w:bottom w:val="single" w:sz="2" w:space="0" w:color="auto"/>
            </w:tcBorders>
            <w:vAlign w:val="center"/>
          </w:tcPr>
          <w:p w14:paraId="10E634C2" w14:textId="51C790AB" w:rsidR="000C397E" w:rsidRPr="004569CE" w:rsidRDefault="00DB5AAE" w:rsidP="00642B02">
            <w:pPr>
              <w:spacing w:after="0" w:line="240" w:lineRule="auto"/>
              <w:jc w:val="right"/>
              <w:rPr>
                <w:rFonts w:ascii="Arial" w:eastAsia="Times New Roman" w:hAnsi="Arial" w:cs="Arial"/>
                <w:bCs/>
                <w:color w:val="000000"/>
                <w:sz w:val="20"/>
                <w:szCs w:val="20"/>
                <w:lang w:eastAsia="ru-RU"/>
              </w:rPr>
            </w:pPr>
            <w:r w:rsidRPr="000D120B">
              <w:rPr>
                <w:rFonts w:ascii="Arial" w:hAnsi="Arial" w:cs="Arial"/>
                <w:sz w:val="20"/>
                <w:szCs w:val="20"/>
              </w:rPr>
              <w:t>-100%</w:t>
            </w:r>
          </w:p>
        </w:tc>
      </w:tr>
      <w:tr w:rsidR="000C397E" w:rsidRPr="004569CE" w14:paraId="2B57F848" w14:textId="6A82C287" w:rsidTr="00642B02">
        <w:trPr>
          <w:trHeight w:hRule="exact" w:val="85"/>
        </w:trPr>
        <w:tc>
          <w:tcPr>
            <w:tcW w:w="967" w:type="pct"/>
            <w:tcBorders>
              <w:top w:val="single" w:sz="2" w:space="0" w:color="auto"/>
            </w:tcBorders>
            <w:shd w:val="clear" w:color="auto" w:fill="auto"/>
            <w:noWrap/>
            <w:vAlign w:val="bottom"/>
          </w:tcPr>
          <w:p w14:paraId="4B443E32" w14:textId="77777777" w:rsidR="000C397E" w:rsidRPr="004569CE" w:rsidRDefault="000C397E" w:rsidP="000C397E">
            <w:pPr>
              <w:spacing w:after="0" w:line="240" w:lineRule="auto"/>
              <w:jc w:val="both"/>
              <w:rPr>
                <w:rFonts w:ascii="Arial" w:eastAsia="Times New Roman" w:hAnsi="Arial" w:cs="Arial"/>
                <w:b/>
                <w:color w:val="000000"/>
                <w:sz w:val="20"/>
                <w:szCs w:val="20"/>
                <w:lang w:eastAsia="ru-RU"/>
              </w:rPr>
            </w:pPr>
          </w:p>
        </w:tc>
        <w:tc>
          <w:tcPr>
            <w:tcW w:w="114" w:type="pct"/>
          </w:tcPr>
          <w:p w14:paraId="1412F2FC" w14:textId="77777777" w:rsidR="000C397E" w:rsidRPr="004569CE"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tcBorders>
              <w:top w:val="single" w:sz="2" w:space="0" w:color="auto"/>
            </w:tcBorders>
            <w:shd w:val="clear" w:color="auto" w:fill="auto"/>
            <w:noWrap/>
            <w:vAlign w:val="center"/>
          </w:tcPr>
          <w:p w14:paraId="360079D3"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91" w:type="pct"/>
            <w:tcBorders>
              <w:top w:val="single" w:sz="2" w:space="0" w:color="auto"/>
            </w:tcBorders>
            <w:shd w:val="clear" w:color="auto" w:fill="auto"/>
            <w:noWrap/>
            <w:vAlign w:val="center"/>
          </w:tcPr>
          <w:p w14:paraId="1A471266"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91" w:type="pct"/>
            <w:tcBorders>
              <w:top w:val="single" w:sz="2" w:space="0" w:color="auto"/>
            </w:tcBorders>
            <w:shd w:val="clear" w:color="auto" w:fill="auto"/>
            <w:noWrap/>
            <w:vAlign w:val="center"/>
          </w:tcPr>
          <w:p w14:paraId="236365BC" w14:textId="77777777" w:rsidR="000C397E" w:rsidRPr="004569CE" w:rsidRDefault="000C397E" w:rsidP="00642B02">
            <w:pPr>
              <w:spacing w:after="0" w:line="240" w:lineRule="auto"/>
              <w:jc w:val="right"/>
              <w:rPr>
                <w:rFonts w:ascii="Arial" w:eastAsia="Times New Roman" w:hAnsi="Arial" w:cs="Arial"/>
                <w:color w:val="000000"/>
                <w:sz w:val="20"/>
                <w:szCs w:val="20"/>
                <w:lang w:eastAsia="ru-RU"/>
              </w:rPr>
            </w:pPr>
          </w:p>
        </w:tc>
        <w:tc>
          <w:tcPr>
            <w:tcW w:w="491" w:type="pct"/>
            <w:tcBorders>
              <w:top w:val="single" w:sz="2" w:space="0" w:color="auto"/>
            </w:tcBorders>
            <w:vAlign w:val="center"/>
          </w:tcPr>
          <w:p w14:paraId="737231AF" w14:textId="77777777" w:rsidR="000C397E" w:rsidRPr="004569CE" w:rsidRDefault="000C397E" w:rsidP="00642B02">
            <w:pPr>
              <w:spacing w:after="0" w:line="240" w:lineRule="auto"/>
              <w:jc w:val="right"/>
              <w:rPr>
                <w:rFonts w:ascii="Arial" w:eastAsia="Times New Roman" w:hAnsi="Arial" w:cs="Arial"/>
                <w:b/>
                <w:bCs/>
                <w:color w:val="000000"/>
                <w:sz w:val="20"/>
                <w:szCs w:val="20"/>
                <w:lang w:eastAsia="ru-RU"/>
              </w:rPr>
            </w:pPr>
          </w:p>
        </w:tc>
        <w:tc>
          <w:tcPr>
            <w:tcW w:w="489" w:type="pct"/>
            <w:tcBorders>
              <w:top w:val="single" w:sz="2" w:space="0" w:color="auto"/>
            </w:tcBorders>
            <w:vAlign w:val="center"/>
          </w:tcPr>
          <w:p w14:paraId="26D2ACBC" w14:textId="77777777" w:rsidR="000C397E" w:rsidRPr="004569CE" w:rsidRDefault="000C397E" w:rsidP="00642B02">
            <w:pPr>
              <w:spacing w:after="0" w:line="240" w:lineRule="auto"/>
              <w:jc w:val="right"/>
              <w:rPr>
                <w:rFonts w:ascii="Arial" w:eastAsia="Times New Roman" w:hAnsi="Arial" w:cs="Arial"/>
                <w:b/>
                <w:bCs/>
                <w:color w:val="000000"/>
                <w:sz w:val="20"/>
                <w:szCs w:val="20"/>
                <w:lang w:eastAsia="ru-RU"/>
              </w:rPr>
            </w:pPr>
          </w:p>
        </w:tc>
        <w:tc>
          <w:tcPr>
            <w:tcW w:w="489" w:type="pct"/>
            <w:tcBorders>
              <w:top w:val="single" w:sz="2" w:space="0" w:color="auto"/>
            </w:tcBorders>
            <w:vAlign w:val="center"/>
          </w:tcPr>
          <w:p w14:paraId="6A65CAFD" w14:textId="77777777" w:rsidR="000C397E" w:rsidRPr="004569CE" w:rsidRDefault="000C397E" w:rsidP="00642B02">
            <w:pPr>
              <w:spacing w:after="0" w:line="240" w:lineRule="auto"/>
              <w:jc w:val="right"/>
              <w:rPr>
                <w:rFonts w:ascii="Arial" w:eastAsia="Times New Roman" w:hAnsi="Arial" w:cs="Arial"/>
                <w:b/>
                <w:bCs/>
                <w:color w:val="000000"/>
                <w:sz w:val="20"/>
                <w:szCs w:val="20"/>
                <w:lang w:eastAsia="ru-RU"/>
              </w:rPr>
            </w:pPr>
          </w:p>
        </w:tc>
        <w:tc>
          <w:tcPr>
            <w:tcW w:w="489" w:type="pct"/>
            <w:tcBorders>
              <w:top w:val="single" w:sz="2" w:space="0" w:color="auto"/>
            </w:tcBorders>
            <w:vAlign w:val="center"/>
          </w:tcPr>
          <w:p w14:paraId="44129CEB" w14:textId="77777777" w:rsidR="000C397E" w:rsidRPr="004569CE" w:rsidRDefault="000C397E" w:rsidP="00642B02">
            <w:pPr>
              <w:spacing w:after="0" w:line="240" w:lineRule="auto"/>
              <w:jc w:val="right"/>
              <w:rPr>
                <w:rFonts w:ascii="Arial" w:eastAsia="Times New Roman" w:hAnsi="Arial" w:cs="Arial"/>
                <w:b/>
                <w:bCs/>
                <w:color w:val="000000"/>
                <w:sz w:val="20"/>
                <w:szCs w:val="20"/>
                <w:lang w:eastAsia="ru-RU"/>
              </w:rPr>
            </w:pPr>
          </w:p>
        </w:tc>
        <w:tc>
          <w:tcPr>
            <w:tcW w:w="488" w:type="pct"/>
            <w:tcBorders>
              <w:top w:val="single" w:sz="2" w:space="0" w:color="auto"/>
            </w:tcBorders>
            <w:vAlign w:val="center"/>
          </w:tcPr>
          <w:p w14:paraId="356D9CE5" w14:textId="77777777" w:rsidR="000C397E" w:rsidRPr="004569CE" w:rsidRDefault="000C397E" w:rsidP="00642B02">
            <w:pPr>
              <w:spacing w:after="0" w:line="240" w:lineRule="auto"/>
              <w:jc w:val="right"/>
              <w:rPr>
                <w:rFonts w:ascii="Arial" w:eastAsia="Times New Roman" w:hAnsi="Arial" w:cs="Arial"/>
                <w:b/>
                <w:bCs/>
                <w:color w:val="000000"/>
                <w:sz w:val="20"/>
                <w:szCs w:val="20"/>
                <w:lang w:eastAsia="ru-RU"/>
              </w:rPr>
            </w:pPr>
          </w:p>
        </w:tc>
      </w:tr>
      <w:tr w:rsidR="000C397E" w:rsidRPr="004569CE" w14:paraId="691E3AF6" w14:textId="4928CD97" w:rsidTr="00642B02">
        <w:trPr>
          <w:trHeight w:val="193"/>
        </w:trPr>
        <w:tc>
          <w:tcPr>
            <w:tcW w:w="967" w:type="pct"/>
            <w:shd w:val="clear" w:color="auto" w:fill="auto"/>
            <w:noWrap/>
            <w:vAlign w:val="bottom"/>
            <w:hideMark/>
          </w:tcPr>
          <w:p w14:paraId="68DCA61D" w14:textId="49D70578" w:rsidR="000C397E" w:rsidRPr="004569CE" w:rsidRDefault="000C397E" w:rsidP="000C397E">
            <w:pPr>
              <w:spacing w:after="0" w:line="240" w:lineRule="auto"/>
              <w:jc w:val="both"/>
              <w:rPr>
                <w:rFonts w:ascii="Arial" w:eastAsia="Times New Roman" w:hAnsi="Arial" w:cs="Arial"/>
                <w:b/>
                <w:color w:val="000000"/>
                <w:sz w:val="20"/>
                <w:szCs w:val="20"/>
                <w:lang w:eastAsia="ru-RU"/>
              </w:rPr>
            </w:pPr>
            <w:r w:rsidRPr="004569CE">
              <w:rPr>
                <w:rFonts w:ascii="Arial" w:eastAsia="Times New Roman" w:hAnsi="Arial" w:cs="Arial"/>
                <w:b/>
                <w:color w:val="000000"/>
                <w:sz w:val="20"/>
                <w:szCs w:val="20"/>
                <w:lang w:eastAsia="ru-RU"/>
              </w:rPr>
              <w:t>Adjusted EBITDA</w:t>
            </w:r>
          </w:p>
        </w:tc>
        <w:tc>
          <w:tcPr>
            <w:tcW w:w="114" w:type="pct"/>
          </w:tcPr>
          <w:p w14:paraId="73DD9D12" w14:textId="77777777" w:rsidR="000C397E" w:rsidRPr="004569CE" w:rsidRDefault="000C397E" w:rsidP="000C397E">
            <w:pPr>
              <w:spacing w:after="0" w:line="240" w:lineRule="auto"/>
              <w:jc w:val="right"/>
              <w:rPr>
                <w:rFonts w:ascii="Arial" w:eastAsia="Times New Roman" w:hAnsi="Arial" w:cs="Arial"/>
                <w:b/>
                <w:color w:val="000000"/>
                <w:sz w:val="20"/>
                <w:szCs w:val="20"/>
                <w:lang w:eastAsia="ru-RU"/>
              </w:rPr>
            </w:pPr>
          </w:p>
        </w:tc>
        <w:tc>
          <w:tcPr>
            <w:tcW w:w="491" w:type="pct"/>
            <w:shd w:val="clear" w:color="auto" w:fill="auto"/>
            <w:noWrap/>
            <w:vAlign w:val="center"/>
          </w:tcPr>
          <w:p w14:paraId="17DFA305" w14:textId="73F90646" w:rsidR="000C397E" w:rsidRPr="004569CE" w:rsidRDefault="003C0E32" w:rsidP="00642B02">
            <w:pPr>
              <w:spacing w:after="0" w:line="240" w:lineRule="auto"/>
              <w:jc w:val="right"/>
              <w:rPr>
                <w:rFonts w:ascii="Arial" w:eastAsiaTheme="minorEastAsia" w:hAnsi="Arial" w:cs="Arial"/>
                <w:b/>
                <w:bCs/>
                <w:color w:val="000000"/>
                <w:sz w:val="20"/>
                <w:szCs w:val="20"/>
                <w:lang w:eastAsia="ru-RU"/>
              </w:rPr>
            </w:pPr>
            <w:r w:rsidRPr="004569CE">
              <w:rPr>
                <w:rFonts w:ascii="Arial" w:eastAsiaTheme="minorEastAsia" w:hAnsi="Arial" w:cs="Arial"/>
                <w:b/>
                <w:bCs/>
                <w:color w:val="000000"/>
                <w:sz w:val="20"/>
                <w:szCs w:val="20"/>
                <w:lang w:eastAsia="ru-RU"/>
              </w:rPr>
              <w:t xml:space="preserve"> </w:t>
            </w:r>
            <w:r w:rsidR="00DB5AAE" w:rsidRPr="000D120B">
              <w:rPr>
                <w:rFonts w:ascii="Arial" w:hAnsi="Arial" w:cs="Arial"/>
                <w:b/>
                <w:bCs/>
                <w:sz w:val="20"/>
                <w:szCs w:val="20"/>
              </w:rPr>
              <w:t xml:space="preserve"> 86</w:t>
            </w:r>
          </w:p>
        </w:tc>
        <w:tc>
          <w:tcPr>
            <w:tcW w:w="491" w:type="pct"/>
            <w:shd w:val="clear" w:color="auto" w:fill="auto"/>
            <w:noWrap/>
            <w:vAlign w:val="center"/>
          </w:tcPr>
          <w:p w14:paraId="641A9B01" w14:textId="158145C1" w:rsidR="000C397E" w:rsidRPr="004569CE" w:rsidRDefault="00DB5AAE" w:rsidP="00642B02">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 xml:space="preserve"> 57</w:t>
            </w:r>
          </w:p>
        </w:tc>
        <w:tc>
          <w:tcPr>
            <w:tcW w:w="491" w:type="pct"/>
            <w:shd w:val="clear" w:color="auto" w:fill="auto"/>
            <w:noWrap/>
            <w:vAlign w:val="center"/>
          </w:tcPr>
          <w:p w14:paraId="413CB740" w14:textId="747DA033" w:rsidR="000C397E" w:rsidRPr="004569CE" w:rsidRDefault="00DB5AAE" w:rsidP="00642B02">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51%</w:t>
            </w:r>
          </w:p>
        </w:tc>
        <w:tc>
          <w:tcPr>
            <w:tcW w:w="491" w:type="pct"/>
            <w:vAlign w:val="center"/>
          </w:tcPr>
          <w:p w14:paraId="499995F0" w14:textId="3C602775" w:rsidR="000C397E" w:rsidRPr="004569CE" w:rsidRDefault="003C0E32" w:rsidP="00642B02">
            <w:pPr>
              <w:spacing w:after="0" w:line="240" w:lineRule="auto"/>
              <w:jc w:val="right"/>
              <w:rPr>
                <w:rFonts w:ascii="Arial" w:eastAsia="Times New Roman" w:hAnsi="Arial" w:cs="Arial"/>
                <w:b/>
                <w:bCs/>
                <w:color w:val="000000"/>
                <w:sz w:val="20"/>
                <w:szCs w:val="20"/>
                <w:lang w:eastAsia="ru-RU"/>
              </w:rPr>
            </w:pPr>
            <w:r w:rsidRPr="004569CE">
              <w:rPr>
                <w:rFonts w:ascii="Arial" w:hAnsi="Arial" w:cs="Arial"/>
                <w:b/>
                <w:bCs/>
                <w:sz w:val="20"/>
                <w:szCs w:val="20"/>
              </w:rPr>
              <w:t xml:space="preserve"> </w:t>
            </w:r>
            <w:r w:rsidR="00DB5AAE" w:rsidRPr="000D120B">
              <w:rPr>
                <w:rFonts w:ascii="Arial" w:hAnsi="Arial" w:cs="Arial"/>
                <w:b/>
                <w:bCs/>
                <w:sz w:val="20"/>
                <w:szCs w:val="20"/>
              </w:rPr>
              <w:t xml:space="preserve"> 84</w:t>
            </w:r>
          </w:p>
        </w:tc>
        <w:tc>
          <w:tcPr>
            <w:tcW w:w="489" w:type="pct"/>
            <w:vAlign w:val="center"/>
          </w:tcPr>
          <w:p w14:paraId="6331E4B6" w14:textId="5C2D5027" w:rsidR="000C397E" w:rsidRPr="004569CE" w:rsidRDefault="00DB5AAE" w:rsidP="00642B02">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2%</w:t>
            </w:r>
          </w:p>
        </w:tc>
        <w:tc>
          <w:tcPr>
            <w:tcW w:w="489" w:type="pct"/>
            <w:vAlign w:val="center"/>
          </w:tcPr>
          <w:p w14:paraId="6CB97B7D" w14:textId="1967CAA7" w:rsidR="000C397E" w:rsidRPr="004569CE" w:rsidRDefault="003C0E32" w:rsidP="00642B02">
            <w:pPr>
              <w:spacing w:after="0" w:line="240" w:lineRule="auto"/>
              <w:jc w:val="right"/>
              <w:rPr>
                <w:rFonts w:ascii="Arial" w:eastAsia="Times New Roman" w:hAnsi="Arial" w:cs="Arial"/>
                <w:b/>
                <w:bCs/>
                <w:color w:val="000000"/>
                <w:sz w:val="20"/>
                <w:szCs w:val="20"/>
                <w:lang w:eastAsia="ru-RU"/>
              </w:rPr>
            </w:pPr>
            <w:r w:rsidRPr="004569CE">
              <w:rPr>
                <w:rFonts w:ascii="Arial" w:hAnsi="Arial" w:cs="Arial"/>
                <w:b/>
                <w:bCs/>
                <w:sz w:val="20"/>
                <w:szCs w:val="20"/>
              </w:rPr>
              <w:t xml:space="preserve"> </w:t>
            </w:r>
            <w:r w:rsidR="00DB5AAE" w:rsidRPr="000D120B">
              <w:rPr>
                <w:rFonts w:ascii="Arial" w:hAnsi="Arial" w:cs="Arial"/>
                <w:b/>
                <w:bCs/>
                <w:sz w:val="20"/>
                <w:szCs w:val="20"/>
              </w:rPr>
              <w:t xml:space="preserve"> 270</w:t>
            </w:r>
          </w:p>
        </w:tc>
        <w:tc>
          <w:tcPr>
            <w:tcW w:w="489" w:type="pct"/>
            <w:vAlign w:val="center"/>
          </w:tcPr>
          <w:p w14:paraId="33BC7C90" w14:textId="04FB0751" w:rsidR="000C397E" w:rsidRPr="004569CE" w:rsidRDefault="003C0E32" w:rsidP="00642B02">
            <w:pPr>
              <w:spacing w:after="0" w:line="240" w:lineRule="auto"/>
              <w:jc w:val="right"/>
              <w:rPr>
                <w:rFonts w:ascii="Arial" w:eastAsia="Times New Roman" w:hAnsi="Arial" w:cs="Arial"/>
                <w:b/>
                <w:bCs/>
                <w:color w:val="000000"/>
                <w:sz w:val="20"/>
                <w:szCs w:val="20"/>
                <w:lang w:eastAsia="ru-RU"/>
              </w:rPr>
            </w:pPr>
            <w:r w:rsidRPr="004569CE">
              <w:rPr>
                <w:rFonts w:ascii="Arial" w:hAnsi="Arial" w:cs="Arial"/>
                <w:b/>
                <w:bCs/>
                <w:sz w:val="20"/>
                <w:szCs w:val="20"/>
              </w:rPr>
              <w:t xml:space="preserve"> </w:t>
            </w:r>
            <w:r w:rsidR="00DB5AAE" w:rsidRPr="000D120B">
              <w:rPr>
                <w:rFonts w:ascii="Arial" w:hAnsi="Arial" w:cs="Arial"/>
                <w:b/>
                <w:bCs/>
                <w:sz w:val="20"/>
                <w:szCs w:val="20"/>
              </w:rPr>
              <w:t xml:space="preserve"> 267</w:t>
            </w:r>
          </w:p>
        </w:tc>
        <w:tc>
          <w:tcPr>
            <w:tcW w:w="488" w:type="pct"/>
            <w:vAlign w:val="center"/>
          </w:tcPr>
          <w:p w14:paraId="3D63EFE0" w14:textId="738B0F73" w:rsidR="000C397E" w:rsidRPr="004569CE" w:rsidRDefault="00DB5AAE" w:rsidP="00642B02">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1%</w:t>
            </w:r>
          </w:p>
        </w:tc>
      </w:tr>
      <w:tr w:rsidR="000C397E" w:rsidRPr="004569CE" w14:paraId="278F6A78" w14:textId="3DF62BEF" w:rsidTr="00642B02">
        <w:trPr>
          <w:trHeight w:val="252"/>
        </w:trPr>
        <w:tc>
          <w:tcPr>
            <w:tcW w:w="967" w:type="pct"/>
            <w:shd w:val="clear" w:color="auto" w:fill="auto"/>
            <w:noWrap/>
            <w:vAlign w:val="bottom"/>
            <w:hideMark/>
          </w:tcPr>
          <w:p w14:paraId="47C8D019" w14:textId="58F9B904" w:rsidR="000C397E" w:rsidRPr="004569CE" w:rsidRDefault="000C397E" w:rsidP="000C397E">
            <w:pPr>
              <w:spacing w:before="60" w:after="0" w:line="240" w:lineRule="auto"/>
              <w:jc w:val="both"/>
              <w:rPr>
                <w:rFonts w:ascii="Arial" w:eastAsia="Times New Roman" w:hAnsi="Arial" w:cs="Arial"/>
                <w:i/>
                <w:color w:val="000000"/>
                <w:sz w:val="20"/>
                <w:szCs w:val="20"/>
                <w:lang w:eastAsia="ru-RU"/>
              </w:rPr>
            </w:pPr>
            <w:r w:rsidRPr="004569CE">
              <w:rPr>
                <w:rFonts w:ascii="Arial" w:eastAsia="Times New Roman" w:hAnsi="Arial" w:cs="Arial"/>
                <w:i/>
                <w:color w:val="000000"/>
                <w:sz w:val="20"/>
                <w:szCs w:val="20"/>
                <w:lang w:eastAsia="ru-RU"/>
              </w:rPr>
              <w:t>Adjusted EBITDA margin</w:t>
            </w:r>
          </w:p>
        </w:tc>
        <w:tc>
          <w:tcPr>
            <w:tcW w:w="114" w:type="pct"/>
          </w:tcPr>
          <w:p w14:paraId="7DE43C06" w14:textId="77777777" w:rsidR="000C397E" w:rsidRPr="004569CE" w:rsidRDefault="000C397E" w:rsidP="000C397E">
            <w:pPr>
              <w:spacing w:after="0" w:line="240" w:lineRule="auto"/>
              <w:jc w:val="right"/>
              <w:rPr>
                <w:rFonts w:ascii="Arial" w:eastAsia="Times New Roman" w:hAnsi="Arial" w:cs="Arial"/>
                <w:i/>
                <w:color w:val="000000"/>
                <w:sz w:val="20"/>
                <w:szCs w:val="20"/>
                <w:lang w:eastAsia="ru-RU"/>
              </w:rPr>
            </w:pPr>
          </w:p>
        </w:tc>
        <w:tc>
          <w:tcPr>
            <w:tcW w:w="491" w:type="pct"/>
            <w:shd w:val="clear" w:color="auto" w:fill="auto"/>
            <w:noWrap/>
            <w:vAlign w:val="center"/>
          </w:tcPr>
          <w:p w14:paraId="37DFB66E" w14:textId="0F8F4EC5"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16%</w:t>
            </w:r>
          </w:p>
        </w:tc>
        <w:tc>
          <w:tcPr>
            <w:tcW w:w="491" w:type="pct"/>
            <w:shd w:val="clear" w:color="auto" w:fill="auto"/>
            <w:noWrap/>
            <w:vAlign w:val="center"/>
          </w:tcPr>
          <w:p w14:paraId="1F252BCA" w14:textId="1F0F0944"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12%</w:t>
            </w:r>
          </w:p>
        </w:tc>
        <w:tc>
          <w:tcPr>
            <w:tcW w:w="491" w:type="pct"/>
            <w:shd w:val="clear" w:color="auto" w:fill="auto"/>
            <w:noWrap/>
            <w:vAlign w:val="center"/>
          </w:tcPr>
          <w:p w14:paraId="55341CD5" w14:textId="40CE59B9"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 xml:space="preserve">4 </w:t>
            </w:r>
            <w:proofErr w:type="spellStart"/>
            <w:r w:rsidRPr="000D120B">
              <w:rPr>
                <w:rFonts w:ascii="Arial" w:hAnsi="Arial" w:cs="Arial"/>
                <w:i/>
                <w:sz w:val="20"/>
                <w:szCs w:val="20"/>
              </w:rPr>
              <w:t>pps</w:t>
            </w:r>
            <w:proofErr w:type="spellEnd"/>
          </w:p>
        </w:tc>
        <w:tc>
          <w:tcPr>
            <w:tcW w:w="491" w:type="pct"/>
            <w:vAlign w:val="center"/>
          </w:tcPr>
          <w:p w14:paraId="1307C0FA" w14:textId="3881B49C"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16%</w:t>
            </w:r>
          </w:p>
        </w:tc>
        <w:tc>
          <w:tcPr>
            <w:tcW w:w="489" w:type="pct"/>
            <w:vAlign w:val="center"/>
          </w:tcPr>
          <w:p w14:paraId="4362B2B5" w14:textId="4C3C0B85"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 xml:space="preserve">0 </w:t>
            </w:r>
            <w:proofErr w:type="spellStart"/>
            <w:r w:rsidRPr="000D120B">
              <w:rPr>
                <w:rFonts w:ascii="Arial" w:hAnsi="Arial" w:cs="Arial"/>
                <w:i/>
                <w:sz w:val="20"/>
                <w:szCs w:val="20"/>
              </w:rPr>
              <w:t>pps</w:t>
            </w:r>
            <w:proofErr w:type="spellEnd"/>
          </w:p>
        </w:tc>
        <w:tc>
          <w:tcPr>
            <w:tcW w:w="489" w:type="pct"/>
            <w:vAlign w:val="center"/>
          </w:tcPr>
          <w:p w14:paraId="39884CB4" w14:textId="1F88CD22"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14%</w:t>
            </w:r>
          </w:p>
        </w:tc>
        <w:tc>
          <w:tcPr>
            <w:tcW w:w="489" w:type="pct"/>
            <w:vAlign w:val="center"/>
          </w:tcPr>
          <w:p w14:paraId="5D1BBFB8" w14:textId="49071D9E"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17%</w:t>
            </w:r>
          </w:p>
        </w:tc>
        <w:tc>
          <w:tcPr>
            <w:tcW w:w="488" w:type="pct"/>
            <w:vAlign w:val="center"/>
          </w:tcPr>
          <w:p w14:paraId="28003536" w14:textId="6C2EC39B"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 xml:space="preserve">-3 </w:t>
            </w:r>
            <w:proofErr w:type="spellStart"/>
            <w:r w:rsidRPr="000D120B">
              <w:rPr>
                <w:rFonts w:ascii="Arial" w:hAnsi="Arial" w:cs="Arial"/>
                <w:i/>
                <w:sz w:val="20"/>
                <w:szCs w:val="20"/>
              </w:rPr>
              <w:t>pps</w:t>
            </w:r>
            <w:proofErr w:type="spellEnd"/>
          </w:p>
        </w:tc>
      </w:tr>
      <w:tr w:rsidR="000C397E" w:rsidRPr="004569CE" w14:paraId="6A890024" w14:textId="2B0613BD" w:rsidTr="00642B02">
        <w:trPr>
          <w:trHeight w:val="284"/>
        </w:trPr>
        <w:tc>
          <w:tcPr>
            <w:tcW w:w="967" w:type="pct"/>
            <w:tcBorders>
              <w:bottom w:val="single" w:sz="12" w:space="0" w:color="auto"/>
            </w:tcBorders>
            <w:shd w:val="clear" w:color="auto" w:fill="auto"/>
            <w:noWrap/>
            <w:vAlign w:val="bottom"/>
            <w:hideMark/>
          </w:tcPr>
          <w:p w14:paraId="43F454BC" w14:textId="7F3BA1EB" w:rsidR="000C397E" w:rsidRPr="004569CE" w:rsidRDefault="000C397E" w:rsidP="000C397E">
            <w:pPr>
              <w:spacing w:before="60" w:after="0" w:line="240" w:lineRule="auto"/>
              <w:jc w:val="both"/>
              <w:rPr>
                <w:rFonts w:ascii="Arial" w:eastAsia="Times New Roman" w:hAnsi="Arial" w:cs="Arial"/>
                <w:i/>
                <w:color w:val="000000"/>
                <w:sz w:val="20"/>
                <w:szCs w:val="20"/>
                <w:lang w:eastAsia="ru-RU"/>
              </w:rPr>
            </w:pPr>
            <w:r w:rsidRPr="004569CE">
              <w:rPr>
                <w:rFonts w:ascii="Arial" w:eastAsia="Times New Roman" w:hAnsi="Arial" w:cs="Arial"/>
                <w:i/>
                <w:color w:val="000000"/>
                <w:sz w:val="20"/>
                <w:szCs w:val="20"/>
                <w:lang w:eastAsia="ru-RU"/>
              </w:rPr>
              <w:t>Adjusted EBITDA per 1 kg (net of IAS 41)</w:t>
            </w:r>
          </w:p>
        </w:tc>
        <w:tc>
          <w:tcPr>
            <w:tcW w:w="114" w:type="pct"/>
          </w:tcPr>
          <w:p w14:paraId="0F6393A8" w14:textId="77777777" w:rsidR="000C397E" w:rsidRPr="004569CE" w:rsidRDefault="000C397E" w:rsidP="000C397E">
            <w:pPr>
              <w:spacing w:after="0" w:line="240" w:lineRule="auto"/>
              <w:jc w:val="right"/>
              <w:rPr>
                <w:rFonts w:ascii="Arial" w:eastAsia="Times New Roman" w:hAnsi="Arial" w:cs="Arial"/>
                <w:i/>
                <w:color w:val="000000"/>
                <w:sz w:val="20"/>
                <w:szCs w:val="20"/>
                <w:lang w:eastAsia="ru-RU"/>
              </w:rPr>
            </w:pPr>
          </w:p>
        </w:tc>
        <w:tc>
          <w:tcPr>
            <w:tcW w:w="491" w:type="pct"/>
            <w:tcBorders>
              <w:bottom w:val="single" w:sz="12" w:space="0" w:color="auto"/>
            </w:tcBorders>
            <w:shd w:val="clear" w:color="auto" w:fill="auto"/>
            <w:noWrap/>
            <w:vAlign w:val="center"/>
          </w:tcPr>
          <w:p w14:paraId="7A2441F6" w14:textId="1231659C"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0.51</w:t>
            </w:r>
          </w:p>
        </w:tc>
        <w:tc>
          <w:tcPr>
            <w:tcW w:w="491" w:type="pct"/>
            <w:tcBorders>
              <w:bottom w:val="single" w:sz="12" w:space="0" w:color="auto"/>
            </w:tcBorders>
            <w:shd w:val="clear" w:color="auto" w:fill="auto"/>
            <w:noWrap/>
            <w:vAlign w:val="center"/>
          </w:tcPr>
          <w:p w14:paraId="08BF100A" w14:textId="7B49E300"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0.28</w:t>
            </w:r>
          </w:p>
        </w:tc>
        <w:tc>
          <w:tcPr>
            <w:tcW w:w="491" w:type="pct"/>
            <w:tcBorders>
              <w:bottom w:val="single" w:sz="12" w:space="0" w:color="auto"/>
            </w:tcBorders>
            <w:shd w:val="clear" w:color="auto" w:fill="auto"/>
            <w:noWrap/>
            <w:vAlign w:val="center"/>
          </w:tcPr>
          <w:p w14:paraId="6779BC86" w14:textId="407D1A4E"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82%</w:t>
            </w:r>
          </w:p>
        </w:tc>
        <w:tc>
          <w:tcPr>
            <w:tcW w:w="491" w:type="pct"/>
            <w:tcBorders>
              <w:bottom w:val="single" w:sz="12" w:space="0" w:color="auto"/>
            </w:tcBorders>
            <w:vAlign w:val="center"/>
          </w:tcPr>
          <w:p w14:paraId="583AF917" w14:textId="4A7F10A4"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0.42</w:t>
            </w:r>
          </w:p>
        </w:tc>
        <w:tc>
          <w:tcPr>
            <w:tcW w:w="489" w:type="pct"/>
            <w:tcBorders>
              <w:bottom w:val="single" w:sz="12" w:space="0" w:color="auto"/>
            </w:tcBorders>
            <w:vAlign w:val="center"/>
          </w:tcPr>
          <w:p w14:paraId="7B1994CD" w14:textId="13CE5CF2"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21%</w:t>
            </w:r>
          </w:p>
        </w:tc>
        <w:tc>
          <w:tcPr>
            <w:tcW w:w="489" w:type="pct"/>
            <w:tcBorders>
              <w:bottom w:val="single" w:sz="12" w:space="0" w:color="auto"/>
            </w:tcBorders>
            <w:vAlign w:val="center"/>
          </w:tcPr>
          <w:p w14:paraId="5FE5744A" w14:textId="20E3EF0F"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0.39</w:t>
            </w:r>
          </w:p>
        </w:tc>
        <w:tc>
          <w:tcPr>
            <w:tcW w:w="489" w:type="pct"/>
            <w:tcBorders>
              <w:bottom w:val="single" w:sz="12" w:space="0" w:color="auto"/>
            </w:tcBorders>
            <w:vAlign w:val="center"/>
          </w:tcPr>
          <w:p w14:paraId="11E0B048" w14:textId="6548756E"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0.36</w:t>
            </w:r>
          </w:p>
        </w:tc>
        <w:tc>
          <w:tcPr>
            <w:tcW w:w="488" w:type="pct"/>
            <w:tcBorders>
              <w:bottom w:val="single" w:sz="12" w:space="0" w:color="auto"/>
            </w:tcBorders>
            <w:vAlign w:val="center"/>
          </w:tcPr>
          <w:p w14:paraId="232FF934" w14:textId="684FAD4E" w:rsidR="000C397E" w:rsidRPr="004569CE" w:rsidRDefault="00DB5AAE" w:rsidP="00642B02">
            <w:pPr>
              <w:spacing w:after="0" w:line="240" w:lineRule="auto"/>
              <w:jc w:val="right"/>
              <w:rPr>
                <w:rFonts w:ascii="Arial" w:eastAsia="Times New Roman" w:hAnsi="Arial" w:cs="Arial"/>
                <w:i/>
                <w:color w:val="000000"/>
                <w:sz w:val="20"/>
                <w:szCs w:val="20"/>
                <w:lang w:eastAsia="ru-RU"/>
              </w:rPr>
            </w:pPr>
            <w:r w:rsidRPr="000D120B">
              <w:rPr>
                <w:rFonts w:ascii="Arial" w:hAnsi="Arial" w:cs="Arial"/>
                <w:i/>
                <w:sz w:val="20"/>
                <w:szCs w:val="20"/>
              </w:rPr>
              <w:t>8%</w:t>
            </w:r>
          </w:p>
        </w:tc>
      </w:tr>
    </w:tbl>
    <w:p w14:paraId="73C02A92" w14:textId="65817839" w:rsidR="0077095F" w:rsidRPr="004569CE" w:rsidRDefault="00F20F1C" w:rsidP="000C1D3E">
      <w:pPr>
        <w:spacing w:after="120"/>
        <w:rPr>
          <w:rFonts w:ascii="Arial" w:hAnsi="Arial" w:cs="Arial"/>
          <w:i/>
          <w:iCs/>
          <w:sz w:val="16"/>
          <w:szCs w:val="16"/>
        </w:rPr>
      </w:pPr>
      <w:r w:rsidRPr="004569CE">
        <w:rPr>
          <w:rFonts w:ascii="Arial" w:hAnsi="Arial" w:cs="Arial"/>
          <w:i/>
          <w:iCs/>
          <w:sz w:val="16"/>
          <w:szCs w:val="16"/>
          <w:vertAlign w:val="superscript"/>
        </w:rPr>
        <w:t>1)</w:t>
      </w:r>
      <w:r w:rsidR="00171DB9" w:rsidRPr="004569CE">
        <w:rPr>
          <w:rFonts w:ascii="Arial" w:hAnsi="Arial" w:cs="Arial"/>
          <w:i/>
          <w:iCs/>
          <w:sz w:val="16"/>
          <w:szCs w:val="16"/>
        </w:rPr>
        <w:t xml:space="preserve"> </w:t>
      </w:r>
      <w:proofErr w:type="spellStart"/>
      <w:r w:rsidR="00171DB9" w:rsidRPr="004569CE">
        <w:rPr>
          <w:rFonts w:ascii="Arial" w:hAnsi="Arial" w:cs="Arial"/>
          <w:i/>
          <w:iCs/>
          <w:sz w:val="16"/>
          <w:szCs w:val="16"/>
        </w:rPr>
        <w:t>pps</w:t>
      </w:r>
      <w:proofErr w:type="spellEnd"/>
      <w:r w:rsidR="00171DB9" w:rsidRPr="004569CE">
        <w:rPr>
          <w:rFonts w:ascii="Arial" w:hAnsi="Arial" w:cs="Arial"/>
          <w:i/>
          <w:iCs/>
          <w:sz w:val="16"/>
          <w:szCs w:val="16"/>
        </w:rPr>
        <w:t xml:space="preserve"> – percentage points</w:t>
      </w:r>
    </w:p>
    <w:p w14:paraId="3884BEDC" w14:textId="446D8965" w:rsidR="000F3B13" w:rsidRPr="00EC1E43" w:rsidRDefault="003F2FCB" w:rsidP="000C1D3E">
      <w:pPr>
        <w:spacing w:before="120" w:after="120"/>
        <w:jc w:val="both"/>
        <w:rPr>
          <w:rFonts w:ascii="Arial" w:hAnsi="Arial" w:cs="Arial"/>
          <w:sz w:val="20"/>
          <w:szCs w:val="20"/>
        </w:rPr>
      </w:pPr>
      <w:r w:rsidRPr="00EC1E43">
        <w:rPr>
          <w:rFonts w:ascii="Arial" w:hAnsi="Arial" w:cs="Arial"/>
          <w:sz w:val="20"/>
          <w:szCs w:val="20"/>
        </w:rPr>
        <w:t xml:space="preserve">In </w:t>
      </w:r>
      <w:r w:rsidR="00D2118D" w:rsidRPr="00EC1E43">
        <w:rPr>
          <w:rFonts w:ascii="Arial" w:hAnsi="Arial" w:cs="Arial"/>
          <w:sz w:val="20"/>
          <w:szCs w:val="20"/>
        </w:rPr>
        <w:t>12</w:t>
      </w:r>
      <w:r w:rsidR="002B658D" w:rsidRPr="00EC1E43">
        <w:rPr>
          <w:rFonts w:ascii="Arial" w:hAnsi="Arial" w:cs="Arial"/>
          <w:sz w:val="20"/>
          <w:szCs w:val="20"/>
        </w:rPr>
        <w:t>M</w:t>
      </w:r>
      <w:r w:rsidRPr="00EC1E43">
        <w:rPr>
          <w:rFonts w:ascii="Arial" w:hAnsi="Arial" w:cs="Arial"/>
          <w:sz w:val="20"/>
          <w:szCs w:val="20"/>
        </w:rPr>
        <w:t xml:space="preserve"> 2022, r</w:t>
      </w:r>
      <w:r w:rsidR="000F3B13" w:rsidRPr="00EC1E43">
        <w:rPr>
          <w:rFonts w:ascii="Arial" w:hAnsi="Arial" w:cs="Arial"/>
          <w:sz w:val="20"/>
          <w:szCs w:val="20"/>
        </w:rPr>
        <w:t xml:space="preserve">evenue increased by </w:t>
      </w:r>
      <w:r w:rsidR="00DB5AAE" w:rsidRPr="000D120B">
        <w:rPr>
          <w:rFonts w:ascii="Arial" w:hAnsi="Arial" w:cs="Arial"/>
          <w:sz w:val="20"/>
          <w:szCs w:val="20"/>
        </w:rPr>
        <w:t>17%</w:t>
      </w:r>
      <w:r w:rsidR="000F3B13" w:rsidRPr="00EC1E43">
        <w:rPr>
          <w:rFonts w:ascii="Arial" w:hAnsi="Arial" w:cs="Arial"/>
          <w:sz w:val="20"/>
          <w:szCs w:val="20"/>
        </w:rPr>
        <w:t xml:space="preserve"> </w:t>
      </w:r>
      <w:r w:rsidRPr="00EC1E43">
        <w:rPr>
          <w:rFonts w:ascii="Arial" w:hAnsi="Arial" w:cs="Arial"/>
          <w:sz w:val="20"/>
          <w:szCs w:val="20"/>
        </w:rPr>
        <w:t>y/y</w:t>
      </w:r>
      <w:r w:rsidR="000F3B13" w:rsidRPr="00EC1E43">
        <w:rPr>
          <w:rFonts w:ascii="Arial" w:hAnsi="Arial" w:cs="Arial"/>
          <w:sz w:val="20"/>
          <w:szCs w:val="20"/>
        </w:rPr>
        <w:t xml:space="preserve"> </w:t>
      </w:r>
      <w:r w:rsidR="000B6D05">
        <w:rPr>
          <w:rFonts w:ascii="Arial" w:hAnsi="Arial" w:cs="Arial"/>
          <w:sz w:val="20"/>
          <w:szCs w:val="20"/>
        </w:rPr>
        <w:t>driven by</w:t>
      </w:r>
      <w:r w:rsidR="000F3B13" w:rsidRPr="00EC1E43">
        <w:rPr>
          <w:rFonts w:ascii="Arial" w:hAnsi="Arial" w:cs="Arial"/>
          <w:sz w:val="20"/>
          <w:szCs w:val="20"/>
        </w:rPr>
        <w:t xml:space="preserve"> </w:t>
      </w:r>
      <w:r w:rsidRPr="00EC1E43">
        <w:rPr>
          <w:rFonts w:ascii="Arial" w:hAnsi="Arial" w:cs="Arial"/>
          <w:sz w:val="20"/>
          <w:szCs w:val="20"/>
        </w:rPr>
        <w:t xml:space="preserve">price </w:t>
      </w:r>
      <w:r w:rsidR="000F3B13" w:rsidRPr="00EC1E43">
        <w:rPr>
          <w:rFonts w:ascii="Arial" w:hAnsi="Arial" w:cs="Arial"/>
          <w:sz w:val="20"/>
          <w:szCs w:val="20"/>
        </w:rPr>
        <w:t>increase</w:t>
      </w:r>
      <w:r w:rsidR="000B6D05">
        <w:rPr>
          <w:rFonts w:ascii="Arial" w:hAnsi="Arial" w:cs="Arial"/>
          <w:sz w:val="20"/>
          <w:szCs w:val="20"/>
        </w:rPr>
        <w:t>s</w:t>
      </w:r>
      <w:r w:rsidR="000F3B13" w:rsidRPr="00EC1E43">
        <w:rPr>
          <w:rFonts w:ascii="Arial" w:hAnsi="Arial" w:cs="Arial"/>
          <w:sz w:val="20"/>
          <w:szCs w:val="20"/>
        </w:rPr>
        <w:t xml:space="preserve"> </w:t>
      </w:r>
      <w:r w:rsidR="000B6D05">
        <w:rPr>
          <w:rFonts w:ascii="Arial" w:hAnsi="Arial" w:cs="Arial"/>
          <w:sz w:val="20"/>
          <w:szCs w:val="20"/>
        </w:rPr>
        <w:t>in</w:t>
      </w:r>
      <w:r w:rsidR="000B6D05" w:rsidRPr="00EC1E43">
        <w:rPr>
          <w:rFonts w:ascii="Arial" w:hAnsi="Arial" w:cs="Arial"/>
          <w:sz w:val="20"/>
          <w:szCs w:val="20"/>
        </w:rPr>
        <w:t xml:space="preserve"> </w:t>
      </w:r>
      <w:r w:rsidR="00FA3749" w:rsidRPr="00EC1E43">
        <w:rPr>
          <w:rFonts w:ascii="Arial" w:hAnsi="Arial" w:cs="Arial"/>
          <w:sz w:val="20"/>
          <w:szCs w:val="20"/>
        </w:rPr>
        <w:t>export</w:t>
      </w:r>
      <w:r w:rsidR="000F3B13" w:rsidRPr="00EC1E43">
        <w:rPr>
          <w:rFonts w:ascii="Arial" w:hAnsi="Arial" w:cs="Arial"/>
          <w:sz w:val="20"/>
          <w:szCs w:val="20"/>
        </w:rPr>
        <w:t xml:space="preserve"> market</w:t>
      </w:r>
      <w:r w:rsidRPr="00EC1E43">
        <w:rPr>
          <w:rFonts w:ascii="Arial" w:hAnsi="Arial" w:cs="Arial"/>
          <w:sz w:val="20"/>
          <w:szCs w:val="20"/>
        </w:rPr>
        <w:t>s</w:t>
      </w:r>
      <w:r w:rsidR="000B6D05">
        <w:rPr>
          <w:rFonts w:ascii="Arial" w:hAnsi="Arial" w:cs="Arial"/>
          <w:sz w:val="20"/>
          <w:szCs w:val="20"/>
        </w:rPr>
        <w:t>,</w:t>
      </w:r>
      <w:r w:rsidR="000F3B13" w:rsidRPr="00EC1E43">
        <w:rPr>
          <w:rFonts w:ascii="Arial" w:hAnsi="Arial" w:cs="Arial"/>
          <w:sz w:val="20"/>
          <w:szCs w:val="20"/>
        </w:rPr>
        <w:t xml:space="preserve"> </w:t>
      </w:r>
      <w:r w:rsidR="000B6D05">
        <w:rPr>
          <w:rFonts w:ascii="Arial" w:hAnsi="Arial" w:cs="Arial"/>
          <w:sz w:val="20"/>
          <w:szCs w:val="20"/>
        </w:rPr>
        <w:t>and partly</w:t>
      </w:r>
      <w:r w:rsidR="000F3B13" w:rsidRPr="00EC1E43">
        <w:rPr>
          <w:rFonts w:ascii="Arial" w:hAnsi="Arial" w:cs="Arial"/>
          <w:sz w:val="20"/>
          <w:szCs w:val="20"/>
        </w:rPr>
        <w:t xml:space="preserve"> offset by</w:t>
      </w:r>
      <w:r w:rsidRPr="00EC1E43">
        <w:rPr>
          <w:rFonts w:ascii="Arial" w:hAnsi="Arial" w:cs="Arial"/>
          <w:sz w:val="20"/>
          <w:szCs w:val="20"/>
        </w:rPr>
        <w:t xml:space="preserve"> </w:t>
      </w:r>
      <w:r w:rsidR="00BB7F19" w:rsidRPr="00EC1E43">
        <w:rPr>
          <w:rFonts w:ascii="Arial" w:hAnsi="Arial" w:cs="Arial"/>
          <w:sz w:val="20"/>
          <w:szCs w:val="20"/>
        </w:rPr>
        <w:t>lower</w:t>
      </w:r>
      <w:r w:rsidR="000F3B13" w:rsidRPr="00EC1E43">
        <w:rPr>
          <w:rFonts w:ascii="Arial" w:hAnsi="Arial" w:cs="Arial"/>
          <w:sz w:val="20"/>
          <w:szCs w:val="20"/>
        </w:rPr>
        <w:t xml:space="preserve"> sales volume</w:t>
      </w:r>
      <w:r w:rsidR="000B6D05">
        <w:rPr>
          <w:rFonts w:ascii="Arial" w:hAnsi="Arial" w:cs="Arial"/>
          <w:sz w:val="20"/>
          <w:szCs w:val="20"/>
        </w:rPr>
        <w:t>s</w:t>
      </w:r>
      <w:r w:rsidR="000F3B13" w:rsidRPr="00EC1E43">
        <w:rPr>
          <w:rFonts w:ascii="Arial" w:hAnsi="Arial" w:cs="Arial"/>
          <w:sz w:val="20"/>
          <w:szCs w:val="20"/>
        </w:rPr>
        <w:t xml:space="preserve"> </w:t>
      </w:r>
      <w:r w:rsidR="007621EA" w:rsidRPr="00EC1E43">
        <w:rPr>
          <w:rFonts w:ascii="Arial" w:hAnsi="Arial" w:cs="Arial"/>
          <w:sz w:val="20"/>
          <w:szCs w:val="20"/>
        </w:rPr>
        <w:t>of</w:t>
      </w:r>
      <w:r w:rsidR="007765EA" w:rsidRPr="00EC1E43">
        <w:rPr>
          <w:rFonts w:ascii="Arial" w:hAnsi="Arial" w:cs="Arial"/>
          <w:sz w:val="20"/>
          <w:szCs w:val="20"/>
        </w:rPr>
        <w:t xml:space="preserve"> meat</w:t>
      </w:r>
      <w:r w:rsidR="000F3B13" w:rsidRPr="00EC1E43">
        <w:rPr>
          <w:rFonts w:ascii="Arial" w:hAnsi="Arial" w:cs="Arial"/>
          <w:sz w:val="20"/>
          <w:szCs w:val="20"/>
        </w:rPr>
        <w:t>.</w:t>
      </w:r>
      <w:r w:rsidR="00673D71" w:rsidRPr="00EC1E43">
        <w:rPr>
          <w:rFonts w:ascii="Arial" w:hAnsi="Arial" w:cs="Arial"/>
          <w:sz w:val="20"/>
          <w:szCs w:val="20"/>
        </w:rPr>
        <w:t xml:space="preserve"> A</w:t>
      </w:r>
      <w:r w:rsidR="00FA3749" w:rsidRPr="00EC1E43">
        <w:rPr>
          <w:rFonts w:ascii="Arial" w:hAnsi="Arial" w:cs="Arial"/>
          <w:sz w:val="20"/>
          <w:szCs w:val="20"/>
        </w:rPr>
        <w:t xml:space="preserve"> </w:t>
      </w:r>
      <w:r w:rsidR="00DB5AAE" w:rsidRPr="000D120B">
        <w:rPr>
          <w:rFonts w:ascii="Arial" w:hAnsi="Arial" w:cs="Arial"/>
          <w:sz w:val="20"/>
          <w:szCs w:val="20"/>
        </w:rPr>
        <w:t>15%</w:t>
      </w:r>
      <w:r w:rsidR="000B6D05">
        <w:rPr>
          <w:rFonts w:ascii="Arial" w:hAnsi="Arial" w:cs="Arial"/>
          <w:sz w:val="20"/>
          <w:szCs w:val="20"/>
        </w:rPr>
        <w:t xml:space="preserve"> q/q increase of revenue in Q4 2022</w:t>
      </w:r>
      <w:r w:rsidR="00FA3749" w:rsidRPr="00EC1E43">
        <w:rPr>
          <w:rFonts w:ascii="Arial" w:hAnsi="Arial" w:cs="Arial"/>
          <w:sz w:val="20"/>
          <w:szCs w:val="20"/>
        </w:rPr>
        <w:t xml:space="preserve"> was </w:t>
      </w:r>
      <w:r w:rsidR="00673D71" w:rsidRPr="00EC1E43">
        <w:rPr>
          <w:rFonts w:ascii="Arial" w:hAnsi="Arial" w:cs="Arial"/>
          <w:sz w:val="20"/>
          <w:szCs w:val="20"/>
        </w:rPr>
        <w:t xml:space="preserve">primary </w:t>
      </w:r>
      <w:r w:rsidR="00FA3749" w:rsidRPr="00EC1E43">
        <w:rPr>
          <w:rFonts w:ascii="Arial" w:hAnsi="Arial" w:cs="Arial"/>
          <w:sz w:val="20"/>
          <w:szCs w:val="20"/>
        </w:rPr>
        <w:t>attributable to</w:t>
      </w:r>
      <w:r w:rsidR="00223D11" w:rsidRPr="00EC1E43">
        <w:rPr>
          <w:rFonts w:ascii="Arial" w:hAnsi="Arial" w:cs="Arial"/>
          <w:sz w:val="20"/>
          <w:szCs w:val="20"/>
        </w:rPr>
        <w:t xml:space="preserve"> a</w:t>
      </w:r>
      <w:r w:rsidR="00FA3749" w:rsidRPr="00EC1E43">
        <w:rPr>
          <w:rFonts w:ascii="Arial" w:hAnsi="Arial" w:cs="Arial"/>
          <w:sz w:val="20"/>
          <w:szCs w:val="20"/>
        </w:rPr>
        <w:t xml:space="preserve"> </w:t>
      </w:r>
      <w:r w:rsidR="007621EA" w:rsidRPr="00EC1E43">
        <w:rPr>
          <w:rFonts w:ascii="Arial" w:hAnsi="Arial" w:cs="Arial"/>
          <w:sz w:val="20"/>
          <w:szCs w:val="20"/>
        </w:rPr>
        <w:t xml:space="preserve">substantial </w:t>
      </w:r>
      <w:r w:rsidR="00FA2752" w:rsidRPr="00EC1E43">
        <w:rPr>
          <w:rFonts w:ascii="Arial" w:hAnsi="Arial" w:cs="Arial"/>
          <w:sz w:val="20"/>
          <w:szCs w:val="20"/>
        </w:rPr>
        <w:t>increase</w:t>
      </w:r>
      <w:r w:rsidR="00FA3749" w:rsidRPr="00EC1E43">
        <w:rPr>
          <w:rFonts w:ascii="Arial" w:hAnsi="Arial" w:cs="Arial"/>
          <w:sz w:val="20"/>
          <w:szCs w:val="20"/>
        </w:rPr>
        <w:t xml:space="preserve"> in sales volume</w:t>
      </w:r>
      <w:r w:rsidR="000B6D05">
        <w:rPr>
          <w:rFonts w:ascii="Arial" w:hAnsi="Arial" w:cs="Arial"/>
          <w:sz w:val="20"/>
          <w:szCs w:val="20"/>
        </w:rPr>
        <w:t>s</w:t>
      </w:r>
      <w:r w:rsidR="00FA3749" w:rsidRPr="00EC1E43">
        <w:rPr>
          <w:rFonts w:ascii="Arial" w:hAnsi="Arial" w:cs="Arial"/>
          <w:sz w:val="20"/>
          <w:szCs w:val="20"/>
        </w:rPr>
        <w:t xml:space="preserve"> of vegetable oil due to</w:t>
      </w:r>
      <w:r w:rsidR="000B6D05">
        <w:rPr>
          <w:rFonts w:ascii="Arial" w:hAnsi="Arial" w:cs="Arial"/>
          <w:sz w:val="20"/>
          <w:szCs w:val="20"/>
        </w:rPr>
        <w:t xml:space="preserve"> the</w:t>
      </w:r>
      <w:r w:rsidR="00FA3749" w:rsidRPr="00EC1E43">
        <w:rPr>
          <w:rFonts w:ascii="Arial" w:hAnsi="Arial" w:cs="Arial"/>
          <w:sz w:val="20"/>
          <w:szCs w:val="20"/>
        </w:rPr>
        <w:t xml:space="preserve"> </w:t>
      </w:r>
      <w:r w:rsidR="00673D71" w:rsidRPr="00EC1E43">
        <w:rPr>
          <w:rFonts w:ascii="Arial" w:hAnsi="Arial" w:cs="Arial"/>
          <w:sz w:val="20"/>
          <w:szCs w:val="20"/>
        </w:rPr>
        <w:t>change in fodder recipe</w:t>
      </w:r>
      <w:r w:rsidR="00FA3749" w:rsidRPr="00EC1E43">
        <w:rPr>
          <w:rFonts w:ascii="Arial" w:hAnsi="Arial" w:cs="Arial"/>
          <w:sz w:val="20"/>
          <w:szCs w:val="20"/>
        </w:rPr>
        <w:t>.</w:t>
      </w:r>
    </w:p>
    <w:p w14:paraId="579ADC68" w14:textId="65E7CA11" w:rsidR="000F3B13" w:rsidRPr="008605A5" w:rsidRDefault="000F3B13" w:rsidP="000C1D3E">
      <w:pPr>
        <w:spacing w:before="120" w:after="120"/>
        <w:jc w:val="both"/>
        <w:rPr>
          <w:rFonts w:ascii="Arial" w:hAnsi="Arial" w:cs="Arial"/>
          <w:sz w:val="20"/>
          <w:szCs w:val="20"/>
        </w:rPr>
      </w:pPr>
      <w:r w:rsidRPr="008605A5">
        <w:rPr>
          <w:rFonts w:ascii="Arial" w:hAnsi="Arial" w:cs="Arial"/>
          <w:sz w:val="20"/>
          <w:szCs w:val="20"/>
        </w:rPr>
        <w:t xml:space="preserve">IAS 41 standard </w:t>
      </w:r>
      <w:r w:rsidR="0098660B" w:rsidRPr="008605A5">
        <w:rPr>
          <w:rFonts w:ascii="Arial" w:hAnsi="Arial" w:cs="Arial"/>
          <w:sz w:val="20"/>
          <w:szCs w:val="20"/>
        </w:rPr>
        <w:t>loss</w:t>
      </w:r>
      <w:r w:rsidRPr="008605A5">
        <w:rPr>
          <w:rFonts w:ascii="Arial" w:hAnsi="Arial" w:cs="Arial"/>
          <w:sz w:val="20"/>
          <w:szCs w:val="20"/>
        </w:rPr>
        <w:t xml:space="preserve"> in Q</w:t>
      </w:r>
      <w:r w:rsidR="00D2118D" w:rsidRPr="008605A5">
        <w:rPr>
          <w:rFonts w:ascii="Arial" w:hAnsi="Arial" w:cs="Arial"/>
          <w:sz w:val="20"/>
          <w:szCs w:val="20"/>
        </w:rPr>
        <w:t>4</w:t>
      </w:r>
      <w:r w:rsidRPr="008605A5">
        <w:rPr>
          <w:rFonts w:ascii="Arial" w:hAnsi="Arial" w:cs="Arial"/>
          <w:sz w:val="20"/>
          <w:szCs w:val="20"/>
        </w:rPr>
        <w:t xml:space="preserve"> </w:t>
      </w:r>
      <w:r w:rsidR="00E22622" w:rsidRPr="008605A5">
        <w:rPr>
          <w:rFonts w:ascii="Arial" w:hAnsi="Arial" w:cs="Arial"/>
          <w:sz w:val="20"/>
          <w:szCs w:val="20"/>
        </w:rPr>
        <w:t>2022</w:t>
      </w:r>
      <w:r w:rsidRPr="008605A5">
        <w:rPr>
          <w:rFonts w:ascii="Arial" w:hAnsi="Arial" w:cs="Arial"/>
          <w:sz w:val="20"/>
          <w:szCs w:val="20"/>
        </w:rPr>
        <w:t xml:space="preserve"> amounted to US$</w:t>
      </w:r>
      <w:r w:rsidR="00036F40" w:rsidRPr="008605A5">
        <w:rPr>
          <w:rFonts w:ascii="Arial" w:hAnsi="Arial" w:cs="Arial"/>
          <w:sz w:val="20"/>
          <w:szCs w:val="20"/>
        </w:rPr>
        <w:t xml:space="preserve"> </w:t>
      </w:r>
      <w:r w:rsidR="00DB5AAE" w:rsidRPr="000D120B">
        <w:rPr>
          <w:rFonts w:ascii="Arial" w:hAnsi="Arial" w:cs="Arial"/>
          <w:sz w:val="20"/>
          <w:szCs w:val="20"/>
        </w:rPr>
        <w:t>11</w:t>
      </w:r>
      <w:r w:rsidRPr="008605A5">
        <w:rPr>
          <w:rFonts w:ascii="Arial" w:hAnsi="Arial" w:cs="Arial"/>
          <w:sz w:val="20"/>
          <w:szCs w:val="20"/>
        </w:rPr>
        <w:t xml:space="preserve"> million mainly </w:t>
      </w:r>
      <w:r w:rsidR="004018BD" w:rsidRPr="008605A5">
        <w:rPr>
          <w:rFonts w:ascii="Arial" w:hAnsi="Arial" w:cs="Arial"/>
          <w:sz w:val="20"/>
          <w:szCs w:val="20"/>
        </w:rPr>
        <w:t>due to</w:t>
      </w:r>
      <w:r w:rsidRPr="008605A5">
        <w:rPr>
          <w:rFonts w:ascii="Arial" w:hAnsi="Arial" w:cs="Arial"/>
          <w:sz w:val="20"/>
          <w:szCs w:val="20"/>
        </w:rPr>
        <w:t xml:space="preserve"> a</w:t>
      </w:r>
      <w:r w:rsidR="00A64B0E" w:rsidRPr="008605A5">
        <w:rPr>
          <w:rFonts w:ascii="Arial" w:hAnsi="Arial" w:cs="Arial"/>
          <w:sz w:val="20"/>
          <w:szCs w:val="20"/>
        </w:rPr>
        <w:t xml:space="preserve"> downward trend in export price</w:t>
      </w:r>
      <w:r w:rsidR="004018BD" w:rsidRPr="008605A5">
        <w:rPr>
          <w:rFonts w:ascii="Arial" w:hAnsi="Arial" w:cs="Arial"/>
          <w:sz w:val="20"/>
          <w:szCs w:val="20"/>
        </w:rPr>
        <w:t>s</w:t>
      </w:r>
      <w:r w:rsidR="00A64B0E" w:rsidRPr="008605A5">
        <w:rPr>
          <w:rFonts w:ascii="Arial" w:hAnsi="Arial" w:cs="Arial"/>
          <w:sz w:val="20"/>
          <w:szCs w:val="20"/>
        </w:rPr>
        <w:t xml:space="preserve"> which continued during </w:t>
      </w:r>
      <w:r w:rsidR="004018BD" w:rsidRPr="008605A5">
        <w:rPr>
          <w:rFonts w:ascii="Arial" w:hAnsi="Arial" w:cs="Arial"/>
          <w:sz w:val="20"/>
          <w:szCs w:val="20"/>
        </w:rPr>
        <w:t>Q1</w:t>
      </w:r>
      <w:r w:rsidR="00A64B0E" w:rsidRPr="008605A5">
        <w:rPr>
          <w:rFonts w:ascii="Arial" w:hAnsi="Arial" w:cs="Arial"/>
          <w:sz w:val="20"/>
          <w:szCs w:val="20"/>
        </w:rPr>
        <w:t xml:space="preserve"> 2022 and</w:t>
      </w:r>
      <w:r w:rsidR="004018BD" w:rsidRPr="008605A5">
        <w:rPr>
          <w:rFonts w:ascii="Arial" w:hAnsi="Arial" w:cs="Arial"/>
          <w:sz w:val="20"/>
          <w:szCs w:val="20"/>
        </w:rPr>
        <w:t xml:space="preserve"> which</w:t>
      </w:r>
      <w:r w:rsidR="00A64B0E" w:rsidRPr="008605A5">
        <w:rPr>
          <w:rFonts w:ascii="Arial" w:hAnsi="Arial" w:cs="Arial"/>
          <w:sz w:val="20"/>
          <w:szCs w:val="20"/>
        </w:rPr>
        <w:t xml:space="preserve"> resulted in </w:t>
      </w:r>
      <w:r w:rsidR="004018BD" w:rsidRPr="008605A5">
        <w:rPr>
          <w:rFonts w:ascii="Arial" w:hAnsi="Arial" w:cs="Arial"/>
          <w:sz w:val="20"/>
          <w:szCs w:val="20"/>
        </w:rPr>
        <w:t xml:space="preserve">a </w:t>
      </w:r>
      <w:r w:rsidR="00A64B0E" w:rsidRPr="008605A5">
        <w:rPr>
          <w:rFonts w:ascii="Arial" w:hAnsi="Arial" w:cs="Arial"/>
          <w:sz w:val="20"/>
          <w:szCs w:val="20"/>
        </w:rPr>
        <w:t xml:space="preserve">lower revaluation </w:t>
      </w:r>
      <w:r w:rsidR="0055306B" w:rsidRPr="008605A5">
        <w:rPr>
          <w:rFonts w:ascii="Arial" w:hAnsi="Arial" w:cs="Arial"/>
          <w:sz w:val="20"/>
          <w:szCs w:val="20"/>
        </w:rPr>
        <w:t xml:space="preserve">of </w:t>
      </w:r>
      <w:r w:rsidRPr="008605A5">
        <w:rPr>
          <w:rFonts w:ascii="Arial" w:hAnsi="Arial" w:cs="Arial"/>
          <w:sz w:val="20"/>
          <w:szCs w:val="20"/>
        </w:rPr>
        <w:t>chicken meat</w:t>
      </w:r>
      <w:r w:rsidR="00FC7426" w:rsidRPr="008605A5">
        <w:rPr>
          <w:rFonts w:ascii="Arial" w:hAnsi="Arial" w:cs="Arial"/>
          <w:sz w:val="20"/>
          <w:szCs w:val="20"/>
        </w:rPr>
        <w:t xml:space="preserve"> held on stock</w:t>
      </w:r>
      <w:r w:rsidR="00E83CF3" w:rsidRPr="008605A5">
        <w:rPr>
          <w:rFonts w:ascii="Arial" w:hAnsi="Arial" w:cs="Arial"/>
          <w:sz w:val="20"/>
          <w:szCs w:val="20"/>
        </w:rPr>
        <w:t xml:space="preserve"> abroad</w:t>
      </w:r>
      <w:r w:rsidRPr="008605A5">
        <w:rPr>
          <w:rFonts w:ascii="Arial" w:hAnsi="Arial" w:cs="Arial"/>
          <w:sz w:val="20"/>
          <w:szCs w:val="20"/>
        </w:rPr>
        <w:t>.</w:t>
      </w:r>
    </w:p>
    <w:p w14:paraId="4AF8370E" w14:textId="07B2F932" w:rsidR="000F3B13" w:rsidRPr="00EC1E43" w:rsidRDefault="000F3B13" w:rsidP="000C1D3E">
      <w:pPr>
        <w:spacing w:before="120" w:after="120"/>
        <w:jc w:val="both"/>
        <w:rPr>
          <w:rFonts w:ascii="Arial" w:hAnsi="Arial" w:cs="Arial"/>
          <w:sz w:val="20"/>
          <w:szCs w:val="20"/>
        </w:rPr>
      </w:pPr>
      <w:r w:rsidRPr="0028670F">
        <w:rPr>
          <w:rFonts w:ascii="Arial" w:hAnsi="Arial" w:cs="Arial"/>
          <w:sz w:val="20"/>
          <w:szCs w:val="20"/>
        </w:rPr>
        <w:t xml:space="preserve">Gross profit </w:t>
      </w:r>
      <w:r w:rsidR="007B3C2C">
        <w:rPr>
          <w:rFonts w:ascii="Arial" w:hAnsi="Arial" w:cs="Arial"/>
          <w:sz w:val="20"/>
          <w:szCs w:val="20"/>
        </w:rPr>
        <w:t>for</w:t>
      </w:r>
      <w:r w:rsidR="007B3C2C" w:rsidRPr="0028670F">
        <w:rPr>
          <w:rFonts w:ascii="Arial" w:hAnsi="Arial" w:cs="Arial"/>
          <w:sz w:val="20"/>
          <w:szCs w:val="20"/>
        </w:rPr>
        <w:t xml:space="preserve"> </w:t>
      </w:r>
      <w:r w:rsidR="00D2118D" w:rsidRPr="0028670F">
        <w:rPr>
          <w:rFonts w:ascii="Arial" w:hAnsi="Arial" w:cs="Arial"/>
          <w:sz w:val="20"/>
          <w:szCs w:val="20"/>
        </w:rPr>
        <w:t>12</w:t>
      </w:r>
      <w:r w:rsidR="002B658D" w:rsidRPr="0028670F">
        <w:rPr>
          <w:rFonts w:ascii="Arial" w:hAnsi="Arial" w:cs="Arial"/>
          <w:sz w:val="20"/>
          <w:szCs w:val="20"/>
        </w:rPr>
        <w:t>M</w:t>
      </w:r>
      <w:r w:rsidRPr="0028670F">
        <w:rPr>
          <w:rFonts w:ascii="Arial" w:hAnsi="Arial" w:cs="Arial"/>
          <w:sz w:val="20"/>
          <w:szCs w:val="20"/>
        </w:rPr>
        <w:t xml:space="preserve"> </w:t>
      </w:r>
      <w:r w:rsidR="00E22622" w:rsidRPr="0028670F">
        <w:rPr>
          <w:rFonts w:ascii="Arial" w:hAnsi="Arial" w:cs="Arial"/>
          <w:sz w:val="20"/>
          <w:szCs w:val="20"/>
        </w:rPr>
        <w:t>2022</w:t>
      </w:r>
      <w:r w:rsidRPr="0028670F">
        <w:rPr>
          <w:rFonts w:ascii="Arial" w:hAnsi="Arial" w:cs="Arial"/>
          <w:sz w:val="20"/>
          <w:szCs w:val="20"/>
        </w:rPr>
        <w:t xml:space="preserve"> </w:t>
      </w:r>
      <w:r w:rsidR="00ED15DF" w:rsidRPr="0028670F">
        <w:rPr>
          <w:rFonts w:ascii="Arial" w:hAnsi="Arial" w:cs="Arial"/>
          <w:sz w:val="20"/>
          <w:szCs w:val="20"/>
        </w:rPr>
        <w:t xml:space="preserve">increased </w:t>
      </w:r>
      <w:r w:rsidRPr="0028670F">
        <w:rPr>
          <w:rFonts w:ascii="Arial" w:hAnsi="Arial" w:cs="Arial"/>
          <w:sz w:val="20"/>
          <w:szCs w:val="20"/>
        </w:rPr>
        <w:t xml:space="preserve">by </w:t>
      </w:r>
      <w:r w:rsidR="00DB5AAE" w:rsidRPr="000D120B">
        <w:rPr>
          <w:rFonts w:ascii="Arial" w:hAnsi="Arial" w:cs="Arial"/>
          <w:sz w:val="20"/>
          <w:szCs w:val="20"/>
        </w:rPr>
        <w:t>32%</w:t>
      </w:r>
      <w:r w:rsidRPr="0028670F">
        <w:rPr>
          <w:rFonts w:ascii="Arial" w:hAnsi="Arial" w:cs="Arial"/>
          <w:sz w:val="20"/>
          <w:szCs w:val="20"/>
        </w:rPr>
        <w:t xml:space="preserve"> </w:t>
      </w:r>
      <w:r w:rsidR="00673D71" w:rsidRPr="0028670F">
        <w:rPr>
          <w:rFonts w:ascii="Arial" w:hAnsi="Arial" w:cs="Arial"/>
          <w:sz w:val="20"/>
          <w:szCs w:val="20"/>
        </w:rPr>
        <w:t>y/y</w:t>
      </w:r>
      <w:r w:rsidRPr="0028670F">
        <w:rPr>
          <w:rFonts w:ascii="Arial" w:hAnsi="Arial" w:cs="Arial"/>
          <w:sz w:val="20"/>
          <w:szCs w:val="20"/>
        </w:rPr>
        <w:t xml:space="preserve"> to US$</w:t>
      </w:r>
      <w:r w:rsidR="008605A5">
        <w:rPr>
          <w:rFonts w:ascii="Arial" w:hAnsi="Arial" w:cs="Arial"/>
          <w:sz w:val="20"/>
          <w:szCs w:val="20"/>
          <w:lang w:val="uk-UA"/>
        </w:rPr>
        <w:t xml:space="preserve"> </w:t>
      </w:r>
      <w:r w:rsidR="00DB5AAE" w:rsidRPr="000D120B">
        <w:rPr>
          <w:rFonts w:ascii="Arial" w:hAnsi="Arial" w:cs="Arial"/>
          <w:sz w:val="20"/>
          <w:szCs w:val="20"/>
        </w:rPr>
        <w:t>375</w:t>
      </w:r>
      <w:r w:rsidR="00036F40" w:rsidRPr="0028670F">
        <w:rPr>
          <w:rFonts w:ascii="Arial" w:hAnsi="Arial" w:cs="Arial"/>
          <w:sz w:val="20"/>
          <w:szCs w:val="20"/>
        </w:rPr>
        <w:t xml:space="preserve"> </w:t>
      </w:r>
      <w:r w:rsidRPr="0028670F">
        <w:rPr>
          <w:rFonts w:ascii="Arial" w:hAnsi="Arial" w:cs="Arial"/>
          <w:sz w:val="20"/>
          <w:szCs w:val="20"/>
        </w:rPr>
        <w:t>million</w:t>
      </w:r>
      <w:r w:rsidR="0055306B" w:rsidRPr="0028670F">
        <w:rPr>
          <w:rFonts w:ascii="Arial" w:hAnsi="Arial" w:cs="Arial"/>
          <w:sz w:val="20"/>
          <w:szCs w:val="20"/>
        </w:rPr>
        <w:t xml:space="preserve">. </w:t>
      </w:r>
      <w:r w:rsidR="00223D11" w:rsidRPr="0028670F">
        <w:rPr>
          <w:rFonts w:ascii="Arial" w:hAnsi="Arial" w:cs="Arial"/>
          <w:sz w:val="20"/>
          <w:szCs w:val="20"/>
        </w:rPr>
        <w:t>The increase was mainly driven by</w:t>
      </w:r>
      <w:r w:rsidR="007B3C2C">
        <w:rPr>
          <w:rFonts w:ascii="Arial" w:hAnsi="Arial" w:cs="Arial"/>
          <w:sz w:val="20"/>
          <w:szCs w:val="20"/>
        </w:rPr>
        <w:t xml:space="preserve"> an</w:t>
      </w:r>
      <w:r w:rsidR="00223D11" w:rsidRPr="0028670F">
        <w:rPr>
          <w:rFonts w:ascii="Arial" w:hAnsi="Arial" w:cs="Arial"/>
          <w:sz w:val="20"/>
          <w:szCs w:val="20"/>
        </w:rPr>
        <w:t xml:space="preserve"> </w:t>
      </w:r>
      <w:r w:rsidR="00452C21" w:rsidRPr="0028670F">
        <w:rPr>
          <w:rFonts w:ascii="Arial" w:hAnsi="Arial" w:cs="Arial"/>
          <w:sz w:val="20"/>
          <w:szCs w:val="20"/>
        </w:rPr>
        <w:t>increase in</w:t>
      </w:r>
      <w:r w:rsidR="007B3C2C">
        <w:rPr>
          <w:rFonts w:ascii="Arial" w:hAnsi="Arial" w:cs="Arial"/>
          <w:sz w:val="20"/>
          <w:szCs w:val="20"/>
        </w:rPr>
        <w:t xml:space="preserve"> the</w:t>
      </w:r>
      <w:r w:rsidR="00452C21" w:rsidRPr="0028670F">
        <w:rPr>
          <w:rFonts w:ascii="Arial" w:hAnsi="Arial" w:cs="Arial"/>
          <w:sz w:val="20"/>
          <w:szCs w:val="20"/>
        </w:rPr>
        <w:t xml:space="preserve"> price of chicken meat and</w:t>
      </w:r>
      <w:r w:rsidR="007B3C2C">
        <w:rPr>
          <w:rFonts w:ascii="Arial" w:hAnsi="Arial" w:cs="Arial"/>
          <w:sz w:val="20"/>
          <w:szCs w:val="20"/>
        </w:rPr>
        <w:t xml:space="preserve"> a</w:t>
      </w:r>
      <w:r w:rsidR="00452C21" w:rsidRPr="0028670F">
        <w:rPr>
          <w:rFonts w:ascii="Arial" w:hAnsi="Arial" w:cs="Arial"/>
          <w:sz w:val="20"/>
          <w:szCs w:val="20"/>
        </w:rPr>
        <w:t xml:space="preserve"> higher sales volume</w:t>
      </w:r>
      <w:r w:rsidR="0090647A" w:rsidRPr="0028670F">
        <w:rPr>
          <w:rFonts w:ascii="Arial" w:hAnsi="Arial" w:cs="Arial"/>
          <w:sz w:val="20"/>
          <w:szCs w:val="20"/>
        </w:rPr>
        <w:t xml:space="preserve"> and price</w:t>
      </w:r>
      <w:r w:rsidR="00452C21" w:rsidRPr="0028670F">
        <w:rPr>
          <w:rFonts w:ascii="Arial" w:hAnsi="Arial" w:cs="Arial"/>
          <w:sz w:val="20"/>
          <w:szCs w:val="20"/>
        </w:rPr>
        <w:t xml:space="preserve"> of sunflower oil</w:t>
      </w:r>
      <w:r w:rsidR="00223D11" w:rsidRPr="00EC1E43">
        <w:rPr>
          <w:rFonts w:ascii="Arial" w:hAnsi="Arial" w:cs="Arial"/>
          <w:sz w:val="20"/>
          <w:szCs w:val="20"/>
        </w:rPr>
        <w:t>.</w:t>
      </w:r>
    </w:p>
    <w:p w14:paraId="3FA251EC" w14:textId="403FEE7F" w:rsidR="004250E2" w:rsidRPr="000D120B" w:rsidRDefault="009F26CA" w:rsidP="000C1D3E">
      <w:pPr>
        <w:spacing w:before="120" w:after="120"/>
        <w:jc w:val="both"/>
        <w:rPr>
          <w:rFonts w:ascii="Arial" w:hAnsi="Arial" w:cs="Arial"/>
          <w:sz w:val="20"/>
          <w:szCs w:val="20"/>
          <w:lang w:val="uk-UA"/>
        </w:rPr>
      </w:pPr>
      <w:r w:rsidRPr="00EC1E43">
        <w:rPr>
          <w:rFonts w:ascii="Arial" w:hAnsi="Arial" w:cs="Arial"/>
          <w:sz w:val="20"/>
          <w:szCs w:val="20"/>
        </w:rPr>
        <w:t xml:space="preserve">In </w:t>
      </w:r>
      <w:r w:rsidR="00D2118D" w:rsidRPr="00EC1E43">
        <w:rPr>
          <w:rFonts w:ascii="Arial" w:hAnsi="Arial" w:cs="Arial"/>
          <w:sz w:val="20"/>
          <w:szCs w:val="20"/>
        </w:rPr>
        <w:t>12</w:t>
      </w:r>
      <w:r w:rsidR="002B658D" w:rsidRPr="00EC1E43">
        <w:rPr>
          <w:rFonts w:ascii="Arial" w:hAnsi="Arial" w:cs="Arial"/>
          <w:sz w:val="20"/>
          <w:szCs w:val="20"/>
        </w:rPr>
        <w:t>M</w:t>
      </w:r>
      <w:r w:rsidR="00B44A4B" w:rsidRPr="00EC1E43">
        <w:rPr>
          <w:rFonts w:ascii="Arial" w:hAnsi="Arial" w:cs="Arial"/>
          <w:sz w:val="20"/>
          <w:szCs w:val="20"/>
        </w:rPr>
        <w:t xml:space="preserve"> </w:t>
      </w:r>
      <w:r w:rsidR="00E22622" w:rsidRPr="00EC1E43">
        <w:rPr>
          <w:rFonts w:ascii="Arial" w:hAnsi="Arial" w:cs="Arial"/>
          <w:sz w:val="20"/>
          <w:szCs w:val="20"/>
        </w:rPr>
        <w:t>2022</w:t>
      </w:r>
      <w:r w:rsidRPr="00EC1E43">
        <w:rPr>
          <w:rFonts w:ascii="Arial" w:hAnsi="Arial" w:cs="Arial"/>
          <w:sz w:val="20"/>
          <w:szCs w:val="20"/>
        </w:rPr>
        <w:t xml:space="preserve">, adjusted </w:t>
      </w:r>
      <w:r w:rsidR="00976531" w:rsidRPr="00EC1E43">
        <w:rPr>
          <w:rFonts w:ascii="Arial" w:hAnsi="Arial" w:cs="Arial"/>
          <w:sz w:val="20"/>
          <w:szCs w:val="20"/>
        </w:rPr>
        <w:t xml:space="preserve">EBITDA </w:t>
      </w:r>
      <w:r w:rsidR="0098660B" w:rsidRPr="00EC1E43">
        <w:rPr>
          <w:rFonts w:ascii="Arial" w:hAnsi="Arial" w:cs="Arial"/>
          <w:sz w:val="20"/>
          <w:szCs w:val="20"/>
        </w:rPr>
        <w:t xml:space="preserve">remained </w:t>
      </w:r>
      <w:r w:rsidR="001968EC" w:rsidRPr="00EC1E43">
        <w:rPr>
          <w:rFonts w:ascii="Arial" w:hAnsi="Arial" w:cs="Arial"/>
          <w:sz w:val="20"/>
          <w:szCs w:val="20"/>
        </w:rPr>
        <w:t>unchanged</w:t>
      </w:r>
      <w:r w:rsidR="0098660B" w:rsidRPr="00EC1E43">
        <w:rPr>
          <w:rFonts w:ascii="Arial" w:hAnsi="Arial" w:cs="Arial"/>
          <w:sz w:val="20"/>
          <w:szCs w:val="20"/>
        </w:rPr>
        <w:t xml:space="preserve"> y/y</w:t>
      </w:r>
      <w:r w:rsidR="00A6426A" w:rsidRPr="00EC1E43">
        <w:rPr>
          <w:rFonts w:ascii="Arial" w:hAnsi="Arial" w:cs="Arial"/>
          <w:sz w:val="20"/>
          <w:szCs w:val="20"/>
        </w:rPr>
        <w:t xml:space="preserve">, </w:t>
      </w:r>
      <w:r w:rsidR="004111FA" w:rsidRPr="00EC1E43">
        <w:rPr>
          <w:rFonts w:ascii="Arial" w:hAnsi="Arial" w:cs="Arial"/>
          <w:sz w:val="20"/>
          <w:szCs w:val="20"/>
        </w:rPr>
        <w:t xml:space="preserve">mainly </w:t>
      </w:r>
      <w:r w:rsidR="007B3C2C">
        <w:rPr>
          <w:rFonts w:ascii="Arial" w:hAnsi="Arial" w:cs="Arial"/>
          <w:sz w:val="20"/>
          <w:szCs w:val="20"/>
        </w:rPr>
        <w:t>due to the impact of</w:t>
      </w:r>
      <w:r w:rsidR="004111FA" w:rsidRPr="00EC1E43">
        <w:rPr>
          <w:rFonts w:ascii="Arial" w:hAnsi="Arial" w:cs="Arial"/>
          <w:sz w:val="20"/>
          <w:szCs w:val="20"/>
        </w:rPr>
        <w:t xml:space="preserve"> </w:t>
      </w:r>
      <w:r w:rsidR="007B3C2C">
        <w:rPr>
          <w:rFonts w:ascii="Arial" w:hAnsi="Arial" w:cs="Arial"/>
          <w:sz w:val="20"/>
          <w:szCs w:val="20"/>
        </w:rPr>
        <w:t>W</w:t>
      </w:r>
      <w:r w:rsidR="001735C2" w:rsidRPr="00EC1E43">
        <w:rPr>
          <w:rFonts w:ascii="Arial" w:hAnsi="Arial" w:cs="Arial"/>
          <w:sz w:val="20"/>
          <w:szCs w:val="20"/>
        </w:rPr>
        <w:t>ar-related expenses</w:t>
      </w:r>
      <w:r w:rsidR="004111FA" w:rsidRPr="00EC1E43">
        <w:rPr>
          <w:rFonts w:ascii="Arial" w:hAnsi="Arial" w:cs="Arial"/>
          <w:sz w:val="20"/>
          <w:szCs w:val="20"/>
        </w:rPr>
        <w:t xml:space="preserve"> (</w:t>
      </w:r>
      <w:r w:rsidR="00223D11" w:rsidRPr="00EC1E43">
        <w:rPr>
          <w:rFonts w:ascii="Arial" w:hAnsi="Arial" w:cs="Arial"/>
          <w:sz w:val="20"/>
          <w:szCs w:val="20"/>
        </w:rPr>
        <w:t xml:space="preserve">including </w:t>
      </w:r>
      <w:r w:rsidR="004111FA" w:rsidRPr="00EC1E43">
        <w:rPr>
          <w:rFonts w:ascii="Arial" w:hAnsi="Arial" w:cs="Arial"/>
          <w:sz w:val="20"/>
          <w:szCs w:val="20"/>
        </w:rPr>
        <w:t>donations, damages</w:t>
      </w:r>
      <w:r w:rsidR="00666ECA" w:rsidRPr="00EC1E43">
        <w:rPr>
          <w:rFonts w:ascii="Arial" w:hAnsi="Arial" w:cs="Arial"/>
          <w:sz w:val="20"/>
          <w:szCs w:val="20"/>
        </w:rPr>
        <w:t xml:space="preserve"> and asset</w:t>
      </w:r>
      <w:r w:rsidR="004111FA" w:rsidRPr="00EC1E43">
        <w:rPr>
          <w:rFonts w:ascii="Arial" w:hAnsi="Arial" w:cs="Arial"/>
          <w:sz w:val="20"/>
          <w:szCs w:val="20"/>
        </w:rPr>
        <w:t xml:space="preserve"> write-offs)</w:t>
      </w:r>
      <w:r w:rsidR="001968EC" w:rsidRPr="00EC1E43">
        <w:rPr>
          <w:rFonts w:ascii="Arial" w:hAnsi="Arial" w:cs="Arial"/>
          <w:sz w:val="20"/>
          <w:szCs w:val="20"/>
        </w:rPr>
        <w:t xml:space="preserve"> which offset </w:t>
      </w:r>
      <w:r w:rsidR="007B3C2C">
        <w:rPr>
          <w:rFonts w:ascii="Arial" w:hAnsi="Arial" w:cs="Arial"/>
          <w:sz w:val="20"/>
          <w:szCs w:val="20"/>
        </w:rPr>
        <w:t>the</w:t>
      </w:r>
      <w:r w:rsidR="007B3C2C" w:rsidRPr="00EC1E43">
        <w:rPr>
          <w:rFonts w:ascii="Arial" w:hAnsi="Arial" w:cs="Arial"/>
          <w:sz w:val="20"/>
          <w:szCs w:val="20"/>
        </w:rPr>
        <w:t xml:space="preserve"> </w:t>
      </w:r>
      <w:r w:rsidR="001968EC" w:rsidRPr="00EC1E43">
        <w:rPr>
          <w:rFonts w:ascii="Arial" w:hAnsi="Arial" w:cs="Arial"/>
          <w:sz w:val="20"/>
          <w:szCs w:val="20"/>
        </w:rPr>
        <w:t>price increase</w:t>
      </w:r>
      <w:r w:rsidR="007B3C2C">
        <w:rPr>
          <w:rFonts w:ascii="Arial" w:hAnsi="Arial" w:cs="Arial"/>
          <w:sz w:val="20"/>
          <w:szCs w:val="20"/>
        </w:rPr>
        <w:t>s</w:t>
      </w:r>
      <w:r w:rsidR="001968EC" w:rsidRPr="00EC1E43">
        <w:rPr>
          <w:rFonts w:ascii="Arial" w:hAnsi="Arial" w:cs="Arial"/>
          <w:sz w:val="20"/>
          <w:szCs w:val="20"/>
        </w:rPr>
        <w:t xml:space="preserve"> </w:t>
      </w:r>
      <w:r w:rsidR="007B3C2C">
        <w:rPr>
          <w:rFonts w:ascii="Arial" w:hAnsi="Arial" w:cs="Arial"/>
          <w:sz w:val="20"/>
          <w:szCs w:val="20"/>
        </w:rPr>
        <w:t>in</w:t>
      </w:r>
      <w:r w:rsidR="007B3C2C" w:rsidRPr="00EC1E43">
        <w:rPr>
          <w:rFonts w:ascii="Arial" w:hAnsi="Arial" w:cs="Arial"/>
          <w:sz w:val="20"/>
          <w:szCs w:val="20"/>
        </w:rPr>
        <w:t xml:space="preserve"> </w:t>
      </w:r>
      <w:r w:rsidR="001968EC" w:rsidRPr="00EC1E43">
        <w:rPr>
          <w:rFonts w:ascii="Arial" w:hAnsi="Arial" w:cs="Arial"/>
          <w:sz w:val="20"/>
          <w:szCs w:val="20"/>
        </w:rPr>
        <w:t>export markets.</w:t>
      </w:r>
      <w:r w:rsidR="009269FA">
        <w:rPr>
          <w:rFonts w:ascii="Arial" w:hAnsi="Arial" w:cs="Arial"/>
          <w:sz w:val="20"/>
          <w:szCs w:val="20"/>
          <w:lang w:val="uk-UA"/>
        </w:rPr>
        <w:t xml:space="preserve"> </w:t>
      </w:r>
      <w:r w:rsidR="009269FA" w:rsidRPr="00B46DB3">
        <w:rPr>
          <w:rFonts w:ascii="Arial" w:hAnsi="Arial" w:cs="Arial"/>
          <w:sz w:val="20"/>
          <w:szCs w:val="20"/>
        </w:rPr>
        <w:t xml:space="preserve">The increase in </w:t>
      </w:r>
      <w:r w:rsidR="009269FA">
        <w:rPr>
          <w:rFonts w:ascii="Arial" w:hAnsi="Arial" w:cs="Arial"/>
          <w:sz w:val="20"/>
          <w:szCs w:val="20"/>
        </w:rPr>
        <w:t>A</w:t>
      </w:r>
      <w:r w:rsidR="009269FA" w:rsidRPr="00B46DB3">
        <w:rPr>
          <w:rFonts w:ascii="Arial" w:hAnsi="Arial" w:cs="Arial"/>
          <w:sz w:val="20"/>
          <w:szCs w:val="20"/>
        </w:rPr>
        <w:t>djusted EBITDA in Q4 2022 compared to the same period last year</w:t>
      </w:r>
      <w:r w:rsidR="009269FA">
        <w:rPr>
          <w:rFonts w:ascii="Arial" w:hAnsi="Arial" w:cs="Arial"/>
          <w:sz w:val="20"/>
          <w:szCs w:val="20"/>
        </w:rPr>
        <w:t xml:space="preserve"> is</w:t>
      </w:r>
      <w:r w:rsidR="009269FA" w:rsidRPr="00B46DB3">
        <w:rPr>
          <w:rFonts w:ascii="Arial" w:hAnsi="Arial" w:cs="Arial"/>
          <w:sz w:val="20"/>
          <w:szCs w:val="20"/>
        </w:rPr>
        <w:t xml:space="preserve"> mainly related to the increase</w:t>
      </w:r>
      <w:r w:rsidR="009269FA">
        <w:rPr>
          <w:rFonts w:ascii="Arial" w:hAnsi="Arial" w:cs="Arial"/>
          <w:sz w:val="20"/>
          <w:szCs w:val="20"/>
        </w:rPr>
        <w:t>d</w:t>
      </w:r>
      <w:r w:rsidR="009269FA" w:rsidRPr="00B46DB3">
        <w:rPr>
          <w:rFonts w:ascii="Arial" w:hAnsi="Arial" w:cs="Arial"/>
          <w:sz w:val="20"/>
          <w:szCs w:val="20"/>
        </w:rPr>
        <w:t xml:space="preserve"> export price and sales volume</w:t>
      </w:r>
      <w:r w:rsidR="009269FA">
        <w:rPr>
          <w:rFonts w:ascii="Arial" w:hAnsi="Arial" w:cs="Arial"/>
          <w:sz w:val="20"/>
          <w:szCs w:val="20"/>
        </w:rPr>
        <w:t>s</w:t>
      </w:r>
      <w:r w:rsidR="009269FA" w:rsidRPr="00B46DB3">
        <w:rPr>
          <w:rFonts w:ascii="Arial" w:hAnsi="Arial" w:cs="Arial"/>
          <w:sz w:val="20"/>
          <w:szCs w:val="20"/>
        </w:rPr>
        <w:t>.</w:t>
      </w:r>
    </w:p>
    <w:p w14:paraId="099FC3E6" w14:textId="77777777" w:rsidR="00C331C7" w:rsidRPr="004C7A68" w:rsidRDefault="00C331C7" w:rsidP="000C1D3E">
      <w:pPr>
        <w:spacing w:before="120" w:after="120"/>
        <w:jc w:val="both"/>
        <w:rPr>
          <w:rFonts w:ascii="Arial" w:hAnsi="Arial" w:cs="Arial"/>
          <w:b/>
          <w:sz w:val="20"/>
          <w:szCs w:val="20"/>
          <w:highlight w:val="yellow"/>
        </w:rPr>
      </w:pPr>
      <w:bookmarkStart w:id="5" w:name="OLE_LINK1"/>
      <w:bookmarkStart w:id="6" w:name="OLE_LINK2"/>
    </w:p>
    <w:p w14:paraId="7CB82727" w14:textId="14055A66" w:rsidR="00673D71" w:rsidRPr="005C7B7D" w:rsidRDefault="00064F6B" w:rsidP="000C1D3E">
      <w:pPr>
        <w:spacing w:before="120" w:after="120"/>
        <w:jc w:val="both"/>
        <w:rPr>
          <w:rFonts w:ascii="Arial" w:hAnsi="Arial" w:cs="Arial"/>
          <w:b/>
          <w:sz w:val="20"/>
          <w:szCs w:val="20"/>
        </w:rPr>
      </w:pPr>
      <w:r w:rsidRPr="005C7B7D">
        <w:rPr>
          <w:rFonts w:ascii="Arial" w:hAnsi="Arial" w:cs="Arial"/>
          <w:b/>
          <w:sz w:val="20"/>
          <w:szCs w:val="20"/>
        </w:rPr>
        <w:t xml:space="preserve">Grain </w:t>
      </w:r>
      <w:r w:rsidR="0077789E">
        <w:rPr>
          <w:rFonts w:ascii="Arial" w:hAnsi="Arial" w:cs="Arial"/>
          <w:b/>
          <w:sz w:val="20"/>
          <w:szCs w:val="20"/>
        </w:rPr>
        <w:t>G</w:t>
      </w:r>
      <w:r w:rsidRPr="005C7B7D">
        <w:rPr>
          <w:rFonts w:ascii="Arial" w:hAnsi="Arial" w:cs="Arial"/>
          <w:b/>
          <w:sz w:val="20"/>
          <w:szCs w:val="20"/>
        </w:rPr>
        <w:t xml:space="preserve">rowing </w:t>
      </w:r>
      <w:r w:rsidR="0077789E">
        <w:rPr>
          <w:rFonts w:ascii="Arial" w:hAnsi="Arial" w:cs="Arial"/>
          <w:b/>
          <w:sz w:val="20"/>
          <w:szCs w:val="20"/>
        </w:rPr>
        <w:t>Segment</w:t>
      </w:r>
    </w:p>
    <w:p w14:paraId="0FA263D9" w14:textId="3B0C28B6" w:rsidR="00BF1F69" w:rsidRPr="000F0228" w:rsidRDefault="00BF1F69" w:rsidP="00BF1F69">
      <w:pPr>
        <w:autoSpaceDE w:val="0"/>
        <w:spacing w:before="120" w:after="120"/>
        <w:jc w:val="both"/>
        <w:rPr>
          <w:rFonts w:ascii="Arial" w:hAnsi="Arial" w:cs="Arial"/>
          <w:color w:val="000000" w:themeColor="text1"/>
          <w:sz w:val="20"/>
          <w:szCs w:val="20"/>
        </w:rPr>
      </w:pPr>
      <w:r w:rsidRPr="000F0228">
        <w:rPr>
          <w:rFonts w:ascii="Arial" w:hAnsi="Arial" w:cs="Arial"/>
          <w:color w:val="000000" w:themeColor="text1"/>
          <w:sz w:val="20"/>
          <w:szCs w:val="20"/>
        </w:rPr>
        <w:t>In 2022 MHP harvested around 34</w:t>
      </w:r>
      <w:r w:rsidR="0085621F">
        <w:rPr>
          <w:rFonts w:ascii="Arial" w:hAnsi="Arial" w:cs="Arial"/>
          <w:color w:val="000000" w:themeColor="text1"/>
          <w:sz w:val="20"/>
          <w:szCs w:val="20"/>
          <w:lang w:val="uk-UA"/>
        </w:rPr>
        <w:t>1</w:t>
      </w:r>
      <w:r w:rsidRPr="000F0228">
        <w:rPr>
          <w:rFonts w:ascii="Arial" w:hAnsi="Arial" w:cs="Arial"/>
          <w:color w:val="000000" w:themeColor="text1"/>
          <w:sz w:val="20"/>
          <w:szCs w:val="20"/>
        </w:rPr>
        <w:t>,000 hectares of land in Ukraine and gathered around 1.9 million </w:t>
      </w:r>
      <w:proofErr w:type="spellStart"/>
      <w:r w:rsidRPr="000F0228">
        <w:rPr>
          <w:rFonts w:ascii="Arial" w:hAnsi="Arial" w:cs="Arial"/>
          <w:color w:val="000000" w:themeColor="text1"/>
          <w:sz w:val="20"/>
          <w:szCs w:val="20"/>
        </w:rPr>
        <w:t>tonnes</w:t>
      </w:r>
      <w:proofErr w:type="spellEnd"/>
      <w:r w:rsidRPr="000F0228">
        <w:rPr>
          <w:rFonts w:ascii="Arial" w:hAnsi="Arial" w:cs="Arial"/>
          <w:color w:val="000000" w:themeColor="text1"/>
          <w:sz w:val="20"/>
          <w:szCs w:val="20"/>
        </w:rPr>
        <w:t xml:space="preserve"> of crops, </w:t>
      </w:r>
      <w:r w:rsidR="00DB5AAE" w:rsidRPr="000D120B">
        <w:rPr>
          <w:rFonts w:ascii="Arial" w:hAnsi="Arial" w:cs="Arial"/>
          <w:sz w:val="20"/>
          <w:szCs w:val="20"/>
        </w:rPr>
        <w:t>26%</w:t>
      </w:r>
      <w:r w:rsidRPr="000F0228">
        <w:rPr>
          <w:rFonts w:ascii="Arial" w:hAnsi="Arial" w:cs="Arial"/>
          <w:color w:val="000000" w:themeColor="text1"/>
          <w:sz w:val="20"/>
          <w:szCs w:val="20"/>
        </w:rPr>
        <w:t xml:space="preserve"> less than </w:t>
      </w:r>
      <w:r w:rsidR="00A9067D">
        <w:rPr>
          <w:rFonts w:ascii="Arial" w:hAnsi="Arial" w:cs="Arial"/>
          <w:color w:val="000000" w:themeColor="text1"/>
          <w:sz w:val="20"/>
          <w:szCs w:val="20"/>
        </w:rPr>
        <w:t xml:space="preserve">in </w:t>
      </w:r>
      <w:r w:rsidRPr="000F0228">
        <w:rPr>
          <w:rFonts w:ascii="Arial" w:hAnsi="Arial" w:cs="Arial"/>
          <w:color w:val="000000" w:themeColor="text1"/>
          <w:sz w:val="20"/>
          <w:szCs w:val="20"/>
        </w:rPr>
        <w:t>2021</w:t>
      </w:r>
      <w:r w:rsidR="00A9067D">
        <w:rPr>
          <w:rFonts w:ascii="Arial" w:hAnsi="Arial" w:cs="Arial"/>
          <w:color w:val="000000" w:themeColor="text1"/>
          <w:sz w:val="20"/>
          <w:szCs w:val="20"/>
        </w:rPr>
        <w:t>,</w:t>
      </w:r>
      <w:r w:rsidRPr="000F0228">
        <w:rPr>
          <w:rFonts w:ascii="Arial" w:hAnsi="Arial" w:cs="Arial"/>
          <w:color w:val="000000" w:themeColor="text1"/>
          <w:sz w:val="20"/>
          <w:szCs w:val="20"/>
        </w:rPr>
        <w:t xml:space="preserve"> mainly due to </w:t>
      </w:r>
      <w:r w:rsidR="00082CDB" w:rsidRPr="00082CDB">
        <w:rPr>
          <w:rFonts w:ascii="Arial" w:hAnsi="Arial" w:cs="Arial"/>
          <w:color w:val="000000" w:themeColor="text1"/>
          <w:sz w:val="20"/>
          <w:szCs w:val="20"/>
        </w:rPr>
        <w:t xml:space="preserve">unfavorable weather condition during </w:t>
      </w:r>
      <w:r w:rsidR="00A9067D">
        <w:rPr>
          <w:rFonts w:ascii="Arial" w:hAnsi="Arial" w:cs="Arial"/>
          <w:color w:val="000000" w:themeColor="text1"/>
          <w:sz w:val="20"/>
          <w:szCs w:val="20"/>
        </w:rPr>
        <w:t xml:space="preserve">the </w:t>
      </w:r>
      <w:r w:rsidR="00082CDB" w:rsidRPr="00082CDB">
        <w:rPr>
          <w:rFonts w:ascii="Arial" w:hAnsi="Arial" w:cs="Arial"/>
          <w:color w:val="000000" w:themeColor="text1"/>
          <w:sz w:val="20"/>
          <w:szCs w:val="20"/>
        </w:rPr>
        <w:t>summer and</w:t>
      </w:r>
      <w:r w:rsidR="00A9067D">
        <w:rPr>
          <w:rFonts w:ascii="Arial" w:hAnsi="Arial" w:cs="Arial"/>
          <w:color w:val="000000" w:themeColor="text1"/>
          <w:sz w:val="20"/>
          <w:szCs w:val="20"/>
        </w:rPr>
        <w:t xml:space="preserve"> the</w:t>
      </w:r>
      <w:r w:rsidR="00082CDB" w:rsidRPr="00082CDB">
        <w:rPr>
          <w:rFonts w:ascii="Arial" w:hAnsi="Arial" w:cs="Arial"/>
          <w:color w:val="000000" w:themeColor="text1"/>
          <w:sz w:val="20"/>
          <w:szCs w:val="20"/>
        </w:rPr>
        <w:t xml:space="preserve"> harvesting season in autumn</w:t>
      </w:r>
      <w:r w:rsidRPr="000F0228">
        <w:rPr>
          <w:rFonts w:ascii="Arial" w:hAnsi="Arial" w:cs="Arial"/>
          <w:color w:val="000000" w:themeColor="text1"/>
          <w:sz w:val="20"/>
          <w:szCs w:val="20"/>
        </w:rPr>
        <w:t>. MHP’s average yields remain well above the average for Ukraine for all crops due to operational efficiency and employment of best practices.</w:t>
      </w:r>
    </w:p>
    <w:p w14:paraId="13593970" w14:textId="713F333C" w:rsidR="005A2F31" w:rsidRDefault="005A2F31" w:rsidP="00BF1F69">
      <w:pPr>
        <w:autoSpaceDE w:val="0"/>
        <w:spacing w:before="120" w:after="120"/>
        <w:jc w:val="both"/>
        <w:rPr>
          <w:rFonts w:ascii="Arial" w:hAnsi="Arial" w:cs="Arial"/>
          <w:b/>
          <w:bCs/>
          <w:color w:val="000000" w:themeColor="text1"/>
          <w:sz w:val="20"/>
          <w:szCs w:val="20"/>
        </w:rPr>
      </w:pPr>
    </w:p>
    <w:p w14:paraId="209D85D3" w14:textId="77777777" w:rsidR="005A2F31" w:rsidRDefault="005A2F31" w:rsidP="00BF1F69">
      <w:pPr>
        <w:autoSpaceDE w:val="0"/>
        <w:spacing w:before="120" w:after="120"/>
        <w:jc w:val="both"/>
        <w:rPr>
          <w:rFonts w:ascii="Arial" w:hAnsi="Arial" w:cs="Arial"/>
          <w:b/>
          <w:bCs/>
          <w:color w:val="000000" w:themeColor="text1"/>
          <w:sz w:val="20"/>
          <w:szCs w:val="20"/>
        </w:rPr>
      </w:pPr>
    </w:p>
    <w:p w14:paraId="15E619E5" w14:textId="6C70938D" w:rsidR="00BF1F69" w:rsidRPr="007E6E13" w:rsidRDefault="00A9067D" w:rsidP="00BF1F69">
      <w:pPr>
        <w:autoSpaceDE w:val="0"/>
        <w:spacing w:before="120" w:after="120"/>
        <w:jc w:val="both"/>
        <w:rPr>
          <w:rFonts w:ascii="Arial" w:hAnsi="Arial" w:cs="Arial"/>
          <w:color w:val="000000" w:themeColor="text1"/>
          <w:sz w:val="20"/>
          <w:szCs w:val="20"/>
        </w:rPr>
      </w:pPr>
      <w:r w:rsidRPr="004343DD">
        <w:rPr>
          <w:rFonts w:ascii="Arial" w:hAnsi="Arial" w:cs="Arial"/>
          <w:b/>
          <w:bCs/>
          <w:color w:val="000000" w:themeColor="text1"/>
          <w:sz w:val="20"/>
          <w:szCs w:val="20"/>
        </w:rPr>
        <w:lastRenderedPageBreak/>
        <w:t>Harvest results</w:t>
      </w:r>
    </w:p>
    <w:tbl>
      <w:tblPr>
        <w:tblW w:w="5000" w:type="pct"/>
        <w:tblLayout w:type="fixed"/>
        <w:tblLook w:val="04A0" w:firstRow="1" w:lastRow="0" w:firstColumn="1" w:lastColumn="0" w:noHBand="0" w:noVBand="1"/>
      </w:tblPr>
      <w:tblGrid>
        <w:gridCol w:w="2510"/>
        <w:gridCol w:w="2117"/>
        <w:gridCol w:w="1747"/>
        <w:gridCol w:w="501"/>
        <w:gridCol w:w="1738"/>
        <w:gridCol w:w="1734"/>
      </w:tblGrid>
      <w:tr w:rsidR="00BF1F69" w:rsidRPr="000F0228" w14:paraId="3F6B428F" w14:textId="77777777" w:rsidTr="000F0228">
        <w:trPr>
          <w:trHeight w:val="300"/>
        </w:trPr>
        <w:tc>
          <w:tcPr>
            <w:tcW w:w="1213" w:type="pct"/>
            <w:tcBorders>
              <w:top w:val="nil"/>
              <w:left w:val="nil"/>
              <w:bottom w:val="nil"/>
              <w:right w:val="nil"/>
            </w:tcBorders>
            <w:shd w:val="clear" w:color="auto" w:fill="auto"/>
            <w:vAlign w:val="center"/>
            <w:hideMark/>
          </w:tcPr>
          <w:p w14:paraId="6AC856A7" w14:textId="77777777" w:rsidR="00BF1F69" w:rsidRPr="000F0228" w:rsidRDefault="00BF1F69" w:rsidP="0065696B">
            <w:pPr>
              <w:spacing w:after="0" w:line="240" w:lineRule="auto"/>
              <w:rPr>
                <w:rFonts w:ascii="Arial" w:eastAsia="Times New Roman" w:hAnsi="Arial" w:cs="Arial"/>
                <w:i/>
                <w:iCs/>
                <w:color w:val="000000"/>
                <w:sz w:val="20"/>
                <w:szCs w:val="20"/>
                <w:lang w:eastAsia="ru-RU"/>
              </w:rPr>
            </w:pPr>
          </w:p>
        </w:tc>
        <w:tc>
          <w:tcPr>
            <w:tcW w:w="1867" w:type="pct"/>
            <w:gridSpan w:val="2"/>
            <w:tcBorders>
              <w:top w:val="nil"/>
              <w:left w:val="nil"/>
              <w:bottom w:val="single" w:sz="12" w:space="0" w:color="auto"/>
              <w:right w:val="nil"/>
            </w:tcBorders>
            <w:shd w:val="clear" w:color="auto" w:fill="auto"/>
            <w:vAlign w:val="center"/>
            <w:hideMark/>
          </w:tcPr>
          <w:p w14:paraId="22B14001" w14:textId="6D7A6F27" w:rsidR="00BF1F69" w:rsidRPr="000F0228" w:rsidRDefault="00BF1F69" w:rsidP="0065696B">
            <w:pPr>
              <w:spacing w:after="0" w:line="240" w:lineRule="auto"/>
              <w:jc w:val="center"/>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202</w:t>
            </w:r>
            <w:r w:rsidR="000F0228" w:rsidRPr="000F0228">
              <w:rPr>
                <w:rFonts w:ascii="Arial" w:eastAsia="Times New Roman" w:hAnsi="Arial" w:cs="Arial"/>
                <w:b/>
                <w:bCs/>
                <w:i/>
                <w:iCs/>
                <w:color w:val="000000"/>
                <w:sz w:val="20"/>
                <w:szCs w:val="20"/>
                <w:lang w:val="en-GB" w:eastAsia="ru-RU"/>
              </w:rPr>
              <w:t>2</w:t>
            </w:r>
            <w:r w:rsidRPr="000F0228">
              <w:rPr>
                <w:rFonts w:ascii="Arial" w:eastAsia="Times New Roman" w:hAnsi="Arial" w:cs="Arial"/>
                <w:b/>
                <w:bCs/>
                <w:i/>
                <w:iCs/>
                <w:color w:val="000000"/>
                <w:sz w:val="20"/>
                <w:szCs w:val="20"/>
                <w:lang w:val="en-GB" w:eastAsia="ru-RU"/>
              </w:rPr>
              <w:t xml:space="preserve"> </w:t>
            </w:r>
            <w:r w:rsidRPr="000F0228">
              <w:rPr>
                <w:rFonts w:ascii="Arial" w:eastAsia="Times New Roman" w:hAnsi="Arial" w:cs="Arial"/>
                <w:b/>
                <w:bCs/>
                <w:i/>
                <w:iCs/>
                <w:color w:val="000000"/>
                <w:sz w:val="20"/>
                <w:szCs w:val="20"/>
                <w:vertAlign w:val="superscript"/>
                <w:lang w:val="en-GB" w:eastAsia="ru-RU"/>
              </w:rPr>
              <w:t>[1]</w:t>
            </w:r>
          </w:p>
        </w:tc>
        <w:tc>
          <w:tcPr>
            <w:tcW w:w="242" w:type="pct"/>
            <w:tcBorders>
              <w:top w:val="nil"/>
              <w:left w:val="nil"/>
              <w:right w:val="nil"/>
            </w:tcBorders>
          </w:tcPr>
          <w:p w14:paraId="04F1193E" w14:textId="77777777" w:rsidR="00BF1F69" w:rsidRPr="000F0228" w:rsidRDefault="00BF1F69" w:rsidP="0065696B">
            <w:pPr>
              <w:spacing w:after="0" w:line="240" w:lineRule="auto"/>
              <w:jc w:val="center"/>
              <w:rPr>
                <w:rFonts w:ascii="Arial" w:eastAsia="Times New Roman" w:hAnsi="Arial" w:cs="Arial"/>
                <w:b/>
                <w:bCs/>
                <w:i/>
                <w:iCs/>
                <w:color w:val="000000"/>
                <w:sz w:val="20"/>
                <w:szCs w:val="20"/>
                <w:lang w:val="en-GB" w:eastAsia="ru-RU"/>
              </w:rPr>
            </w:pPr>
          </w:p>
        </w:tc>
        <w:tc>
          <w:tcPr>
            <w:tcW w:w="1678" w:type="pct"/>
            <w:gridSpan w:val="2"/>
            <w:tcBorders>
              <w:top w:val="nil"/>
              <w:left w:val="nil"/>
              <w:bottom w:val="single" w:sz="12" w:space="0" w:color="auto"/>
              <w:right w:val="nil"/>
            </w:tcBorders>
            <w:shd w:val="clear" w:color="auto" w:fill="auto"/>
            <w:vAlign w:val="center"/>
            <w:hideMark/>
          </w:tcPr>
          <w:p w14:paraId="30621FD0" w14:textId="67BB85CF" w:rsidR="00BF1F69" w:rsidRPr="000F0228" w:rsidRDefault="00BF1F69" w:rsidP="0065696B">
            <w:pPr>
              <w:spacing w:after="0" w:line="240" w:lineRule="auto"/>
              <w:jc w:val="center"/>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202</w:t>
            </w:r>
            <w:r w:rsidR="000F0228" w:rsidRPr="000F0228">
              <w:rPr>
                <w:rFonts w:ascii="Arial" w:eastAsia="Times New Roman" w:hAnsi="Arial" w:cs="Arial"/>
                <w:b/>
                <w:bCs/>
                <w:i/>
                <w:iCs/>
                <w:color w:val="000000"/>
                <w:sz w:val="20"/>
                <w:szCs w:val="20"/>
                <w:lang w:val="en-GB" w:eastAsia="ru-RU"/>
              </w:rPr>
              <w:t>1</w:t>
            </w:r>
            <w:r w:rsidRPr="000F0228">
              <w:rPr>
                <w:rFonts w:ascii="Arial" w:eastAsia="Times New Roman" w:hAnsi="Arial" w:cs="Arial"/>
                <w:b/>
                <w:bCs/>
                <w:i/>
                <w:iCs/>
                <w:color w:val="000000"/>
                <w:sz w:val="20"/>
                <w:szCs w:val="20"/>
                <w:lang w:val="en-GB" w:eastAsia="ru-RU"/>
              </w:rPr>
              <w:t xml:space="preserve"> </w:t>
            </w:r>
            <w:r w:rsidRPr="000F0228">
              <w:rPr>
                <w:rFonts w:ascii="Arial" w:eastAsia="Times New Roman" w:hAnsi="Arial" w:cs="Arial"/>
                <w:b/>
                <w:bCs/>
                <w:i/>
                <w:iCs/>
                <w:color w:val="000000"/>
                <w:sz w:val="20"/>
                <w:szCs w:val="20"/>
                <w:vertAlign w:val="superscript"/>
                <w:lang w:val="en-GB" w:eastAsia="ru-RU"/>
              </w:rPr>
              <w:t>[1]</w:t>
            </w:r>
          </w:p>
        </w:tc>
      </w:tr>
      <w:tr w:rsidR="00BF1F69" w:rsidRPr="000F0228" w14:paraId="443289F6" w14:textId="77777777" w:rsidTr="000F0228">
        <w:trPr>
          <w:trHeight w:val="283"/>
        </w:trPr>
        <w:tc>
          <w:tcPr>
            <w:tcW w:w="1213" w:type="pct"/>
            <w:vMerge w:val="restart"/>
            <w:tcBorders>
              <w:top w:val="nil"/>
              <w:left w:val="nil"/>
              <w:bottom w:val="nil"/>
              <w:right w:val="nil"/>
            </w:tcBorders>
            <w:shd w:val="clear" w:color="auto" w:fill="auto"/>
            <w:vAlign w:val="center"/>
            <w:hideMark/>
          </w:tcPr>
          <w:p w14:paraId="10E5332E" w14:textId="77777777" w:rsidR="00BF1F69" w:rsidRPr="000F0228" w:rsidRDefault="00BF1F69" w:rsidP="0065696B">
            <w:pPr>
              <w:spacing w:after="0" w:line="240" w:lineRule="auto"/>
              <w:rPr>
                <w:rFonts w:ascii="Arial" w:eastAsia="Times New Roman" w:hAnsi="Arial" w:cs="Arial"/>
                <w:b/>
                <w:bCs/>
                <w:color w:val="000000"/>
                <w:sz w:val="20"/>
                <w:szCs w:val="20"/>
                <w:lang w:eastAsia="ru-RU"/>
              </w:rPr>
            </w:pPr>
          </w:p>
        </w:tc>
        <w:tc>
          <w:tcPr>
            <w:tcW w:w="1023" w:type="pct"/>
            <w:vMerge w:val="restart"/>
            <w:tcBorders>
              <w:top w:val="nil"/>
              <w:left w:val="nil"/>
              <w:bottom w:val="nil"/>
              <w:right w:val="nil"/>
            </w:tcBorders>
            <w:shd w:val="clear" w:color="auto" w:fill="auto"/>
            <w:vAlign w:val="center"/>
            <w:hideMark/>
          </w:tcPr>
          <w:p w14:paraId="43E92D46" w14:textId="77777777" w:rsidR="00BF1F69" w:rsidRPr="000F0228" w:rsidRDefault="00BF1F69" w:rsidP="0065696B">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Production volume</w:t>
            </w:r>
          </w:p>
        </w:tc>
        <w:tc>
          <w:tcPr>
            <w:tcW w:w="844" w:type="pct"/>
            <w:vMerge w:val="restart"/>
            <w:tcBorders>
              <w:top w:val="nil"/>
              <w:left w:val="nil"/>
              <w:right w:val="nil"/>
            </w:tcBorders>
            <w:shd w:val="clear" w:color="auto" w:fill="auto"/>
            <w:vAlign w:val="center"/>
            <w:hideMark/>
          </w:tcPr>
          <w:p w14:paraId="637AADCB" w14:textId="77777777" w:rsidR="00BF1F69" w:rsidRPr="000F0228" w:rsidRDefault="00BF1F69" w:rsidP="0065696B">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 xml:space="preserve">Cropped </w:t>
            </w:r>
          </w:p>
          <w:p w14:paraId="746A3D01" w14:textId="77777777" w:rsidR="00BF1F69" w:rsidRPr="000F0228" w:rsidRDefault="00BF1F69" w:rsidP="0065696B">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 xml:space="preserve">land </w:t>
            </w:r>
          </w:p>
        </w:tc>
        <w:tc>
          <w:tcPr>
            <w:tcW w:w="242" w:type="pct"/>
            <w:tcBorders>
              <w:top w:val="nil"/>
              <w:left w:val="nil"/>
              <w:bottom w:val="nil"/>
              <w:right w:val="nil"/>
            </w:tcBorders>
          </w:tcPr>
          <w:p w14:paraId="2AB33DA9" w14:textId="77777777" w:rsidR="00BF1F69" w:rsidRPr="000F0228" w:rsidRDefault="00BF1F69" w:rsidP="0065696B">
            <w:pPr>
              <w:spacing w:after="0" w:line="240" w:lineRule="auto"/>
              <w:jc w:val="right"/>
              <w:rPr>
                <w:rFonts w:ascii="Arial" w:eastAsia="Times New Roman" w:hAnsi="Arial" w:cs="Arial"/>
                <w:b/>
                <w:bCs/>
                <w:i/>
                <w:iCs/>
                <w:color w:val="000000"/>
                <w:sz w:val="20"/>
                <w:szCs w:val="20"/>
                <w:lang w:val="en-GB" w:eastAsia="ru-RU"/>
              </w:rPr>
            </w:pPr>
          </w:p>
        </w:tc>
        <w:tc>
          <w:tcPr>
            <w:tcW w:w="840" w:type="pct"/>
            <w:vMerge w:val="restart"/>
            <w:tcBorders>
              <w:top w:val="nil"/>
              <w:left w:val="nil"/>
              <w:bottom w:val="nil"/>
              <w:right w:val="nil"/>
            </w:tcBorders>
            <w:shd w:val="clear" w:color="auto" w:fill="auto"/>
            <w:vAlign w:val="center"/>
            <w:hideMark/>
          </w:tcPr>
          <w:p w14:paraId="39513E42" w14:textId="77777777" w:rsidR="00BF1F69" w:rsidRPr="000F0228" w:rsidRDefault="00BF1F69" w:rsidP="0065696B">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Production volume</w:t>
            </w:r>
          </w:p>
        </w:tc>
        <w:tc>
          <w:tcPr>
            <w:tcW w:w="838" w:type="pct"/>
            <w:vMerge w:val="restart"/>
            <w:tcBorders>
              <w:top w:val="nil"/>
              <w:left w:val="nil"/>
              <w:right w:val="nil"/>
            </w:tcBorders>
            <w:shd w:val="clear" w:color="auto" w:fill="auto"/>
            <w:vAlign w:val="center"/>
            <w:hideMark/>
          </w:tcPr>
          <w:p w14:paraId="7CCE36D9" w14:textId="77777777" w:rsidR="00BF1F69" w:rsidRPr="000F0228" w:rsidRDefault="00BF1F69" w:rsidP="0065696B">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 xml:space="preserve">Cropped </w:t>
            </w:r>
          </w:p>
          <w:p w14:paraId="0E1B30F9" w14:textId="77777777" w:rsidR="00BF1F69" w:rsidRPr="000F0228" w:rsidRDefault="00BF1F69" w:rsidP="0065696B">
            <w:pPr>
              <w:spacing w:after="0" w:line="240" w:lineRule="auto"/>
              <w:jc w:val="right"/>
              <w:rPr>
                <w:rFonts w:ascii="Arial" w:eastAsia="Times New Roman" w:hAnsi="Arial" w:cs="Arial"/>
                <w:b/>
                <w:bCs/>
                <w:i/>
                <w:iCs/>
                <w:color w:val="000000"/>
                <w:sz w:val="20"/>
                <w:szCs w:val="20"/>
                <w:lang w:eastAsia="ru-RU"/>
              </w:rPr>
            </w:pPr>
            <w:r w:rsidRPr="000F0228">
              <w:rPr>
                <w:rFonts w:ascii="Arial" w:eastAsia="Times New Roman" w:hAnsi="Arial" w:cs="Arial"/>
                <w:b/>
                <w:bCs/>
                <w:i/>
                <w:iCs/>
                <w:color w:val="000000"/>
                <w:sz w:val="20"/>
                <w:szCs w:val="20"/>
                <w:lang w:val="en-GB" w:eastAsia="ru-RU"/>
              </w:rPr>
              <w:t>land</w:t>
            </w:r>
          </w:p>
        </w:tc>
      </w:tr>
      <w:tr w:rsidR="00BF1F69" w:rsidRPr="000F0228" w14:paraId="7CF3A8CE" w14:textId="77777777" w:rsidTr="000F0228">
        <w:trPr>
          <w:trHeight w:val="283"/>
        </w:trPr>
        <w:tc>
          <w:tcPr>
            <w:tcW w:w="1213" w:type="pct"/>
            <w:vMerge/>
            <w:tcBorders>
              <w:top w:val="nil"/>
              <w:left w:val="nil"/>
              <w:bottom w:val="nil"/>
              <w:right w:val="nil"/>
            </w:tcBorders>
            <w:vAlign w:val="center"/>
            <w:hideMark/>
          </w:tcPr>
          <w:p w14:paraId="61E38379" w14:textId="77777777" w:rsidR="00BF1F69" w:rsidRPr="000F0228" w:rsidRDefault="00BF1F69" w:rsidP="0065696B">
            <w:pPr>
              <w:spacing w:after="0" w:line="240" w:lineRule="auto"/>
              <w:rPr>
                <w:rFonts w:ascii="Arial" w:eastAsia="Times New Roman" w:hAnsi="Arial" w:cs="Arial"/>
                <w:b/>
                <w:bCs/>
                <w:color w:val="000000"/>
                <w:sz w:val="20"/>
                <w:szCs w:val="20"/>
                <w:lang w:eastAsia="ru-RU"/>
              </w:rPr>
            </w:pPr>
          </w:p>
        </w:tc>
        <w:tc>
          <w:tcPr>
            <w:tcW w:w="1023" w:type="pct"/>
            <w:vMerge/>
            <w:tcBorders>
              <w:top w:val="nil"/>
              <w:left w:val="nil"/>
              <w:right w:val="nil"/>
            </w:tcBorders>
            <w:vAlign w:val="center"/>
            <w:hideMark/>
          </w:tcPr>
          <w:p w14:paraId="7037A261" w14:textId="77777777" w:rsidR="00BF1F69" w:rsidRPr="000F0228" w:rsidRDefault="00BF1F69" w:rsidP="0065696B">
            <w:pPr>
              <w:spacing w:after="0" w:line="240" w:lineRule="auto"/>
              <w:rPr>
                <w:rFonts w:ascii="Arial" w:eastAsia="Times New Roman" w:hAnsi="Arial" w:cs="Arial"/>
                <w:b/>
                <w:bCs/>
                <w:i/>
                <w:iCs/>
                <w:color w:val="000000"/>
                <w:sz w:val="20"/>
                <w:szCs w:val="20"/>
                <w:lang w:eastAsia="ru-RU"/>
              </w:rPr>
            </w:pPr>
          </w:p>
        </w:tc>
        <w:tc>
          <w:tcPr>
            <w:tcW w:w="844" w:type="pct"/>
            <w:vMerge/>
            <w:tcBorders>
              <w:left w:val="nil"/>
              <w:right w:val="nil"/>
            </w:tcBorders>
            <w:shd w:val="clear" w:color="auto" w:fill="auto"/>
            <w:vAlign w:val="center"/>
            <w:hideMark/>
          </w:tcPr>
          <w:p w14:paraId="215D52E2" w14:textId="77777777" w:rsidR="00BF1F69" w:rsidRPr="000F0228" w:rsidRDefault="00BF1F69" w:rsidP="0065696B">
            <w:pPr>
              <w:spacing w:after="0" w:line="240" w:lineRule="auto"/>
              <w:jc w:val="right"/>
              <w:rPr>
                <w:rFonts w:ascii="Arial" w:eastAsia="Times New Roman" w:hAnsi="Arial" w:cs="Arial"/>
                <w:b/>
                <w:bCs/>
                <w:i/>
                <w:iCs/>
                <w:color w:val="000000"/>
                <w:sz w:val="20"/>
                <w:szCs w:val="20"/>
                <w:lang w:eastAsia="ru-RU"/>
              </w:rPr>
            </w:pPr>
          </w:p>
        </w:tc>
        <w:tc>
          <w:tcPr>
            <w:tcW w:w="242" w:type="pct"/>
            <w:tcBorders>
              <w:top w:val="nil"/>
              <w:left w:val="nil"/>
              <w:bottom w:val="nil"/>
              <w:right w:val="nil"/>
            </w:tcBorders>
          </w:tcPr>
          <w:p w14:paraId="14417475" w14:textId="77777777" w:rsidR="00BF1F69" w:rsidRPr="000F0228" w:rsidRDefault="00BF1F69" w:rsidP="0065696B">
            <w:pPr>
              <w:spacing w:after="0" w:line="240" w:lineRule="auto"/>
              <w:rPr>
                <w:rFonts w:ascii="Arial" w:eastAsia="Times New Roman" w:hAnsi="Arial" w:cs="Arial"/>
                <w:b/>
                <w:bCs/>
                <w:i/>
                <w:iCs/>
                <w:color w:val="000000"/>
                <w:sz w:val="20"/>
                <w:szCs w:val="20"/>
                <w:lang w:eastAsia="ru-RU"/>
              </w:rPr>
            </w:pPr>
          </w:p>
        </w:tc>
        <w:tc>
          <w:tcPr>
            <w:tcW w:w="840" w:type="pct"/>
            <w:vMerge/>
            <w:tcBorders>
              <w:top w:val="nil"/>
              <w:left w:val="nil"/>
              <w:right w:val="nil"/>
            </w:tcBorders>
            <w:vAlign w:val="center"/>
            <w:hideMark/>
          </w:tcPr>
          <w:p w14:paraId="2E1D6381" w14:textId="77777777" w:rsidR="00BF1F69" w:rsidRPr="000F0228" w:rsidRDefault="00BF1F69" w:rsidP="0065696B">
            <w:pPr>
              <w:spacing w:after="0" w:line="240" w:lineRule="auto"/>
              <w:rPr>
                <w:rFonts w:ascii="Arial" w:eastAsia="Times New Roman" w:hAnsi="Arial" w:cs="Arial"/>
                <w:b/>
                <w:bCs/>
                <w:i/>
                <w:iCs/>
                <w:color w:val="000000"/>
                <w:sz w:val="20"/>
                <w:szCs w:val="20"/>
                <w:lang w:eastAsia="ru-RU"/>
              </w:rPr>
            </w:pPr>
          </w:p>
        </w:tc>
        <w:tc>
          <w:tcPr>
            <w:tcW w:w="838" w:type="pct"/>
            <w:vMerge/>
            <w:tcBorders>
              <w:left w:val="nil"/>
              <w:right w:val="nil"/>
            </w:tcBorders>
            <w:shd w:val="clear" w:color="auto" w:fill="auto"/>
            <w:vAlign w:val="center"/>
            <w:hideMark/>
          </w:tcPr>
          <w:p w14:paraId="387F0BC7" w14:textId="77777777" w:rsidR="00BF1F69" w:rsidRPr="000F0228" w:rsidRDefault="00BF1F69" w:rsidP="0065696B">
            <w:pPr>
              <w:spacing w:after="0" w:line="240" w:lineRule="auto"/>
              <w:jc w:val="right"/>
              <w:rPr>
                <w:rFonts w:ascii="Arial" w:eastAsia="Times New Roman" w:hAnsi="Arial" w:cs="Arial"/>
                <w:b/>
                <w:bCs/>
                <w:i/>
                <w:iCs/>
                <w:color w:val="000000"/>
                <w:sz w:val="20"/>
                <w:szCs w:val="20"/>
                <w:lang w:eastAsia="ru-RU"/>
              </w:rPr>
            </w:pPr>
          </w:p>
        </w:tc>
      </w:tr>
      <w:tr w:rsidR="00BF1F69" w:rsidRPr="000F0228" w14:paraId="003D077D" w14:textId="77777777" w:rsidTr="000F0228">
        <w:trPr>
          <w:trHeight w:val="331"/>
        </w:trPr>
        <w:tc>
          <w:tcPr>
            <w:tcW w:w="1213" w:type="pct"/>
            <w:tcBorders>
              <w:top w:val="nil"/>
              <w:left w:val="nil"/>
              <w:bottom w:val="nil"/>
              <w:right w:val="nil"/>
            </w:tcBorders>
            <w:shd w:val="clear" w:color="auto" w:fill="auto"/>
            <w:vAlign w:val="center"/>
            <w:hideMark/>
          </w:tcPr>
          <w:p w14:paraId="2A9FED09" w14:textId="77777777" w:rsidR="00BF1F69" w:rsidRPr="000F0228" w:rsidRDefault="00BF1F69" w:rsidP="0065696B">
            <w:pPr>
              <w:spacing w:after="0" w:line="240" w:lineRule="auto"/>
              <w:rPr>
                <w:rFonts w:ascii="Arial" w:eastAsia="Times New Roman" w:hAnsi="Arial" w:cs="Arial"/>
                <w:color w:val="000000"/>
                <w:sz w:val="20"/>
                <w:szCs w:val="20"/>
                <w:lang w:eastAsia="ru-RU"/>
              </w:rPr>
            </w:pPr>
          </w:p>
        </w:tc>
        <w:tc>
          <w:tcPr>
            <w:tcW w:w="1023" w:type="pct"/>
            <w:tcBorders>
              <w:top w:val="nil"/>
              <w:left w:val="nil"/>
              <w:bottom w:val="single" w:sz="12" w:space="0" w:color="auto"/>
              <w:right w:val="nil"/>
            </w:tcBorders>
            <w:shd w:val="clear" w:color="auto" w:fill="auto"/>
            <w:vAlign w:val="center"/>
            <w:hideMark/>
          </w:tcPr>
          <w:p w14:paraId="54553208" w14:textId="77777777" w:rsidR="00BF1F69" w:rsidRPr="000F0228" w:rsidRDefault="00BF1F69" w:rsidP="0065696B">
            <w:pPr>
              <w:spacing w:after="0" w:line="240" w:lineRule="auto"/>
              <w:jc w:val="right"/>
              <w:rPr>
                <w:rFonts w:ascii="Arial" w:eastAsia="Times New Roman" w:hAnsi="Arial" w:cs="Arial"/>
                <w:i/>
                <w:iCs/>
                <w:sz w:val="20"/>
                <w:szCs w:val="20"/>
                <w:lang w:eastAsia="ru-RU"/>
              </w:rPr>
            </w:pPr>
            <w:r w:rsidRPr="000F0228">
              <w:rPr>
                <w:rFonts w:ascii="Arial" w:eastAsia="Times New Roman" w:hAnsi="Arial" w:cs="Arial"/>
                <w:i/>
                <w:iCs/>
                <w:sz w:val="20"/>
                <w:szCs w:val="20"/>
                <w:lang w:val="en-GB" w:eastAsia="ru-RU"/>
              </w:rPr>
              <w:t xml:space="preserve"> in tonnes</w:t>
            </w:r>
          </w:p>
        </w:tc>
        <w:tc>
          <w:tcPr>
            <w:tcW w:w="844" w:type="pct"/>
            <w:tcBorders>
              <w:top w:val="nil"/>
              <w:left w:val="nil"/>
              <w:bottom w:val="single" w:sz="12" w:space="0" w:color="auto"/>
              <w:right w:val="nil"/>
            </w:tcBorders>
            <w:shd w:val="clear" w:color="auto" w:fill="auto"/>
            <w:vAlign w:val="center"/>
            <w:hideMark/>
          </w:tcPr>
          <w:p w14:paraId="636D4CD9" w14:textId="77777777" w:rsidR="00BF1F69" w:rsidRPr="000F0228" w:rsidRDefault="00BF1F69" w:rsidP="0065696B">
            <w:pPr>
              <w:spacing w:after="0" w:line="240" w:lineRule="auto"/>
              <w:jc w:val="right"/>
              <w:rPr>
                <w:rFonts w:ascii="Arial" w:eastAsia="Times New Roman" w:hAnsi="Arial" w:cs="Arial"/>
                <w:i/>
                <w:iCs/>
                <w:sz w:val="20"/>
                <w:szCs w:val="20"/>
                <w:lang w:eastAsia="ru-RU"/>
              </w:rPr>
            </w:pPr>
            <w:r w:rsidRPr="000F0228">
              <w:rPr>
                <w:rFonts w:ascii="Arial" w:eastAsia="Times New Roman" w:hAnsi="Arial" w:cs="Arial"/>
                <w:i/>
                <w:iCs/>
                <w:sz w:val="20"/>
                <w:szCs w:val="20"/>
                <w:lang w:val="en-GB" w:eastAsia="ru-RU"/>
              </w:rPr>
              <w:t>in hectares</w:t>
            </w:r>
          </w:p>
        </w:tc>
        <w:tc>
          <w:tcPr>
            <w:tcW w:w="242" w:type="pct"/>
            <w:tcBorders>
              <w:top w:val="nil"/>
              <w:left w:val="nil"/>
              <w:bottom w:val="nil"/>
              <w:right w:val="nil"/>
            </w:tcBorders>
          </w:tcPr>
          <w:p w14:paraId="732A08E8" w14:textId="77777777" w:rsidR="00BF1F69" w:rsidRPr="000F0228" w:rsidRDefault="00BF1F69" w:rsidP="0065696B">
            <w:pPr>
              <w:spacing w:after="0" w:line="240" w:lineRule="auto"/>
              <w:jc w:val="right"/>
              <w:rPr>
                <w:rFonts w:ascii="Arial" w:eastAsia="Times New Roman" w:hAnsi="Arial" w:cs="Arial"/>
                <w:i/>
                <w:iCs/>
                <w:sz w:val="20"/>
                <w:szCs w:val="20"/>
                <w:lang w:val="en-GB" w:eastAsia="ru-RU"/>
              </w:rPr>
            </w:pPr>
          </w:p>
        </w:tc>
        <w:tc>
          <w:tcPr>
            <w:tcW w:w="840" w:type="pct"/>
            <w:tcBorders>
              <w:top w:val="nil"/>
              <w:left w:val="nil"/>
              <w:bottom w:val="single" w:sz="12" w:space="0" w:color="auto"/>
              <w:right w:val="nil"/>
            </w:tcBorders>
            <w:shd w:val="clear" w:color="auto" w:fill="auto"/>
            <w:vAlign w:val="center"/>
            <w:hideMark/>
          </w:tcPr>
          <w:p w14:paraId="2EA49196" w14:textId="77777777" w:rsidR="00BF1F69" w:rsidRPr="000F0228" w:rsidRDefault="00BF1F69" w:rsidP="0065696B">
            <w:pPr>
              <w:spacing w:after="0" w:line="240" w:lineRule="auto"/>
              <w:jc w:val="right"/>
              <w:rPr>
                <w:rFonts w:ascii="Arial" w:eastAsia="Times New Roman" w:hAnsi="Arial" w:cs="Arial"/>
                <w:i/>
                <w:iCs/>
                <w:sz w:val="20"/>
                <w:szCs w:val="20"/>
                <w:lang w:eastAsia="ru-RU"/>
              </w:rPr>
            </w:pPr>
            <w:r w:rsidRPr="000F0228">
              <w:rPr>
                <w:rFonts w:ascii="Arial" w:eastAsia="Times New Roman" w:hAnsi="Arial" w:cs="Arial"/>
                <w:i/>
                <w:iCs/>
                <w:sz w:val="20"/>
                <w:szCs w:val="20"/>
                <w:lang w:val="en-GB" w:eastAsia="ru-RU"/>
              </w:rPr>
              <w:t>in tonnes</w:t>
            </w:r>
          </w:p>
        </w:tc>
        <w:tc>
          <w:tcPr>
            <w:tcW w:w="838" w:type="pct"/>
            <w:tcBorders>
              <w:top w:val="nil"/>
              <w:left w:val="nil"/>
              <w:bottom w:val="single" w:sz="12" w:space="0" w:color="auto"/>
              <w:right w:val="nil"/>
            </w:tcBorders>
            <w:shd w:val="clear" w:color="auto" w:fill="auto"/>
            <w:vAlign w:val="center"/>
            <w:hideMark/>
          </w:tcPr>
          <w:p w14:paraId="7A71F125" w14:textId="77777777" w:rsidR="00BF1F69" w:rsidRPr="000F0228" w:rsidRDefault="00BF1F69" w:rsidP="0065696B">
            <w:pPr>
              <w:spacing w:after="0" w:line="240" w:lineRule="auto"/>
              <w:jc w:val="right"/>
              <w:rPr>
                <w:rFonts w:ascii="Arial" w:eastAsia="Times New Roman" w:hAnsi="Arial" w:cs="Arial"/>
                <w:i/>
                <w:iCs/>
                <w:color w:val="000000"/>
                <w:sz w:val="20"/>
                <w:szCs w:val="20"/>
                <w:lang w:eastAsia="ru-RU"/>
              </w:rPr>
            </w:pPr>
            <w:r w:rsidRPr="000F0228">
              <w:rPr>
                <w:rFonts w:ascii="Arial" w:eastAsia="Times New Roman" w:hAnsi="Arial" w:cs="Arial"/>
                <w:i/>
                <w:iCs/>
                <w:color w:val="000000"/>
                <w:sz w:val="20"/>
                <w:szCs w:val="20"/>
                <w:lang w:val="en-GB" w:eastAsia="ru-RU"/>
              </w:rPr>
              <w:t>in hectares</w:t>
            </w:r>
          </w:p>
        </w:tc>
      </w:tr>
      <w:tr w:rsidR="00BF1F69" w:rsidRPr="000F0228" w14:paraId="42D375B5" w14:textId="77777777" w:rsidTr="000F0228">
        <w:trPr>
          <w:trHeight w:val="255"/>
        </w:trPr>
        <w:tc>
          <w:tcPr>
            <w:tcW w:w="1213" w:type="pct"/>
            <w:tcBorders>
              <w:top w:val="nil"/>
              <w:left w:val="nil"/>
              <w:bottom w:val="nil"/>
              <w:right w:val="nil"/>
            </w:tcBorders>
            <w:shd w:val="clear" w:color="auto" w:fill="auto"/>
            <w:vAlign w:val="center"/>
            <w:hideMark/>
          </w:tcPr>
          <w:p w14:paraId="40550161" w14:textId="77777777" w:rsidR="00BF1F69" w:rsidRPr="000F0228" w:rsidRDefault="00BF1F69" w:rsidP="0065696B">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Corn</w:t>
            </w:r>
          </w:p>
        </w:tc>
        <w:tc>
          <w:tcPr>
            <w:tcW w:w="1023" w:type="pct"/>
            <w:tcBorders>
              <w:top w:val="single" w:sz="12" w:space="0" w:color="auto"/>
              <w:left w:val="nil"/>
              <w:bottom w:val="nil"/>
              <w:right w:val="nil"/>
            </w:tcBorders>
            <w:shd w:val="clear" w:color="auto" w:fill="auto"/>
            <w:vAlign w:val="bottom"/>
          </w:tcPr>
          <w:p w14:paraId="1822BE35" w14:textId="6AF4E0B2"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1,088,476</w:t>
            </w:r>
          </w:p>
        </w:tc>
        <w:tc>
          <w:tcPr>
            <w:tcW w:w="844" w:type="pct"/>
            <w:tcBorders>
              <w:top w:val="single" w:sz="12" w:space="0" w:color="auto"/>
              <w:left w:val="nil"/>
              <w:bottom w:val="nil"/>
              <w:right w:val="nil"/>
            </w:tcBorders>
            <w:shd w:val="clear" w:color="auto" w:fill="auto"/>
            <w:vAlign w:val="bottom"/>
          </w:tcPr>
          <w:p w14:paraId="07E7C290" w14:textId="12EEB357"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151,850</w:t>
            </w:r>
          </w:p>
        </w:tc>
        <w:tc>
          <w:tcPr>
            <w:tcW w:w="242" w:type="pct"/>
            <w:tcBorders>
              <w:top w:val="nil"/>
              <w:left w:val="nil"/>
              <w:bottom w:val="nil"/>
              <w:right w:val="nil"/>
            </w:tcBorders>
            <w:vAlign w:val="bottom"/>
          </w:tcPr>
          <w:p w14:paraId="611FB07A" w14:textId="77777777" w:rsidR="00BF1F69" w:rsidRPr="000F0228" w:rsidRDefault="00BF1F69" w:rsidP="0065696B">
            <w:pPr>
              <w:spacing w:after="0" w:line="240" w:lineRule="auto"/>
              <w:ind w:firstLine="228"/>
              <w:jc w:val="right"/>
              <w:rPr>
                <w:rFonts w:ascii="Arial" w:eastAsiaTheme="minorEastAsia" w:hAnsi="Arial" w:cs="Arial"/>
                <w:color w:val="000000"/>
                <w:sz w:val="20"/>
                <w:szCs w:val="20"/>
                <w:lang w:eastAsia="ru-RU"/>
              </w:rPr>
            </w:pPr>
          </w:p>
        </w:tc>
        <w:tc>
          <w:tcPr>
            <w:tcW w:w="840" w:type="pct"/>
            <w:tcBorders>
              <w:top w:val="single" w:sz="12" w:space="0" w:color="auto"/>
              <w:left w:val="nil"/>
              <w:bottom w:val="nil"/>
              <w:right w:val="nil"/>
            </w:tcBorders>
            <w:shd w:val="clear" w:color="auto" w:fill="auto"/>
          </w:tcPr>
          <w:p w14:paraId="17C231EF" w14:textId="32F6EC3C"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1,624,173</w:t>
            </w:r>
          </w:p>
        </w:tc>
        <w:tc>
          <w:tcPr>
            <w:tcW w:w="838" w:type="pct"/>
            <w:tcBorders>
              <w:top w:val="single" w:sz="12" w:space="0" w:color="auto"/>
              <w:left w:val="nil"/>
              <w:bottom w:val="nil"/>
              <w:right w:val="nil"/>
            </w:tcBorders>
            <w:shd w:val="clear" w:color="auto" w:fill="auto"/>
          </w:tcPr>
          <w:p w14:paraId="100249BC" w14:textId="4455110A"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163,295</w:t>
            </w:r>
          </w:p>
        </w:tc>
      </w:tr>
      <w:tr w:rsidR="00BF1F69" w:rsidRPr="000F0228" w14:paraId="6E373444" w14:textId="77777777" w:rsidTr="000F0228">
        <w:trPr>
          <w:trHeight w:val="255"/>
        </w:trPr>
        <w:tc>
          <w:tcPr>
            <w:tcW w:w="1213" w:type="pct"/>
            <w:tcBorders>
              <w:top w:val="nil"/>
              <w:left w:val="nil"/>
              <w:bottom w:val="nil"/>
              <w:right w:val="nil"/>
            </w:tcBorders>
            <w:shd w:val="clear" w:color="auto" w:fill="auto"/>
            <w:vAlign w:val="center"/>
            <w:hideMark/>
          </w:tcPr>
          <w:p w14:paraId="45577460" w14:textId="77777777" w:rsidR="00BF1F69" w:rsidRPr="000F0228" w:rsidRDefault="00BF1F69" w:rsidP="0065696B">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Wheat</w:t>
            </w:r>
          </w:p>
        </w:tc>
        <w:tc>
          <w:tcPr>
            <w:tcW w:w="1023" w:type="pct"/>
            <w:tcBorders>
              <w:top w:val="nil"/>
              <w:left w:val="nil"/>
              <w:bottom w:val="nil"/>
              <w:right w:val="nil"/>
            </w:tcBorders>
            <w:shd w:val="clear" w:color="auto" w:fill="auto"/>
            <w:vAlign w:val="bottom"/>
          </w:tcPr>
          <w:p w14:paraId="471855A0" w14:textId="3B3C8691"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224,391</w:t>
            </w:r>
          </w:p>
        </w:tc>
        <w:tc>
          <w:tcPr>
            <w:tcW w:w="844" w:type="pct"/>
            <w:tcBorders>
              <w:top w:val="nil"/>
              <w:left w:val="nil"/>
              <w:bottom w:val="nil"/>
              <w:right w:val="nil"/>
            </w:tcBorders>
            <w:shd w:val="clear" w:color="auto" w:fill="auto"/>
            <w:vAlign w:val="bottom"/>
          </w:tcPr>
          <w:p w14:paraId="0B99B14C" w14:textId="675BE47C"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40,711</w:t>
            </w:r>
          </w:p>
        </w:tc>
        <w:tc>
          <w:tcPr>
            <w:tcW w:w="242" w:type="pct"/>
            <w:tcBorders>
              <w:top w:val="nil"/>
              <w:left w:val="nil"/>
              <w:bottom w:val="nil"/>
              <w:right w:val="nil"/>
            </w:tcBorders>
            <w:vAlign w:val="bottom"/>
          </w:tcPr>
          <w:p w14:paraId="22335FBE" w14:textId="77777777" w:rsidR="00BF1F69" w:rsidRPr="000F0228" w:rsidRDefault="00BF1F69" w:rsidP="0065696B">
            <w:pPr>
              <w:spacing w:after="0" w:line="240" w:lineRule="auto"/>
              <w:ind w:firstLine="228"/>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tcPr>
          <w:p w14:paraId="27ECB92B" w14:textId="08A1C381"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216,007</w:t>
            </w:r>
          </w:p>
        </w:tc>
        <w:tc>
          <w:tcPr>
            <w:tcW w:w="838" w:type="pct"/>
            <w:tcBorders>
              <w:top w:val="nil"/>
              <w:left w:val="nil"/>
              <w:bottom w:val="nil"/>
              <w:right w:val="nil"/>
            </w:tcBorders>
            <w:shd w:val="clear" w:color="auto" w:fill="auto"/>
          </w:tcPr>
          <w:p w14:paraId="3F88627D" w14:textId="4F36720B"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36,773</w:t>
            </w:r>
          </w:p>
        </w:tc>
      </w:tr>
      <w:tr w:rsidR="00BF1F69" w:rsidRPr="000F0228" w14:paraId="398C696A" w14:textId="77777777" w:rsidTr="000F0228">
        <w:trPr>
          <w:trHeight w:val="255"/>
        </w:trPr>
        <w:tc>
          <w:tcPr>
            <w:tcW w:w="1213" w:type="pct"/>
            <w:tcBorders>
              <w:top w:val="nil"/>
              <w:left w:val="nil"/>
              <w:bottom w:val="nil"/>
              <w:right w:val="nil"/>
            </w:tcBorders>
            <w:shd w:val="clear" w:color="auto" w:fill="auto"/>
            <w:vAlign w:val="center"/>
            <w:hideMark/>
          </w:tcPr>
          <w:p w14:paraId="56DD1342" w14:textId="77777777" w:rsidR="00BF1F69" w:rsidRPr="000F0228" w:rsidRDefault="00BF1F69" w:rsidP="0065696B">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Sunflower</w:t>
            </w:r>
          </w:p>
        </w:tc>
        <w:tc>
          <w:tcPr>
            <w:tcW w:w="1023" w:type="pct"/>
            <w:tcBorders>
              <w:top w:val="nil"/>
              <w:left w:val="nil"/>
              <w:bottom w:val="nil"/>
              <w:right w:val="nil"/>
            </w:tcBorders>
            <w:shd w:val="clear" w:color="auto" w:fill="auto"/>
            <w:vAlign w:val="bottom"/>
          </w:tcPr>
          <w:p w14:paraId="7A389CDF" w14:textId="34F49B77"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159,357</w:t>
            </w:r>
          </w:p>
        </w:tc>
        <w:tc>
          <w:tcPr>
            <w:tcW w:w="844" w:type="pct"/>
            <w:tcBorders>
              <w:top w:val="nil"/>
              <w:left w:val="nil"/>
              <w:bottom w:val="nil"/>
              <w:right w:val="nil"/>
            </w:tcBorders>
            <w:shd w:val="clear" w:color="auto" w:fill="auto"/>
            <w:vAlign w:val="bottom"/>
          </w:tcPr>
          <w:p w14:paraId="68E7054E" w14:textId="340D003F"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62,585</w:t>
            </w:r>
          </w:p>
        </w:tc>
        <w:tc>
          <w:tcPr>
            <w:tcW w:w="242" w:type="pct"/>
            <w:tcBorders>
              <w:top w:val="nil"/>
              <w:left w:val="nil"/>
              <w:bottom w:val="nil"/>
              <w:right w:val="nil"/>
            </w:tcBorders>
            <w:vAlign w:val="bottom"/>
          </w:tcPr>
          <w:p w14:paraId="01C36991" w14:textId="77777777" w:rsidR="00BF1F69" w:rsidRPr="000F0228" w:rsidRDefault="00BF1F69" w:rsidP="0065696B">
            <w:pPr>
              <w:spacing w:after="0" w:line="240" w:lineRule="auto"/>
              <w:ind w:firstLine="228"/>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tcPr>
          <w:p w14:paraId="40B58630" w14:textId="4705E7DA"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279,822</w:t>
            </w:r>
          </w:p>
        </w:tc>
        <w:tc>
          <w:tcPr>
            <w:tcW w:w="838" w:type="pct"/>
            <w:tcBorders>
              <w:top w:val="nil"/>
              <w:left w:val="nil"/>
              <w:bottom w:val="nil"/>
              <w:right w:val="nil"/>
            </w:tcBorders>
            <w:shd w:val="clear" w:color="auto" w:fill="auto"/>
          </w:tcPr>
          <w:p w14:paraId="0EE9C738" w14:textId="6FEB76D0"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88,256</w:t>
            </w:r>
          </w:p>
        </w:tc>
      </w:tr>
      <w:tr w:rsidR="00BF1F69" w:rsidRPr="000F0228" w14:paraId="3D5687DE" w14:textId="77777777" w:rsidTr="000F0228">
        <w:trPr>
          <w:trHeight w:val="255"/>
        </w:trPr>
        <w:tc>
          <w:tcPr>
            <w:tcW w:w="1213" w:type="pct"/>
            <w:tcBorders>
              <w:top w:val="nil"/>
              <w:left w:val="nil"/>
              <w:bottom w:val="nil"/>
              <w:right w:val="nil"/>
            </w:tcBorders>
            <w:shd w:val="clear" w:color="auto" w:fill="auto"/>
            <w:vAlign w:val="center"/>
            <w:hideMark/>
          </w:tcPr>
          <w:p w14:paraId="5AB4D894" w14:textId="77777777" w:rsidR="00BF1F69" w:rsidRPr="000F0228" w:rsidRDefault="00BF1F69" w:rsidP="0065696B">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Rapeseed</w:t>
            </w:r>
          </w:p>
        </w:tc>
        <w:tc>
          <w:tcPr>
            <w:tcW w:w="1023" w:type="pct"/>
            <w:tcBorders>
              <w:top w:val="nil"/>
              <w:left w:val="nil"/>
              <w:bottom w:val="nil"/>
              <w:right w:val="nil"/>
            </w:tcBorders>
            <w:shd w:val="clear" w:color="auto" w:fill="auto"/>
            <w:vAlign w:val="bottom"/>
          </w:tcPr>
          <w:p w14:paraId="66E59422" w14:textId="7107A55D"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104,849</w:t>
            </w:r>
          </w:p>
        </w:tc>
        <w:tc>
          <w:tcPr>
            <w:tcW w:w="844" w:type="pct"/>
            <w:tcBorders>
              <w:top w:val="nil"/>
              <w:left w:val="nil"/>
              <w:bottom w:val="nil"/>
              <w:right w:val="nil"/>
            </w:tcBorders>
            <w:shd w:val="clear" w:color="auto" w:fill="auto"/>
            <w:vAlign w:val="bottom"/>
          </w:tcPr>
          <w:p w14:paraId="1070CB8C" w14:textId="6B95D8C1"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27,520</w:t>
            </w:r>
          </w:p>
        </w:tc>
        <w:tc>
          <w:tcPr>
            <w:tcW w:w="242" w:type="pct"/>
            <w:tcBorders>
              <w:top w:val="nil"/>
              <w:left w:val="nil"/>
              <w:bottom w:val="nil"/>
              <w:right w:val="nil"/>
            </w:tcBorders>
            <w:vAlign w:val="bottom"/>
          </w:tcPr>
          <w:p w14:paraId="523D829D" w14:textId="77777777" w:rsidR="00BF1F69" w:rsidRPr="000F0228" w:rsidRDefault="00BF1F69" w:rsidP="0065696B">
            <w:pPr>
              <w:spacing w:after="0" w:line="240" w:lineRule="auto"/>
              <w:ind w:firstLine="228"/>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tcPr>
          <w:p w14:paraId="1CC8A930" w14:textId="5CC565B9"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71,055</w:t>
            </w:r>
          </w:p>
        </w:tc>
        <w:tc>
          <w:tcPr>
            <w:tcW w:w="838" w:type="pct"/>
            <w:tcBorders>
              <w:top w:val="nil"/>
              <w:left w:val="nil"/>
              <w:bottom w:val="nil"/>
              <w:right w:val="nil"/>
            </w:tcBorders>
            <w:shd w:val="clear" w:color="auto" w:fill="auto"/>
          </w:tcPr>
          <w:p w14:paraId="590F5C58" w14:textId="240F5A37"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21,522</w:t>
            </w:r>
          </w:p>
        </w:tc>
      </w:tr>
      <w:tr w:rsidR="00BF1F69" w:rsidRPr="000F0228" w14:paraId="48A48301" w14:textId="77777777" w:rsidTr="000F0228">
        <w:trPr>
          <w:trHeight w:val="255"/>
        </w:trPr>
        <w:tc>
          <w:tcPr>
            <w:tcW w:w="1213" w:type="pct"/>
            <w:tcBorders>
              <w:top w:val="nil"/>
              <w:left w:val="nil"/>
              <w:bottom w:val="nil"/>
              <w:right w:val="nil"/>
            </w:tcBorders>
            <w:shd w:val="clear" w:color="auto" w:fill="auto"/>
            <w:vAlign w:val="center"/>
            <w:hideMark/>
          </w:tcPr>
          <w:p w14:paraId="3BA718B4" w14:textId="77777777" w:rsidR="00BF1F69" w:rsidRPr="000F0228" w:rsidRDefault="00BF1F69" w:rsidP="0065696B">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Soya</w:t>
            </w:r>
          </w:p>
        </w:tc>
        <w:tc>
          <w:tcPr>
            <w:tcW w:w="1023" w:type="pct"/>
            <w:tcBorders>
              <w:top w:val="nil"/>
              <w:left w:val="nil"/>
              <w:bottom w:val="nil"/>
              <w:right w:val="nil"/>
            </w:tcBorders>
            <w:shd w:val="clear" w:color="auto" w:fill="auto"/>
            <w:vAlign w:val="bottom"/>
          </w:tcPr>
          <w:p w14:paraId="146B8F0E" w14:textId="2AC2A76C"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109,240</w:t>
            </w:r>
          </w:p>
        </w:tc>
        <w:tc>
          <w:tcPr>
            <w:tcW w:w="844" w:type="pct"/>
            <w:tcBorders>
              <w:top w:val="nil"/>
              <w:left w:val="nil"/>
              <w:bottom w:val="nil"/>
              <w:right w:val="nil"/>
            </w:tcBorders>
            <w:shd w:val="clear" w:color="auto" w:fill="auto"/>
            <w:vAlign w:val="bottom"/>
          </w:tcPr>
          <w:p w14:paraId="7D5BC182" w14:textId="441EF9BB"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44,953</w:t>
            </w:r>
          </w:p>
        </w:tc>
        <w:tc>
          <w:tcPr>
            <w:tcW w:w="242" w:type="pct"/>
            <w:tcBorders>
              <w:top w:val="nil"/>
              <w:left w:val="nil"/>
              <w:right w:val="nil"/>
            </w:tcBorders>
            <w:vAlign w:val="bottom"/>
          </w:tcPr>
          <w:p w14:paraId="441B859F" w14:textId="77777777" w:rsidR="00BF1F69" w:rsidRPr="000F0228" w:rsidRDefault="00BF1F69" w:rsidP="0065696B">
            <w:pPr>
              <w:spacing w:after="0" w:line="240" w:lineRule="auto"/>
              <w:ind w:firstLine="228"/>
              <w:jc w:val="right"/>
              <w:rPr>
                <w:rFonts w:ascii="Arial" w:eastAsiaTheme="minorEastAsia" w:hAnsi="Arial" w:cs="Arial"/>
                <w:color w:val="000000"/>
                <w:sz w:val="20"/>
                <w:szCs w:val="20"/>
                <w:lang w:eastAsia="ru-RU"/>
              </w:rPr>
            </w:pPr>
          </w:p>
        </w:tc>
        <w:tc>
          <w:tcPr>
            <w:tcW w:w="840" w:type="pct"/>
            <w:tcBorders>
              <w:top w:val="nil"/>
              <w:left w:val="nil"/>
              <w:bottom w:val="nil"/>
              <w:right w:val="nil"/>
            </w:tcBorders>
            <w:shd w:val="clear" w:color="auto" w:fill="auto"/>
          </w:tcPr>
          <w:p w14:paraId="6EE20617" w14:textId="038C2052"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57,208</w:t>
            </w:r>
          </w:p>
        </w:tc>
        <w:tc>
          <w:tcPr>
            <w:tcW w:w="838" w:type="pct"/>
            <w:tcBorders>
              <w:top w:val="nil"/>
              <w:left w:val="nil"/>
              <w:bottom w:val="nil"/>
              <w:right w:val="nil"/>
            </w:tcBorders>
            <w:shd w:val="clear" w:color="auto" w:fill="auto"/>
          </w:tcPr>
          <w:p w14:paraId="70109EAF" w14:textId="59472CBB"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22,879</w:t>
            </w:r>
          </w:p>
        </w:tc>
      </w:tr>
      <w:tr w:rsidR="00BF1F69" w:rsidRPr="000F0228" w14:paraId="42D10F6A" w14:textId="77777777" w:rsidTr="000F0228">
        <w:trPr>
          <w:trHeight w:val="255"/>
        </w:trPr>
        <w:tc>
          <w:tcPr>
            <w:tcW w:w="1213" w:type="pct"/>
            <w:tcBorders>
              <w:top w:val="nil"/>
              <w:left w:val="nil"/>
              <w:bottom w:val="nil"/>
              <w:right w:val="nil"/>
            </w:tcBorders>
            <w:shd w:val="clear" w:color="auto" w:fill="auto"/>
            <w:vAlign w:val="center"/>
            <w:hideMark/>
          </w:tcPr>
          <w:p w14:paraId="6A4298B3" w14:textId="77777777" w:rsidR="00BF1F69" w:rsidRPr="000F0228" w:rsidRDefault="00BF1F69" w:rsidP="0065696B">
            <w:pPr>
              <w:spacing w:after="0" w:line="240" w:lineRule="auto"/>
              <w:rPr>
                <w:rFonts w:ascii="Arial" w:eastAsia="Times New Roman" w:hAnsi="Arial" w:cs="Arial"/>
                <w:color w:val="000000"/>
                <w:sz w:val="20"/>
                <w:szCs w:val="20"/>
                <w:lang w:eastAsia="ru-RU"/>
              </w:rPr>
            </w:pPr>
            <w:r w:rsidRPr="000F0228">
              <w:rPr>
                <w:rFonts w:ascii="Arial" w:eastAsia="Times New Roman" w:hAnsi="Arial" w:cs="Arial"/>
                <w:color w:val="000000"/>
                <w:sz w:val="20"/>
                <w:szCs w:val="20"/>
                <w:lang w:val="en-GB" w:eastAsia="ru-RU"/>
              </w:rPr>
              <w:t xml:space="preserve">Other </w:t>
            </w:r>
            <w:r w:rsidRPr="000F0228">
              <w:rPr>
                <w:rFonts w:ascii="Arial" w:eastAsia="Times New Roman" w:hAnsi="Arial" w:cs="Arial"/>
                <w:b/>
                <w:bCs/>
                <w:i/>
                <w:iCs/>
                <w:color w:val="000000"/>
                <w:sz w:val="20"/>
                <w:szCs w:val="20"/>
                <w:vertAlign w:val="superscript"/>
                <w:lang w:val="en-GB" w:eastAsia="ru-RU"/>
              </w:rPr>
              <w:t>[2]</w:t>
            </w:r>
          </w:p>
        </w:tc>
        <w:tc>
          <w:tcPr>
            <w:tcW w:w="1023" w:type="pct"/>
            <w:tcBorders>
              <w:top w:val="nil"/>
              <w:left w:val="nil"/>
              <w:bottom w:val="single" w:sz="4" w:space="0" w:color="auto"/>
              <w:right w:val="nil"/>
            </w:tcBorders>
            <w:shd w:val="clear" w:color="auto" w:fill="auto"/>
            <w:vAlign w:val="bottom"/>
          </w:tcPr>
          <w:p w14:paraId="17E8F4FB" w14:textId="73D7A70A"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248,334</w:t>
            </w:r>
          </w:p>
        </w:tc>
        <w:tc>
          <w:tcPr>
            <w:tcW w:w="844" w:type="pct"/>
            <w:tcBorders>
              <w:top w:val="nil"/>
              <w:left w:val="nil"/>
              <w:bottom w:val="single" w:sz="4" w:space="0" w:color="auto"/>
              <w:right w:val="nil"/>
            </w:tcBorders>
            <w:shd w:val="clear" w:color="auto" w:fill="auto"/>
            <w:vAlign w:val="bottom"/>
          </w:tcPr>
          <w:p w14:paraId="5F0AEE83" w14:textId="0F74B70D" w:rsidR="00BF1F69" w:rsidRPr="000F0228" w:rsidRDefault="00DB5AAE" w:rsidP="0065696B">
            <w:pPr>
              <w:spacing w:after="0" w:line="240" w:lineRule="auto"/>
              <w:ind w:right="3" w:firstLine="228"/>
              <w:jc w:val="right"/>
              <w:rPr>
                <w:rFonts w:ascii="Arial" w:eastAsia="Times New Roman" w:hAnsi="Arial" w:cs="Arial"/>
                <w:color w:val="000000"/>
                <w:sz w:val="20"/>
                <w:szCs w:val="20"/>
                <w:lang w:eastAsia="ru-RU"/>
              </w:rPr>
            </w:pPr>
            <w:r w:rsidRPr="000D120B">
              <w:rPr>
                <w:rFonts w:ascii="Arial" w:hAnsi="Arial" w:cs="Arial"/>
                <w:sz w:val="20"/>
                <w:szCs w:val="20"/>
              </w:rPr>
              <w:t xml:space="preserve"> 13,129   </w:t>
            </w:r>
          </w:p>
        </w:tc>
        <w:tc>
          <w:tcPr>
            <w:tcW w:w="242" w:type="pct"/>
            <w:tcBorders>
              <w:top w:val="nil"/>
              <w:left w:val="nil"/>
              <w:right w:val="nil"/>
            </w:tcBorders>
            <w:vAlign w:val="bottom"/>
          </w:tcPr>
          <w:p w14:paraId="416D13AC" w14:textId="77777777" w:rsidR="00BF1F69" w:rsidRPr="000F0228" w:rsidRDefault="00BF1F69" w:rsidP="0065696B">
            <w:pPr>
              <w:spacing w:after="0" w:line="240" w:lineRule="auto"/>
              <w:ind w:firstLine="228"/>
              <w:jc w:val="right"/>
              <w:rPr>
                <w:rFonts w:ascii="Arial" w:eastAsia="Times New Roman" w:hAnsi="Arial" w:cs="Arial"/>
                <w:color w:val="000000"/>
                <w:sz w:val="20"/>
                <w:szCs w:val="20"/>
                <w:lang w:eastAsia="ru-RU"/>
              </w:rPr>
            </w:pPr>
          </w:p>
        </w:tc>
        <w:tc>
          <w:tcPr>
            <w:tcW w:w="840" w:type="pct"/>
            <w:tcBorders>
              <w:top w:val="nil"/>
              <w:left w:val="nil"/>
              <w:bottom w:val="single" w:sz="4" w:space="0" w:color="auto"/>
              <w:right w:val="nil"/>
            </w:tcBorders>
            <w:shd w:val="clear" w:color="auto" w:fill="auto"/>
          </w:tcPr>
          <w:p w14:paraId="10987F89" w14:textId="18E116CD" w:rsidR="00BF1F69" w:rsidRPr="000F0228" w:rsidRDefault="00DB5AAE" w:rsidP="0065696B">
            <w:pPr>
              <w:spacing w:after="0" w:line="240" w:lineRule="auto"/>
              <w:ind w:right="3" w:firstLine="228"/>
              <w:jc w:val="right"/>
              <w:rPr>
                <w:rFonts w:ascii="Arial" w:eastAsia="Times New Roman" w:hAnsi="Arial" w:cs="Arial"/>
                <w:bCs/>
                <w:color w:val="000000"/>
                <w:sz w:val="20"/>
                <w:szCs w:val="20"/>
                <w:lang w:eastAsia="ru-RU"/>
              </w:rPr>
            </w:pPr>
            <w:r w:rsidRPr="000D120B">
              <w:rPr>
                <w:rFonts w:ascii="Arial" w:hAnsi="Arial" w:cs="Arial"/>
                <w:sz w:val="20"/>
                <w:szCs w:val="20"/>
              </w:rPr>
              <w:t>348,590</w:t>
            </w:r>
          </w:p>
        </w:tc>
        <w:tc>
          <w:tcPr>
            <w:tcW w:w="838" w:type="pct"/>
            <w:tcBorders>
              <w:top w:val="nil"/>
              <w:left w:val="nil"/>
              <w:bottom w:val="single" w:sz="4" w:space="0" w:color="auto"/>
              <w:right w:val="nil"/>
            </w:tcBorders>
            <w:shd w:val="clear" w:color="auto" w:fill="auto"/>
          </w:tcPr>
          <w:p w14:paraId="45615A46" w14:textId="3FECE351" w:rsidR="00BF1F69" w:rsidRPr="000F0228" w:rsidRDefault="00DB5AAE" w:rsidP="0065696B">
            <w:pPr>
              <w:spacing w:after="0" w:line="240" w:lineRule="auto"/>
              <w:ind w:right="3" w:firstLine="228"/>
              <w:jc w:val="right"/>
              <w:rPr>
                <w:rFonts w:ascii="Arial" w:eastAsia="Times New Roman" w:hAnsi="Arial" w:cs="Arial"/>
                <w:bCs/>
                <w:color w:val="000000"/>
                <w:sz w:val="20"/>
                <w:szCs w:val="20"/>
                <w:lang w:eastAsia="ru-RU"/>
              </w:rPr>
            </w:pPr>
            <w:r w:rsidRPr="000D120B">
              <w:rPr>
                <w:rFonts w:ascii="Arial" w:hAnsi="Arial" w:cs="Arial"/>
                <w:sz w:val="20"/>
                <w:szCs w:val="20"/>
              </w:rPr>
              <w:t xml:space="preserve"> 18,715   </w:t>
            </w:r>
          </w:p>
        </w:tc>
      </w:tr>
      <w:tr w:rsidR="00BF1F69" w:rsidRPr="000F0228" w14:paraId="11779EC3" w14:textId="77777777" w:rsidTr="000F0228">
        <w:trPr>
          <w:trHeight w:val="255"/>
        </w:trPr>
        <w:tc>
          <w:tcPr>
            <w:tcW w:w="1213" w:type="pct"/>
            <w:tcBorders>
              <w:top w:val="nil"/>
              <w:left w:val="nil"/>
              <w:bottom w:val="nil"/>
              <w:right w:val="nil"/>
            </w:tcBorders>
            <w:shd w:val="clear" w:color="auto" w:fill="auto"/>
            <w:vAlign w:val="center"/>
            <w:hideMark/>
          </w:tcPr>
          <w:p w14:paraId="69492322" w14:textId="77777777" w:rsidR="00BF1F69" w:rsidRPr="000F0228" w:rsidRDefault="00BF1F69" w:rsidP="0065696B">
            <w:pPr>
              <w:spacing w:after="0" w:line="240" w:lineRule="auto"/>
              <w:rPr>
                <w:rFonts w:ascii="Arial" w:eastAsia="Times New Roman" w:hAnsi="Arial" w:cs="Arial"/>
                <w:b/>
                <w:bCs/>
                <w:color w:val="000000"/>
                <w:sz w:val="20"/>
                <w:szCs w:val="20"/>
                <w:lang w:eastAsia="ru-RU"/>
              </w:rPr>
            </w:pPr>
            <w:r w:rsidRPr="000F0228">
              <w:rPr>
                <w:rFonts w:ascii="Arial" w:eastAsia="Times New Roman" w:hAnsi="Arial" w:cs="Arial"/>
                <w:b/>
                <w:bCs/>
                <w:color w:val="000000"/>
                <w:sz w:val="20"/>
                <w:szCs w:val="20"/>
                <w:lang w:val="en-GB" w:eastAsia="ru-RU"/>
              </w:rPr>
              <w:t>Total</w:t>
            </w:r>
          </w:p>
        </w:tc>
        <w:tc>
          <w:tcPr>
            <w:tcW w:w="1023" w:type="pct"/>
            <w:tcBorders>
              <w:top w:val="single" w:sz="4" w:space="0" w:color="auto"/>
              <w:left w:val="nil"/>
              <w:bottom w:val="single" w:sz="12" w:space="0" w:color="auto"/>
              <w:right w:val="nil"/>
            </w:tcBorders>
            <w:shd w:val="clear" w:color="auto" w:fill="auto"/>
            <w:vAlign w:val="bottom"/>
          </w:tcPr>
          <w:p w14:paraId="35D5B016" w14:textId="5E8E8057" w:rsidR="00BF1F69" w:rsidRPr="000F0228" w:rsidRDefault="00DB5AAE" w:rsidP="0065696B">
            <w:pPr>
              <w:spacing w:after="0" w:line="240" w:lineRule="auto"/>
              <w:ind w:firstLine="228"/>
              <w:jc w:val="right"/>
              <w:rPr>
                <w:rFonts w:ascii="Arial" w:eastAsia="Times New Roman" w:hAnsi="Arial" w:cs="Arial"/>
                <w:b/>
                <w:color w:val="000000"/>
                <w:sz w:val="20"/>
                <w:szCs w:val="20"/>
                <w:lang w:eastAsia="ru-RU"/>
              </w:rPr>
            </w:pPr>
            <w:r w:rsidRPr="000D120B">
              <w:rPr>
                <w:rFonts w:ascii="Arial" w:hAnsi="Arial" w:cs="Arial"/>
                <w:b/>
                <w:sz w:val="20"/>
                <w:szCs w:val="20"/>
              </w:rPr>
              <w:t>1,934,647</w:t>
            </w:r>
          </w:p>
        </w:tc>
        <w:tc>
          <w:tcPr>
            <w:tcW w:w="844" w:type="pct"/>
            <w:tcBorders>
              <w:top w:val="single" w:sz="4" w:space="0" w:color="auto"/>
              <w:left w:val="nil"/>
              <w:bottom w:val="single" w:sz="12" w:space="0" w:color="auto"/>
              <w:right w:val="nil"/>
            </w:tcBorders>
            <w:shd w:val="clear" w:color="auto" w:fill="auto"/>
            <w:vAlign w:val="bottom"/>
          </w:tcPr>
          <w:p w14:paraId="61D10293" w14:textId="4431D070" w:rsidR="00BF1F69" w:rsidRPr="000F0228" w:rsidRDefault="00DB5AAE" w:rsidP="0065696B">
            <w:pPr>
              <w:spacing w:after="0" w:line="240" w:lineRule="auto"/>
              <w:ind w:firstLine="228"/>
              <w:jc w:val="right"/>
              <w:rPr>
                <w:rFonts w:ascii="Arial" w:eastAsia="Times New Roman" w:hAnsi="Arial" w:cs="Arial"/>
                <w:b/>
                <w:color w:val="000000"/>
                <w:sz w:val="20"/>
                <w:szCs w:val="20"/>
                <w:lang w:eastAsia="ru-RU"/>
              </w:rPr>
            </w:pPr>
            <w:r w:rsidRPr="000D120B">
              <w:rPr>
                <w:rFonts w:ascii="Arial" w:hAnsi="Arial" w:cs="Arial"/>
                <w:b/>
                <w:sz w:val="20"/>
                <w:szCs w:val="20"/>
              </w:rPr>
              <w:t xml:space="preserve"> 340,748   </w:t>
            </w:r>
          </w:p>
        </w:tc>
        <w:tc>
          <w:tcPr>
            <w:tcW w:w="242" w:type="pct"/>
            <w:tcBorders>
              <w:left w:val="nil"/>
              <w:right w:val="nil"/>
            </w:tcBorders>
            <w:vAlign w:val="bottom"/>
          </w:tcPr>
          <w:p w14:paraId="2A5C9F4A" w14:textId="77777777" w:rsidR="00BF1F69" w:rsidRPr="000F0228" w:rsidRDefault="00BF1F69" w:rsidP="0065696B">
            <w:pPr>
              <w:spacing w:after="0" w:line="240" w:lineRule="auto"/>
              <w:ind w:firstLine="228"/>
              <w:jc w:val="right"/>
              <w:rPr>
                <w:rFonts w:ascii="Arial" w:eastAsia="Times New Roman" w:hAnsi="Arial" w:cs="Arial"/>
                <w:b/>
                <w:color w:val="000000"/>
                <w:sz w:val="20"/>
                <w:szCs w:val="20"/>
                <w:lang w:eastAsia="ru-RU"/>
              </w:rPr>
            </w:pPr>
          </w:p>
        </w:tc>
        <w:tc>
          <w:tcPr>
            <w:tcW w:w="840" w:type="pct"/>
            <w:tcBorders>
              <w:top w:val="single" w:sz="4" w:space="0" w:color="auto"/>
              <w:left w:val="nil"/>
              <w:bottom w:val="single" w:sz="12" w:space="0" w:color="auto"/>
              <w:right w:val="nil"/>
            </w:tcBorders>
            <w:shd w:val="clear" w:color="auto" w:fill="auto"/>
          </w:tcPr>
          <w:p w14:paraId="3E57A436" w14:textId="308AEE8E" w:rsidR="00BF1F69" w:rsidRPr="000F0228" w:rsidRDefault="00DB5AAE" w:rsidP="0065696B">
            <w:pPr>
              <w:spacing w:after="0" w:line="240" w:lineRule="auto"/>
              <w:ind w:firstLine="228"/>
              <w:jc w:val="right"/>
              <w:rPr>
                <w:rFonts w:ascii="Arial" w:eastAsia="Times New Roman" w:hAnsi="Arial" w:cs="Arial"/>
                <w:b/>
                <w:color w:val="000000"/>
                <w:sz w:val="20"/>
                <w:szCs w:val="20"/>
                <w:lang w:eastAsia="ru-RU"/>
              </w:rPr>
            </w:pPr>
            <w:r w:rsidRPr="000D120B">
              <w:rPr>
                <w:rFonts w:ascii="Arial" w:hAnsi="Arial" w:cs="Arial"/>
                <w:b/>
                <w:sz w:val="20"/>
                <w:szCs w:val="20"/>
              </w:rPr>
              <w:t>2,596,855</w:t>
            </w:r>
          </w:p>
        </w:tc>
        <w:tc>
          <w:tcPr>
            <w:tcW w:w="838" w:type="pct"/>
            <w:tcBorders>
              <w:top w:val="single" w:sz="4" w:space="0" w:color="auto"/>
              <w:left w:val="nil"/>
              <w:bottom w:val="single" w:sz="12" w:space="0" w:color="auto"/>
              <w:right w:val="nil"/>
            </w:tcBorders>
            <w:shd w:val="clear" w:color="auto" w:fill="auto"/>
          </w:tcPr>
          <w:p w14:paraId="43438CA6" w14:textId="715EF3F1" w:rsidR="00BF1F69" w:rsidRPr="000F0228" w:rsidRDefault="00DB5AAE" w:rsidP="0065696B">
            <w:pPr>
              <w:spacing w:after="0" w:line="240" w:lineRule="auto"/>
              <w:ind w:firstLine="228"/>
              <w:jc w:val="right"/>
              <w:rPr>
                <w:rFonts w:ascii="Arial" w:eastAsia="Times New Roman" w:hAnsi="Arial" w:cs="Arial"/>
                <w:b/>
                <w:color w:val="000000"/>
                <w:sz w:val="20"/>
                <w:szCs w:val="20"/>
                <w:lang w:eastAsia="ru-RU"/>
              </w:rPr>
            </w:pPr>
            <w:r w:rsidRPr="000D120B">
              <w:rPr>
                <w:rFonts w:ascii="Arial" w:hAnsi="Arial" w:cs="Arial"/>
                <w:b/>
                <w:sz w:val="20"/>
                <w:szCs w:val="20"/>
              </w:rPr>
              <w:t xml:space="preserve"> 351,440   </w:t>
            </w:r>
          </w:p>
        </w:tc>
      </w:tr>
    </w:tbl>
    <w:p w14:paraId="119B212C" w14:textId="23F05ED8" w:rsidR="000F0228" w:rsidRDefault="000F0228" w:rsidP="000F0228">
      <w:pPr>
        <w:pStyle w:val="Default"/>
        <w:jc w:val="both"/>
        <w:rPr>
          <w:i/>
          <w:iCs/>
          <w:color w:val="auto"/>
          <w:sz w:val="16"/>
          <w:szCs w:val="20"/>
          <w:lang w:val="en-US"/>
        </w:rPr>
      </w:pPr>
      <w:r>
        <w:rPr>
          <w:b/>
          <w:i/>
          <w:iCs/>
          <w:color w:val="auto"/>
          <w:sz w:val="16"/>
          <w:szCs w:val="20"/>
          <w:vertAlign w:val="superscript"/>
          <w:lang w:val="en-US"/>
        </w:rPr>
        <w:t xml:space="preserve"> </w:t>
      </w:r>
      <w:r w:rsidRPr="00295DC2">
        <w:rPr>
          <w:b/>
          <w:i/>
          <w:iCs/>
          <w:color w:val="auto"/>
          <w:sz w:val="16"/>
          <w:szCs w:val="20"/>
          <w:vertAlign w:val="superscript"/>
          <w:lang w:val="en-US"/>
        </w:rPr>
        <w:t>[1]</w:t>
      </w:r>
      <w:r w:rsidRPr="00295DC2">
        <w:rPr>
          <w:i/>
          <w:iCs/>
          <w:color w:val="auto"/>
          <w:sz w:val="16"/>
          <w:szCs w:val="20"/>
          <w:lang w:val="en-US"/>
        </w:rPr>
        <w:t xml:space="preserve"> Only land of </w:t>
      </w:r>
      <w:r w:rsidR="00A9067D">
        <w:rPr>
          <w:i/>
          <w:iCs/>
          <w:color w:val="auto"/>
          <w:sz w:val="16"/>
          <w:szCs w:val="20"/>
          <w:lang w:val="en-US"/>
        </w:rPr>
        <w:t>G</w:t>
      </w:r>
      <w:r w:rsidRPr="00295DC2">
        <w:rPr>
          <w:i/>
          <w:iCs/>
          <w:color w:val="auto"/>
          <w:sz w:val="16"/>
          <w:szCs w:val="20"/>
          <w:lang w:val="en-US"/>
        </w:rPr>
        <w:t xml:space="preserve">rain </w:t>
      </w:r>
      <w:r w:rsidR="00A9067D">
        <w:rPr>
          <w:i/>
          <w:iCs/>
          <w:color w:val="auto"/>
          <w:sz w:val="16"/>
          <w:szCs w:val="20"/>
          <w:lang w:val="en-US"/>
        </w:rPr>
        <w:t>G</w:t>
      </w:r>
      <w:r w:rsidRPr="00295DC2">
        <w:rPr>
          <w:i/>
          <w:iCs/>
          <w:color w:val="auto"/>
          <w:sz w:val="16"/>
          <w:szCs w:val="20"/>
          <w:lang w:val="en-US"/>
        </w:rPr>
        <w:t xml:space="preserve">rowing </w:t>
      </w:r>
      <w:r w:rsidR="00A9067D">
        <w:rPr>
          <w:i/>
          <w:iCs/>
          <w:color w:val="auto"/>
          <w:sz w:val="16"/>
          <w:szCs w:val="20"/>
          <w:lang w:val="en-US"/>
        </w:rPr>
        <w:t>S</w:t>
      </w:r>
      <w:r w:rsidRPr="00295DC2">
        <w:rPr>
          <w:i/>
          <w:iCs/>
          <w:color w:val="auto"/>
          <w:sz w:val="16"/>
          <w:szCs w:val="20"/>
          <w:lang w:val="en-US"/>
        </w:rPr>
        <w:t>egment;</w:t>
      </w:r>
    </w:p>
    <w:p w14:paraId="0088A963" w14:textId="3395B706" w:rsidR="000F0228" w:rsidRDefault="000F0228" w:rsidP="000F0228">
      <w:pPr>
        <w:pStyle w:val="Default"/>
        <w:jc w:val="both"/>
        <w:rPr>
          <w:i/>
          <w:iCs/>
          <w:color w:val="auto"/>
          <w:sz w:val="16"/>
          <w:szCs w:val="20"/>
          <w:lang w:val="en-US"/>
        </w:rPr>
      </w:pPr>
      <w:r w:rsidRPr="00295DC2" w:rsidDel="00807BDE">
        <w:rPr>
          <w:b/>
          <w:i/>
          <w:iCs/>
          <w:color w:val="auto"/>
          <w:sz w:val="16"/>
          <w:szCs w:val="20"/>
          <w:vertAlign w:val="superscript"/>
          <w:lang w:val="en-US"/>
        </w:rPr>
        <w:t xml:space="preserve"> </w:t>
      </w:r>
      <w:r w:rsidRPr="00295DC2">
        <w:rPr>
          <w:b/>
          <w:i/>
          <w:iCs/>
          <w:color w:val="auto"/>
          <w:sz w:val="16"/>
          <w:szCs w:val="20"/>
          <w:vertAlign w:val="superscript"/>
          <w:lang w:val="en-US"/>
        </w:rPr>
        <w:t>[2]</w:t>
      </w:r>
      <w:r w:rsidRPr="00295DC2">
        <w:rPr>
          <w:i/>
          <w:iCs/>
          <w:color w:val="auto"/>
          <w:sz w:val="16"/>
          <w:szCs w:val="20"/>
          <w:lang w:val="en-US"/>
        </w:rPr>
        <w:t xml:space="preserve"> Including barley, rye, sugar beet, sorghum and other and excluding land left fallow as part of crop rotation;</w:t>
      </w:r>
    </w:p>
    <w:p w14:paraId="4A3A044C" w14:textId="7B1086C1" w:rsidR="009A4EF1" w:rsidRPr="004343DD" w:rsidRDefault="00D9700A" w:rsidP="00C6165F">
      <w:pPr>
        <w:spacing w:before="120" w:after="120"/>
        <w:jc w:val="both"/>
        <w:rPr>
          <w:rFonts w:ascii="Arial" w:eastAsia="Times New Roman" w:hAnsi="Arial" w:cs="Arial"/>
          <w:color w:val="000000"/>
          <w:sz w:val="20"/>
          <w:szCs w:val="20"/>
          <w:lang w:eastAsia="ru-RU"/>
        </w:rPr>
      </w:pPr>
      <w:r w:rsidRPr="004343DD">
        <w:rPr>
          <w:rFonts w:ascii="Arial" w:hAnsi="Arial" w:cs="Arial"/>
          <w:b/>
          <w:bCs/>
          <w:color w:val="000000" w:themeColor="text1"/>
          <w:sz w:val="20"/>
          <w:szCs w:val="20"/>
        </w:rPr>
        <w:t>Yields</w:t>
      </w:r>
    </w:p>
    <w:tbl>
      <w:tblPr>
        <w:tblW w:w="5000" w:type="pct"/>
        <w:tblLook w:val="04A0" w:firstRow="1" w:lastRow="0" w:firstColumn="1" w:lastColumn="0" w:noHBand="0" w:noVBand="1"/>
      </w:tblPr>
      <w:tblGrid>
        <w:gridCol w:w="2587"/>
        <w:gridCol w:w="269"/>
        <w:gridCol w:w="1771"/>
        <w:gridCol w:w="1771"/>
        <w:gridCol w:w="273"/>
        <w:gridCol w:w="1838"/>
        <w:gridCol w:w="1838"/>
      </w:tblGrid>
      <w:tr w:rsidR="009A4EF1" w:rsidRPr="00BD72AE" w14:paraId="00A011B4" w14:textId="77777777" w:rsidTr="00207C83">
        <w:trPr>
          <w:trHeight w:val="300"/>
        </w:trPr>
        <w:tc>
          <w:tcPr>
            <w:tcW w:w="1250" w:type="pct"/>
            <w:tcBorders>
              <w:top w:val="nil"/>
              <w:left w:val="nil"/>
              <w:bottom w:val="single" w:sz="12" w:space="0" w:color="auto"/>
              <w:right w:val="nil"/>
            </w:tcBorders>
            <w:shd w:val="clear" w:color="auto" w:fill="auto"/>
            <w:vAlign w:val="center"/>
            <w:hideMark/>
          </w:tcPr>
          <w:p w14:paraId="181B1503" w14:textId="77777777" w:rsidR="009A4EF1" w:rsidRPr="00BD72AE" w:rsidRDefault="009A4EF1" w:rsidP="00207C83">
            <w:pPr>
              <w:spacing w:after="0" w:line="240" w:lineRule="auto"/>
              <w:jc w:val="both"/>
              <w:rPr>
                <w:rFonts w:ascii="Arial" w:eastAsia="Times New Roman" w:hAnsi="Arial" w:cs="Arial"/>
                <w:color w:val="000000"/>
                <w:sz w:val="20"/>
                <w:szCs w:val="20"/>
                <w:lang w:eastAsia="ru-RU"/>
              </w:rPr>
            </w:pPr>
          </w:p>
        </w:tc>
        <w:tc>
          <w:tcPr>
            <w:tcW w:w="130" w:type="pct"/>
            <w:tcBorders>
              <w:left w:val="nil"/>
              <w:right w:val="nil"/>
            </w:tcBorders>
          </w:tcPr>
          <w:p w14:paraId="6201D414" w14:textId="77777777" w:rsidR="009A4EF1" w:rsidRPr="00BD72AE" w:rsidRDefault="009A4EF1" w:rsidP="00207C83">
            <w:pPr>
              <w:spacing w:after="0" w:line="240" w:lineRule="auto"/>
              <w:ind w:right="531"/>
              <w:jc w:val="center"/>
              <w:rPr>
                <w:rFonts w:ascii="Arial" w:eastAsia="Times New Roman" w:hAnsi="Arial" w:cs="Arial"/>
                <w:b/>
                <w:bCs/>
                <w:i/>
                <w:iCs/>
                <w:color w:val="000000"/>
                <w:sz w:val="20"/>
                <w:szCs w:val="20"/>
                <w:lang w:val="en-GB" w:eastAsia="ru-RU"/>
              </w:rPr>
            </w:pPr>
          </w:p>
        </w:tc>
        <w:tc>
          <w:tcPr>
            <w:tcW w:w="1712" w:type="pct"/>
            <w:gridSpan w:val="2"/>
            <w:tcBorders>
              <w:left w:val="nil"/>
              <w:bottom w:val="single" w:sz="12" w:space="0" w:color="auto"/>
              <w:right w:val="nil"/>
            </w:tcBorders>
            <w:shd w:val="clear" w:color="auto" w:fill="auto"/>
            <w:vAlign w:val="center"/>
            <w:hideMark/>
          </w:tcPr>
          <w:p w14:paraId="7B31E1BF" w14:textId="440E9392" w:rsidR="009A4EF1" w:rsidRPr="00BD72AE" w:rsidRDefault="009A4EF1" w:rsidP="00207C83">
            <w:pPr>
              <w:spacing w:after="0" w:line="240" w:lineRule="auto"/>
              <w:ind w:right="531"/>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2022</w:t>
            </w:r>
          </w:p>
        </w:tc>
        <w:tc>
          <w:tcPr>
            <w:tcW w:w="132" w:type="pct"/>
            <w:tcBorders>
              <w:left w:val="nil"/>
              <w:bottom w:val="nil"/>
              <w:right w:val="nil"/>
            </w:tcBorders>
          </w:tcPr>
          <w:p w14:paraId="43AE5E76" w14:textId="77777777" w:rsidR="009A4EF1" w:rsidRPr="00BD72AE" w:rsidRDefault="009A4EF1" w:rsidP="00207C83">
            <w:pPr>
              <w:spacing w:after="0" w:line="240" w:lineRule="auto"/>
              <w:ind w:right="531"/>
              <w:jc w:val="center"/>
              <w:rPr>
                <w:rFonts w:ascii="Arial" w:eastAsia="Times New Roman" w:hAnsi="Arial" w:cs="Arial"/>
                <w:b/>
                <w:bCs/>
                <w:i/>
                <w:iCs/>
                <w:color w:val="000000"/>
                <w:sz w:val="20"/>
                <w:szCs w:val="20"/>
                <w:lang w:val="en-GB" w:eastAsia="ru-RU"/>
              </w:rPr>
            </w:pPr>
          </w:p>
        </w:tc>
        <w:tc>
          <w:tcPr>
            <w:tcW w:w="1776" w:type="pct"/>
            <w:gridSpan w:val="2"/>
            <w:tcBorders>
              <w:left w:val="nil"/>
              <w:bottom w:val="single" w:sz="12" w:space="0" w:color="auto"/>
              <w:right w:val="nil"/>
            </w:tcBorders>
            <w:shd w:val="clear" w:color="auto" w:fill="auto"/>
            <w:vAlign w:val="center"/>
            <w:hideMark/>
          </w:tcPr>
          <w:p w14:paraId="136ABB4C" w14:textId="7E4032CF" w:rsidR="009A4EF1" w:rsidRPr="00BD72AE" w:rsidRDefault="009A4EF1" w:rsidP="00207C83">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2021</w:t>
            </w:r>
          </w:p>
        </w:tc>
      </w:tr>
      <w:tr w:rsidR="009A4EF1" w:rsidRPr="00BD72AE" w14:paraId="34E69E0E" w14:textId="77777777" w:rsidTr="00207C83">
        <w:trPr>
          <w:trHeight w:val="566"/>
        </w:trPr>
        <w:tc>
          <w:tcPr>
            <w:tcW w:w="1250" w:type="pct"/>
            <w:tcBorders>
              <w:top w:val="single" w:sz="12" w:space="0" w:color="auto"/>
              <w:left w:val="nil"/>
              <w:bottom w:val="nil"/>
              <w:right w:val="nil"/>
            </w:tcBorders>
            <w:shd w:val="clear" w:color="auto" w:fill="auto"/>
            <w:vAlign w:val="center"/>
            <w:hideMark/>
          </w:tcPr>
          <w:p w14:paraId="17D3D79F" w14:textId="77777777" w:rsidR="009A4EF1" w:rsidRPr="00BD72AE" w:rsidRDefault="009A4EF1" w:rsidP="00207C83">
            <w:pPr>
              <w:spacing w:after="0" w:line="240" w:lineRule="auto"/>
              <w:jc w:val="both"/>
              <w:rPr>
                <w:rFonts w:ascii="Arial" w:eastAsia="Times New Roman" w:hAnsi="Arial" w:cs="Arial"/>
                <w:b/>
                <w:bCs/>
                <w:color w:val="000000"/>
                <w:sz w:val="20"/>
                <w:szCs w:val="20"/>
                <w:lang w:val="uk-UA" w:eastAsia="ru-RU"/>
              </w:rPr>
            </w:pPr>
          </w:p>
        </w:tc>
        <w:tc>
          <w:tcPr>
            <w:tcW w:w="130" w:type="pct"/>
            <w:tcBorders>
              <w:left w:val="nil"/>
              <w:right w:val="nil"/>
            </w:tcBorders>
          </w:tcPr>
          <w:p w14:paraId="3503AF34" w14:textId="77777777" w:rsidR="009A4EF1" w:rsidRPr="00BD72AE" w:rsidRDefault="009A4EF1" w:rsidP="00207C83">
            <w:pPr>
              <w:spacing w:after="0" w:line="240" w:lineRule="auto"/>
              <w:jc w:val="center"/>
              <w:rPr>
                <w:rFonts w:ascii="Arial" w:eastAsia="Times New Roman" w:hAnsi="Arial" w:cs="Arial"/>
                <w:b/>
                <w:bCs/>
                <w:i/>
                <w:iCs/>
                <w:color w:val="000000"/>
                <w:sz w:val="20"/>
                <w:szCs w:val="20"/>
                <w:lang w:val="en-GB" w:eastAsia="ru-RU"/>
              </w:rPr>
            </w:pPr>
          </w:p>
        </w:tc>
        <w:tc>
          <w:tcPr>
            <w:tcW w:w="856" w:type="pct"/>
            <w:tcBorders>
              <w:top w:val="single" w:sz="12" w:space="0" w:color="auto"/>
              <w:left w:val="nil"/>
              <w:right w:val="nil"/>
            </w:tcBorders>
            <w:shd w:val="clear" w:color="auto" w:fill="auto"/>
            <w:vAlign w:val="center"/>
            <w:hideMark/>
          </w:tcPr>
          <w:p w14:paraId="696524F5" w14:textId="77777777" w:rsidR="009A4EF1" w:rsidRPr="00BD72AE" w:rsidRDefault="009A4EF1" w:rsidP="00207C83">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MHP’s</w:t>
            </w:r>
          </w:p>
          <w:p w14:paraId="6847C300" w14:textId="16ED3291" w:rsidR="009A4EF1" w:rsidRPr="00BD72AE" w:rsidRDefault="009A4EF1" w:rsidP="00207C83">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average</w:t>
            </w:r>
            <w:r w:rsidR="00870A8E" w:rsidRPr="007E6E13">
              <w:rPr>
                <w:rFonts w:ascii="Arial" w:eastAsia="Times New Roman" w:hAnsi="Arial" w:cs="Arial"/>
                <w:b/>
                <w:bCs/>
                <w:i/>
                <w:iCs/>
                <w:color w:val="000000"/>
                <w:sz w:val="20"/>
                <w:szCs w:val="20"/>
                <w:vertAlign w:val="superscript"/>
                <w:lang w:val="en-GB" w:eastAsia="ru-RU"/>
              </w:rPr>
              <w:t>[1]</w:t>
            </w:r>
          </w:p>
        </w:tc>
        <w:tc>
          <w:tcPr>
            <w:tcW w:w="856" w:type="pct"/>
            <w:tcBorders>
              <w:top w:val="single" w:sz="12" w:space="0" w:color="auto"/>
              <w:left w:val="nil"/>
              <w:bottom w:val="nil"/>
              <w:right w:val="nil"/>
            </w:tcBorders>
            <w:shd w:val="clear" w:color="auto" w:fill="auto"/>
            <w:vAlign w:val="center"/>
            <w:hideMark/>
          </w:tcPr>
          <w:p w14:paraId="2410C00D" w14:textId="754815E3" w:rsidR="009A4EF1" w:rsidRPr="00BD72AE" w:rsidRDefault="009A4EF1" w:rsidP="00207C83">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Ukraine’s average</w:t>
            </w:r>
            <w:r w:rsidR="00870A8E" w:rsidRPr="007E6E13">
              <w:rPr>
                <w:rFonts w:ascii="Arial" w:eastAsia="Times New Roman" w:hAnsi="Arial" w:cs="Arial"/>
                <w:b/>
                <w:bCs/>
                <w:i/>
                <w:iCs/>
                <w:color w:val="000000"/>
                <w:sz w:val="20"/>
                <w:szCs w:val="20"/>
                <w:vertAlign w:val="superscript"/>
                <w:lang w:val="en-GB" w:eastAsia="ru-RU"/>
              </w:rPr>
              <w:t>[1]</w:t>
            </w:r>
          </w:p>
        </w:tc>
        <w:tc>
          <w:tcPr>
            <w:tcW w:w="132" w:type="pct"/>
            <w:tcBorders>
              <w:top w:val="nil"/>
              <w:left w:val="nil"/>
              <w:right w:val="nil"/>
            </w:tcBorders>
          </w:tcPr>
          <w:p w14:paraId="31A47F86" w14:textId="77777777" w:rsidR="009A4EF1" w:rsidRPr="00BD72AE" w:rsidRDefault="009A4EF1" w:rsidP="00207C83">
            <w:pPr>
              <w:spacing w:after="0" w:line="240" w:lineRule="auto"/>
              <w:jc w:val="center"/>
              <w:rPr>
                <w:rFonts w:ascii="Arial" w:eastAsia="Times New Roman" w:hAnsi="Arial" w:cs="Arial"/>
                <w:b/>
                <w:bCs/>
                <w:i/>
                <w:iCs/>
                <w:color w:val="000000"/>
                <w:sz w:val="20"/>
                <w:szCs w:val="20"/>
                <w:lang w:val="en-GB" w:eastAsia="ru-RU"/>
              </w:rPr>
            </w:pPr>
          </w:p>
        </w:tc>
        <w:tc>
          <w:tcPr>
            <w:tcW w:w="888" w:type="pct"/>
            <w:tcBorders>
              <w:top w:val="nil"/>
              <w:left w:val="nil"/>
              <w:right w:val="nil"/>
            </w:tcBorders>
            <w:shd w:val="clear" w:color="auto" w:fill="auto"/>
            <w:vAlign w:val="center"/>
            <w:hideMark/>
          </w:tcPr>
          <w:p w14:paraId="0EBD187E" w14:textId="77777777" w:rsidR="009A4EF1" w:rsidRPr="00BD72AE" w:rsidRDefault="009A4EF1" w:rsidP="00207C83">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MHP’s</w:t>
            </w:r>
          </w:p>
          <w:p w14:paraId="076140F7" w14:textId="50F9221C" w:rsidR="009A4EF1" w:rsidRPr="00BD72AE" w:rsidRDefault="009A4EF1" w:rsidP="00207C83">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average</w:t>
            </w:r>
            <w:r w:rsidR="00870A8E" w:rsidRPr="007E6E13">
              <w:rPr>
                <w:rFonts w:ascii="Arial" w:eastAsia="Times New Roman" w:hAnsi="Arial" w:cs="Arial"/>
                <w:b/>
                <w:bCs/>
                <w:i/>
                <w:iCs/>
                <w:color w:val="000000"/>
                <w:sz w:val="20"/>
                <w:szCs w:val="20"/>
                <w:vertAlign w:val="superscript"/>
                <w:lang w:val="en-GB" w:eastAsia="ru-RU"/>
              </w:rPr>
              <w:t>[1]</w:t>
            </w:r>
          </w:p>
        </w:tc>
        <w:tc>
          <w:tcPr>
            <w:tcW w:w="888" w:type="pct"/>
            <w:tcBorders>
              <w:top w:val="nil"/>
              <w:left w:val="nil"/>
              <w:bottom w:val="nil"/>
              <w:right w:val="nil"/>
            </w:tcBorders>
            <w:shd w:val="clear" w:color="auto" w:fill="auto"/>
            <w:vAlign w:val="center"/>
            <w:hideMark/>
          </w:tcPr>
          <w:p w14:paraId="3905F722" w14:textId="2609947F" w:rsidR="009A4EF1" w:rsidRPr="00BD72AE" w:rsidRDefault="009A4EF1" w:rsidP="00207C83">
            <w:pPr>
              <w:spacing w:after="0" w:line="240" w:lineRule="auto"/>
              <w:jc w:val="center"/>
              <w:rPr>
                <w:rFonts w:ascii="Arial" w:eastAsia="Times New Roman" w:hAnsi="Arial" w:cs="Arial"/>
                <w:b/>
                <w:bCs/>
                <w:i/>
                <w:iCs/>
                <w:color w:val="000000"/>
                <w:sz w:val="20"/>
                <w:szCs w:val="20"/>
                <w:lang w:val="uk-UA" w:eastAsia="ru-RU"/>
              </w:rPr>
            </w:pPr>
            <w:r w:rsidRPr="00BD72AE">
              <w:rPr>
                <w:rFonts w:ascii="Arial" w:eastAsia="Times New Roman" w:hAnsi="Arial" w:cs="Arial"/>
                <w:b/>
                <w:bCs/>
                <w:i/>
                <w:iCs/>
                <w:color w:val="000000"/>
                <w:sz w:val="20"/>
                <w:szCs w:val="20"/>
                <w:lang w:val="en-GB" w:eastAsia="ru-RU"/>
              </w:rPr>
              <w:t>Ukraine’s average</w:t>
            </w:r>
            <w:r w:rsidR="00870A8E" w:rsidRPr="007E6E13">
              <w:rPr>
                <w:rFonts w:ascii="Arial" w:eastAsia="Times New Roman" w:hAnsi="Arial" w:cs="Arial"/>
                <w:b/>
                <w:bCs/>
                <w:i/>
                <w:iCs/>
                <w:color w:val="000000"/>
                <w:sz w:val="20"/>
                <w:szCs w:val="20"/>
                <w:vertAlign w:val="superscript"/>
                <w:lang w:val="en-GB" w:eastAsia="ru-RU"/>
              </w:rPr>
              <w:t>[1]</w:t>
            </w:r>
          </w:p>
        </w:tc>
      </w:tr>
      <w:tr w:rsidR="009A4EF1" w:rsidRPr="00BD72AE" w14:paraId="2B2722D5" w14:textId="77777777" w:rsidTr="00207C83">
        <w:trPr>
          <w:trHeight w:val="283"/>
        </w:trPr>
        <w:tc>
          <w:tcPr>
            <w:tcW w:w="1250" w:type="pct"/>
            <w:tcBorders>
              <w:top w:val="nil"/>
              <w:left w:val="nil"/>
              <w:bottom w:val="single" w:sz="12" w:space="0" w:color="auto"/>
              <w:right w:val="nil"/>
            </w:tcBorders>
            <w:vAlign w:val="center"/>
          </w:tcPr>
          <w:p w14:paraId="0E4A5C9A" w14:textId="77777777" w:rsidR="009A4EF1" w:rsidRPr="00BD72AE" w:rsidRDefault="009A4EF1" w:rsidP="00207C83">
            <w:pPr>
              <w:spacing w:after="0" w:line="240" w:lineRule="auto"/>
              <w:jc w:val="both"/>
              <w:rPr>
                <w:rFonts w:ascii="Arial" w:eastAsia="Times New Roman" w:hAnsi="Arial" w:cs="Arial"/>
                <w:b/>
                <w:bCs/>
                <w:color w:val="000000"/>
                <w:sz w:val="20"/>
                <w:szCs w:val="20"/>
                <w:lang w:eastAsia="ru-RU"/>
              </w:rPr>
            </w:pPr>
          </w:p>
        </w:tc>
        <w:tc>
          <w:tcPr>
            <w:tcW w:w="130" w:type="pct"/>
            <w:tcBorders>
              <w:top w:val="nil"/>
              <w:left w:val="nil"/>
              <w:right w:val="nil"/>
            </w:tcBorders>
          </w:tcPr>
          <w:p w14:paraId="55CF276E" w14:textId="77777777" w:rsidR="009A4EF1" w:rsidRPr="00BD72AE" w:rsidRDefault="009A4EF1" w:rsidP="00207C83">
            <w:pPr>
              <w:spacing w:after="0" w:line="240" w:lineRule="auto"/>
              <w:jc w:val="center"/>
              <w:rPr>
                <w:rFonts w:ascii="Arial" w:eastAsia="Times New Roman" w:hAnsi="Arial" w:cs="Arial"/>
                <w:i/>
                <w:iCs/>
                <w:color w:val="000000"/>
                <w:sz w:val="20"/>
                <w:szCs w:val="20"/>
                <w:lang w:val="en-GB" w:eastAsia="ru-RU"/>
              </w:rPr>
            </w:pPr>
          </w:p>
        </w:tc>
        <w:tc>
          <w:tcPr>
            <w:tcW w:w="1712" w:type="pct"/>
            <w:gridSpan w:val="2"/>
            <w:tcBorders>
              <w:top w:val="nil"/>
              <w:left w:val="nil"/>
              <w:bottom w:val="single" w:sz="12" w:space="0" w:color="auto"/>
              <w:right w:val="nil"/>
            </w:tcBorders>
            <w:shd w:val="clear" w:color="auto" w:fill="auto"/>
            <w:vAlign w:val="center"/>
          </w:tcPr>
          <w:p w14:paraId="07289C9A" w14:textId="77777777" w:rsidR="009A4EF1" w:rsidRPr="00BD72AE" w:rsidRDefault="009A4EF1" w:rsidP="00207C83">
            <w:pPr>
              <w:spacing w:after="0" w:line="240" w:lineRule="auto"/>
              <w:jc w:val="center"/>
              <w:rPr>
                <w:rFonts w:ascii="Arial" w:eastAsia="Times New Roman" w:hAnsi="Arial" w:cs="Arial"/>
                <w:i/>
                <w:iCs/>
                <w:color w:val="000000"/>
                <w:sz w:val="20"/>
                <w:szCs w:val="20"/>
                <w:lang w:val="en-GB" w:eastAsia="ru-RU"/>
              </w:rPr>
            </w:pPr>
            <w:r w:rsidRPr="00BD72AE">
              <w:rPr>
                <w:rFonts w:ascii="Arial" w:eastAsia="Times New Roman" w:hAnsi="Arial" w:cs="Arial"/>
                <w:i/>
                <w:iCs/>
                <w:color w:val="000000"/>
                <w:sz w:val="20"/>
                <w:szCs w:val="20"/>
                <w:lang w:val="en-GB" w:eastAsia="ru-RU"/>
              </w:rPr>
              <w:t>tonnes per hectare</w:t>
            </w:r>
          </w:p>
        </w:tc>
        <w:tc>
          <w:tcPr>
            <w:tcW w:w="132" w:type="pct"/>
            <w:tcBorders>
              <w:top w:val="nil"/>
              <w:left w:val="nil"/>
              <w:bottom w:val="nil"/>
              <w:right w:val="nil"/>
            </w:tcBorders>
          </w:tcPr>
          <w:p w14:paraId="3C0C7A2A" w14:textId="77777777" w:rsidR="009A4EF1" w:rsidRPr="00BD72AE" w:rsidRDefault="009A4EF1" w:rsidP="00207C83">
            <w:pPr>
              <w:spacing w:after="0" w:line="240" w:lineRule="auto"/>
              <w:jc w:val="right"/>
              <w:rPr>
                <w:rFonts w:ascii="Arial" w:eastAsia="Times New Roman" w:hAnsi="Arial" w:cs="Arial"/>
                <w:b/>
                <w:bCs/>
                <w:i/>
                <w:iCs/>
                <w:color w:val="000000"/>
                <w:sz w:val="20"/>
                <w:szCs w:val="20"/>
                <w:lang w:val="en-GB" w:eastAsia="ru-RU"/>
              </w:rPr>
            </w:pPr>
          </w:p>
        </w:tc>
        <w:tc>
          <w:tcPr>
            <w:tcW w:w="1776" w:type="pct"/>
            <w:gridSpan w:val="2"/>
            <w:tcBorders>
              <w:top w:val="nil"/>
              <w:left w:val="nil"/>
              <w:bottom w:val="single" w:sz="12" w:space="0" w:color="auto"/>
              <w:right w:val="nil"/>
            </w:tcBorders>
            <w:shd w:val="clear" w:color="auto" w:fill="auto"/>
            <w:vAlign w:val="center"/>
          </w:tcPr>
          <w:p w14:paraId="45B77C44" w14:textId="77777777" w:rsidR="009A4EF1" w:rsidRPr="00BD72AE" w:rsidRDefault="009A4EF1" w:rsidP="00207C83">
            <w:pPr>
              <w:spacing w:after="0" w:line="240" w:lineRule="auto"/>
              <w:jc w:val="center"/>
              <w:rPr>
                <w:rFonts w:ascii="Arial" w:eastAsia="Times New Roman" w:hAnsi="Arial" w:cs="Arial"/>
                <w:i/>
                <w:iCs/>
                <w:color w:val="000000"/>
                <w:sz w:val="20"/>
                <w:szCs w:val="20"/>
                <w:lang w:val="en-GB" w:eastAsia="ru-RU"/>
              </w:rPr>
            </w:pPr>
            <w:r w:rsidRPr="00BD72AE">
              <w:rPr>
                <w:rFonts w:ascii="Arial" w:eastAsia="Times New Roman" w:hAnsi="Arial" w:cs="Arial"/>
                <w:i/>
                <w:iCs/>
                <w:color w:val="000000"/>
                <w:sz w:val="20"/>
                <w:szCs w:val="20"/>
                <w:lang w:val="en-GB" w:eastAsia="ru-RU"/>
              </w:rPr>
              <w:t>tonnes per hectare</w:t>
            </w:r>
          </w:p>
        </w:tc>
      </w:tr>
      <w:tr w:rsidR="009A4EF1" w:rsidRPr="00BD72AE" w14:paraId="450E2AEE" w14:textId="77777777" w:rsidTr="00207C83">
        <w:trPr>
          <w:trHeight w:hRule="exact" w:val="57"/>
        </w:trPr>
        <w:tc>
          <w:tcPr>
            <w:tcW w:w="1250" w:type="pct"/>
            <w:tcBorders>
              <w:top w:val="single" w:sz="12" w:space="0" w:color="auto"/>
              <w:left w:val="nil"/>
              <w:right w:val="nil"/>
            </w:tcBorders>
            <w:shd w:val="clear" w:color="auto" w:fill="auto"/>
            <w:vAlign w:val="center"/>
          </w:tcPr>
          <w:p w14:paraId="17700EF6" w14:textId="77777777" w:rsidR="009A4EF1" w:rsidRPr="00BD72AE" w:rsidRDefault="009A4EF1" w:rsidP="00207C83">
            <w:pPr>
              <w:spacing w:after="0" w:line="240" w:lineRule="auto"/>
              <w:jc w:val="both"/>
              <w:rPr>
                <w:rFonts w:ascii="Arial" w:eastAsia="Times New Roman" w:hAnsi="Arial" w:cs="Arial"/>
                <w:color w:val="000000"/>
                <w:sz w:val="20"/>
                <w:szCs w:val="20"/>
                <w:lang w:val="en-GB" w:eastAsia="ru-RU"/>
              </w:rPr>
            </w:pPr>
          </w:p>
        </w:tc>
        <w:tc>
          <w:tcPr>
            <w:tcW w:w="130" w:type="pct"/>
            <w:tcBorders>
              <w:left w:val="nil"/>
              <w:right w:val="nil"/>
            </w:tcBorders>
          </w:tcPr>
          <w:p w14:paraId="40FAB514" w14:textId="77777777" w:rsidR="009A4EF1" w:rsidRPr="00BD72AE" w:rsidRDefault="009A4EF1" w:rsidP="00207C83">
            <w:pPr>
              <w:spacing w:after="0" w:line="240" w:lineRule="auto"/>
              <w:jc w:val="right"/>
              <w:rPr>
                <w:rFonts w:ascii="Arial" w:eastAsia="Times New Roman" w:hAnsi="Arial" w:cs="Arial"/>
                <w:color w:val="000000"/>
                <w:sz w:val="20"/>
                <w:szCs w:val="20"/>
                <w:lang w:val="en-GB" w:eastAsia="ru-RU"/>
              </w:rPr>
            </w:pPr>
          </w:p>
        </w:tc>
        <w:tc>
          <w:tcPr>
            <w:tcW w:w="856" w:type="pct"/>
            <w:tcBorders>
              <w:top w:val="single" w:sz="12" w:space="0" w:color="auto"/>
              <w:left w:val="nil"/>
              <w:right w:val="nil"/>
            </w:tcBorders>
            <w:shd w:val="clear" w:color="auto" w:fill="auto"/>
            <w:vAlign w:val="center"/>
          </w:tcPr>
          <w:p w14:paraId="6D01A591" w14:textId="77777777" w:rsidR="009A4EF1" w:rsidRPr="00BD72AE" w:rsidRDefault="009A4EF1" w:rsidP="00207C83">
            <w:pPr>
              <w:spacing w:after="0" w:line="240" w:lineRule="auto"/>
              <w:jc w:val="right"/>
              <w:rPr>
                <w:rFonts w:ascii="Arial" w:eastAsia="Times New Roman" w:hAnsi="Arial" w:cs="Arial"/>
                <w:color w:val="000000"/>
                <w:sz w:val="20"/>
                <w:szCs w:val="20"/>
                <w:lang w:val="en-GB" w:eastAsia="ru-RU"/>
              </w:rPr>
            </w:pPr>
          </w:p>
        </w:tc>
        <w:tc>
          <w:tcPr>
            <w:tcW w:w="856" w:type="pct"/>
            <w:tcBorders>
              <w:top w:val="single" w:sz="12" w:space="0" w:color="auto"/>
              <w:left w:val="nil"/>
              <w:right w:val="nil"/>
            </w:tcBorders>
            <w:shd w:val="clear" w:color="auto" w:fill="auto"/>
            <w:vAlign w:val="center"/>
          </w:tcPr>
          <w:p w14:paraId="73399BB1" w14:textId="77777777" w:rsidR="009A4EF1" w:rsidRPr="00BD72AE" w:rsidRDefault="009A4EF1" w:rsidP="00207C83">
            <w:pPr>
              <w:spacing w:after="0" w:line="240" w:lineRule="auto"/>
              <w:jc w:val="right"/>
              <w:rPr>
                <w:rFonts w:ascii="Arial" w:eastAsia="Times New Roman" w:hAnsi="Arial" w:cs="Arial"/>
                <w:color w:val="000000"/>
                <w:sz w:val="20"/>
                <w:szCs w:val="20"/>
                <w:lang w:val="en-GB" w:eastAsia="ru-RU"/>
              </w:rPr>
            </w:pPr>
          </w:p>
        </w:tc>
        <w:tc>
          <w:tcPr>
            <w:tcW w:w="132" w:type="pct"/>
            <w:tcBorders>
              <w:top w:val="nil"/>
              <w:left w:val="nil"/>
              <w:right w:val="nil"/>
            </w:tcBorders>
          </w:tcPr>
          <w:p w14:paraId="0416C46C" w14:textId="77777777" w:rsidR="009A4EF1" w:rsidRPr="00BD72AE" w:rsidRDefault="009A4EF1" w:rsidP="00207C83">
            <w:pPr>
              <w:spacing w:after="0" w:line="240" w:lineRule="auto"/>
              <w:jc w:val="right"/>
              <w:rPr>
                <w:rFonts w:ascii="Arial" w:eastAsia="Times New Roman" w:hAnsi="Arial" w:cs="Arial"/>
                <w:color w:val="000000"/>
                <w:sz w:val="20"/>
                <w:szCs w:val="20"/>
                <w:lang w:val="en-GB" w:eastAsia="ru-RU"/>
              </w:rPr>
            </w:pPr>
          </w:p>
        </w:tc>
        <w:tc>
          <w:tcPr>
            <w:tcW w:w="888" w:type="pct"/>
            <w:tcBorders>
              <w:top w:val="nil"/>
              <w:left w:val="nil"/>
              <w:right w:val="nil"/>
            </w:tcBorders>
            <w:shd w:val="clear" w:color="auto" w:fill="auto"/>
          </w:tcPr>
          <w:p w14:paraId="787A2518" w14:textId="77777777" w:rsidR="009A4EF1" w:rsidRPr="00BD72AE" w:rsidRDefault="009A4EF1" w:rsidP="00207C83">
            <w:pPr>
              <w:spacing w:after="0" w:line="240" w:lineRule="auto"/>
              <w:jc w:val="right"/>
              <w:rPr>
                <w:rFonts w:ascii="Arial" w:eastAsia="Times New Roman" w:hAnsi="Arial" w:cs="Arial"/>
                <w:color w:val="000000"/>
                <w:sz w:val="20"/>
                <w:szCs w:val="20"/>
                <w:lang w:val="uk-UA" w:eastAsia="uk-UA"/>
              </w:rPr>
            </w:pPr>
          </w:p>
        </w:tc>
        <w:tc>
          <w:tcPr>
            <w:tcW w:w="888" w:type="pct"/>
            <w:tcBorders>
              <w:top w:val="nil"/>
              <w:left w:val="nil"/>
              <w:right w:val="nil"/>
            </w:tcBorders>
            <w:shd w:val="clear" w:color="auto" w:fill="auto"/>
          </w:tcPr>
          <w:p w14:paraId="00EDFCF6" w14:textId="77777777" w:rsidR="009A4EF1" w:rsidRPr="00BD72AE" w:rsidRDefault="009A4EF1" w:rsidP="00207C83">
            <w:pPr>
              <w:spacing w:after="0" w:line="240" w:lineRule="auto"/>
              <w:jc w:val="right"/>
              <w:rPr>
                <w:rFonts w:ascii="Arial" w:eastAsia="Times New Roman" w:hAnsi="Arial" w:cs="Arial"/>
                <w:color w:val="000000"/>
                <w:sz w:val="20"/>
                <w:szCs w:val="20"/>
                <w:lang w:val="uk-UA" w:eastAsia="uk-UA"/>
              </w:rPr>
            </w:pPr>
          </w:p>
        </w:tc>
      </w:tr>
      <w:tr w:rsidR="009A4EF1" w:rsidRPr="00BD72AE" w14:paraId="66F8C1E4" w14:textId="77777777" w:rsidTr="00201147">
        <w:trPr>
          <w:trHeight w:hRule="exact" w:val="255"/>
        </w:trPr>
        <w:tc>
          <w:tcPr>
            <w:tcW w:w="1250" w:type="pct"/>
            <w:tcBorders>
              <w:left w:val="nil"/>
              <w:bottom w:val="nil"/>
              <w:right w:val="nil"/>
            </w:tcBorders>
            <w:shd w:val="clear" w:color="auto" w:fill="auto"/>
            <w:vAlign w:val="center"/>
          </w:tcPr>
          <w:p w14:paraId="4B91C3D4" w14:textId="77777777" w:rsidR="009A4EF1" w:rsidRPr="00BD72AE" w:rsidRDefault="009A4EF1" w:rsidP="009A4EF1">
            <w:pPr>
              <w:spacing w:after="0" w:line="240" w:lineRule="auto"/>
              <w:jc w:val="both"/>
              <w:rPr>
                <w:rFonts w:ascii="Arial" w:eastAsia="Times New Roman" w:hAnsi="Arial" w:cs="Arial"/>
                <w:color w:val="000000"/>
                <w:sz w:val="20"/>
                <w:szCs w:val="20"/>
                <w:lang w:val="en-GB" w:eastAsia="ru-RU"/>
              </w:rPr>
            </w:pPr>
            <w:r w:rsidRPr="00BD72AE">
              <w:rPr>
                <w:rFonts w:ascii="Arial" w:eastAsia="Times New Roman" w:hAnsi="Arial" w:cs="Arial"/>
                <w:color w:val="000000"/>
                <w:sz w:val="20"/>
                <w:szCs w:val="20"/>
                <w:lang w:val="en-GB" w:eastAsia="ru-RU"/>
              </w:rPr>
              <w:t>Corn</w:t>
            </w:r>
          </w:p>
        </w:tc>
        <w:tc>
          <w:tcPr>
            <w:tcW w:w="130" w:type="pct"/>
            <w:tcBorders>
              <w:left w:val="nil"/>
              <w:bottom w:val="nil"/>
              <w:right w:val="nil"/>
            </w:tcBorders>
          </w:tcPr>
          <w:p w14:paraId="32127961" w14:textId="77777777" w:rsidR="009A4EF1" w:rsidRPr="00BD72AE" w:rsidRDefault="009A4EF1" w:rsidP="009A4EF1">
            <w:pPr>
              <w:spacing w:after="0" w:line="240" w:lineRule="auto"/>
              <w:jc w:val="right"/>
              <w:rPr>
                <w:rFonts w:ascii="Arial" w:hAnsi="Arial" w:cs="Arial"/>
                <w:sz w:val="20"/>
                <w:szCs w:val="20"/>
              </w:rPr>
            </w:pPr>
          </w:p>
        </w:tc>
        <w:tc>
          <w:tcPr>
            <w:tcW w:w="856" w:type="pct"/>
            <w:tcBorders>
              <w:left w:val="nil"/>
              <w:bottom w:val="nil"/>
              <w:right w:val="nil"/>
            </w:tcBorders>
            <w:shd w:val="clear" w:color="auto" w:fill="auto"/>
            <w:vAlign w:val="center"/>
          </w:tcPr>
          <w:p w14:paraId="09C73E28" w14:textId="3742C6A5" w:rsidR="009A4EF1" w:rsidRPr="00BD72AE" w:rsidRDefault="00DB5AAE" w:rsidP="009A4EF1">
            <w:pPr>
              <w:spacing w:after="0" w:line="240" w:lineRule="auto"/>
              <w:jc w:val="right"/>
              <w:rPr>
                <w:rFonts w:ascii="Arial" w:hAnsi="Arial" w:cs="Arial"/>
                <w:sz w:val="20"/>
                <w:szCs w:val="20"/>
              </w:rPr>
            </w:pPr>
            <w:r w:rsidRPr="000D120B">
              <w:rPr>
                <w:rFonts w:ascii="Arial" w:hAnsi="Arial" w:cs="Arial"/>
                <w:sz w:val="20"/>
                <w:szCs w:val="20"/>
              </w:rPr>
              <w:t>7.2</w:t>
            </w:r>
          </w:p>
        </w:tc>
        <w:tc>
          <w:tcPr>
            <w:tcW w:w="856" w:type="pct"/>
            <w:tcBorders>
              <w:left w:val="nil"/>
              <w:bottom w:val="nil"/>
              <w:right w:val="nil"/>
            </w:tcBorders>
            <w:shd w:val="clear" w:color="auto" w:fill="auto"/>
            <w:vAlign w:val="center"/>
          </w:tcPr>
          <w:p w14:paraId="3BA835AF" w14:textId="6E4FFB6C" w:rsidR="009A4EF1" w:rsidRPr="00BD72AE" w:rsidRDefault="00DB5AAE" w:rsidP="009A4EF1">
            <w:pPr>
              <w:spacing w:after="0" w:line="240" w:lineRule="auto"/>
              <w:jc w:val="right"/>
              <w:rPr>
                <w:rFonts w:ascii="Arial" w:hAnsi="Arial" w:cs="Arial"/>
                <w:sz w:val="20"/>
                <w:szCs w:val="20"/>
                <w:lang w:val="uk-UA"/>
              </w:rPr>
            </w:pPr>
            <w:r w:rsidRPr="000D120B">
              <w:rPr>
                <w:rFonts w:ascii="Arial" w:hAnsi="Arial" w:cs="Arial"/>
                <w:sz w:val="20"/>
                <w:szCs w:val="20"/>
              </w:rPr>
              <w:t>6.6</w:t>
            </w:r>
          </w:p>
        </w:tc>
        <w:tc>
          <w:tcPr>
            <w:tcW w:w="132" w:type="pct"/>
            <w:tcBorders>
              <w:left w:val="nil"/>
              <w:bottom w:val="nil"/>
              <w:right w:val="nil"/>
            </w:tcBorders>
          </w:tcPr>
          <w:p w14:paraId="3F205A68" w14:textId="77777777" w:rsidR="009A4EF1" w:rsidRPr="00BD72AE" w:rsidRDefault="009A4EF1" w:rsidP="009A4EF1">
            <w:pPr>
              <w:spacing w:after="0" w:line="240" w:lineRule="auto"/>
              <w:jc w:val="both"/>
              <w:rPr>
                <w:rFonts w:ascii="Arial" w:hAnsi="Arial" w:cs="Arial"/>
                <w:sz w:val="20"/>
                <w:szCs w:val="20"/>
              </w:rPr>
            </w:pPr>
          </w:p>
        </w:tc>
        <w:tc>
          <w:tcPr>
            <w:tcW w:w="888" w:type="pct"/>
            <w:tcBorders>
              <w:left w:val="nil"/>
              <w:bottom w:val="nil"/>
              <w:right w:val="nil"/>
            </w:tcBorders>
            <w:shd w:val="clear" w:color="auto" w:fill="auto"/>
            <w:vAlign w:val="center"/>
          </w:tcPr>
          <w:p w14:paraId="57392DD5" w14:textId="2B4250CD" w:rsidR="009A4EF1" w:rsidRPr="00BD72AE" w:rsidRDefault="009A4EF1" w:rsidP="009A4EF1">
            <w:pPr>
              <w:spacing w:after="0" w:line="240" w:lineRule="auto"/>
              <w:jc w:val="right"/>
              <w:rPr>
                <w:rFonts w:ascii="Arial" w:hAnsi="Arial" w:cs="Arial"/>
                <w:sz w:val="20"/>
                <w:szCs w:val="20"/>
              </w:rPr>
            </w:pPr>
            <w:r w:rsidRPr="00BD72AE">
              <w:rPr>
                <w:rFonts w:ascii="Arial" w:hAnsi="Arial" w:cs="Arial"/>
                <w:sz w:val="20"/>
                <w:szCs w:val="20"/>
              </w:rPr>
              <w:t>1</w:t>
            </w:r>
            <w:r w:rsidR="003921CB" w:rsidRPr="00BD72AE">
              <w:rPr>
                <w:rFonts w:ascii="Arial" w:hAnsi="Arial" w:cs="Arial"/>
                <w:sz w:val="20"/>
                <w:szCs w:val="20"/>
                <w:lang w:val="uk-UA"/>
              </w:rPr>
              <w:t>0</w:t>
            </w:r>
            <w:r w:rsidRPr="00BD72AE">
              <w:rPr>
                <w:rFonts w:ascii="Arial" w:hAnsi="Arial" w:cs="Arial"/>
                <w:sz w:val="20"/>
                <w:szCs w:val="20"/>
              </w:rPr>
              <w:t>.0</w:t>
            </w:r>
          </w:p>
        </w:tc>
        <w:tc>
          <w:tcPr>
            <w:tcW w:w="888" w:type="pct"/>
            <w:tcBorders>
              <w:left w:val="nil"/>
              <w:bottom w:val="nil"/>
              <w:right w:val="nil"/>
            </w:tcBorders>
            <w:shd w:val="clear" w:color="auto" w:fill="auto"/>
          </w:tcPr>
          <w:p w14:paraId="47A02D5A" w14:textId="0D8BAACF" w:rsidR="009A4EF1" w:rsidRPr="00BD72AE" w:rsidRDefault="003921CB" w:rsidP="009A4EF1">
            <w:pPr>
              <w:spacing w:after="0" w:line="240" w:lineRule="auto"/>
              <w:jc w:val="right"/>
              <w:rPr>
                <w:rFonts w:ascii="Arial" w:hAnsi="Arial" w:cs="Arial"/>
                <w:sz w:val="20"/>
                <w:szCs w:val="20"/>
              </w:rPr>
            </w:pPr>
            <w:r w:rsidRPr="00BD72AE">
              <w:rPr>
                <w:rFonts w:ascii="Arial" w:hAnsi="Arial" w:cs="Arial"/>
                <w:sz w:val="20"/>
                <w:szCs w:val="20"/>
                <w:lang w:val="uk-UA"/>
              </w:rPr>
              <w:t>8</w:t>
            </w:r>
            <w:r w:rsidR="009A4EF1" w:rsidRPr="00BD72AE">
              <w:rPr>
                <w:rFonts w:ascii="Arial" w:hAnsi="Arial" w:cs="Arial"/>
                <w:sz w:val="20"/>
                <w:szCs w:val="20"/>
              </w:rPr>
              <w:t>.</w:t>
            </w:r>
            <w:r w:rsidRPr="00BD72AE">
              <w:rPr>
                <w:rFonts w:ascii="Arial" w:hAnsi="Arial" w:cs="Arial"/>
                <w:sz w:val="20"/>
                <w:szCs w:val="20"/>
                <w:lang w:val="uk-UA"/>
              </w:rPr>
              <w:t>0</w:t>
            </w:r>
          </w:p>
        </w:tc>
      </w:tr>
      <w:tr w:rsidR="009A4EF1" w:rsidRPr="00BD72AE" w14:paraId="0A830B3D" w14:textId="77777777" w:rsidTr="00201147">
        <w:trPr>
          <w:trHeight w:hRule="exact" w:val="255"/>
        </w:trPr>
        <w:tc>
          <w:tcPr>
            <w:tcW w:w="1250" w:type="pct"/>
            <w:tcBorders>
              <w:left w:val="nil"/>
              <w:bottom w:val="nil"/>
              <w:right w:val="nil"/>
            </w:tcBorders>
            <w:shd w:val="clear" w:color="auto" w:fill="auto"/>
            <w:vAlign w:val="center"/>
            <w:hideMark/>
          </w:tcPr>
          <w:p w14:paraId="70332CC1" w14:textId="77777777" w:rsidR="009A4EF1" w:rsidRPr="00BD72AE" w:rsidRDefault="009A4EF1" w:rsidP="009A4EF1">
            <w:pPr>
              <w:spacing w:after="0" w:line="240" w:lineRule="auto"/>
              <w:jc w:val="both"/>
              <w:rPr>
                <w:rFonts w:ascii="Arial" w:eastAsia="Times New Roman" w:hAnsi="Arial" w:cs="Arial"/>
                <w:color w:val="000000"/>
                <w:sz w:val="20"/>
                <w:szCs w:val="20"/>
                <w:lang w:val="uk-UA" w:eastAsia="ru-RU"/>
              </w:rPr>
            </w:pPr>
            <w:r w:rsidRPr="00BD72AE">
              <w:rPr>
                <w:rFonts w:ascii="Arial" w:eastAsia="Times New Roman" w:hAnsi="Arial" w:cs="Arial"/>
                <w:color w:val="000000"/>
                <w:sz w:val="20"/>
                <w:szCs w:val="20"/>
                <w:lang w:val="en-GB" w:eastAsia="ru-RU"/>
              </w:rPr>
              <w:t>Wheat</w:t>
            </w:r>
          </w:p>
        </w:tc>
        <w:tc>
          <w:tcPr>
            <w:tcW w:w="130" w:type="pct"/>
            <w:tcBorders>
              <w:left w:val="nil"/>
              <w:bottom w:val="nil"/>
              <w:right w:val="nil"/>
            </w:tcBorders>
          </w:tcPr>
          <w:p w14:paraId="7648DBA6" w14:textId="77777777" w:rsidR="009A4EF1" w:rsidRPr="00BD72AE" w:rsidRDefault="009A4EF1" w:rsidP="009A4EF1">
            <w:pPr>
              <w:spacing w:after="0" w:line="240" w:lineRule="auto"/>
              <w:jc w:val="right"/>
              <w:rPr>
                <w:rFonts w:ascii="Arial" w:hAnsi="Arial" w:cs="Arial"/>
                <w:sz w:val="20"/>
                <w:szCs w:val="20"/>
              </w:rPr>
            </w:pPr>
          </w:p>
        </w:tc>
        <w:tc>
          <w:tcPr>
            <w:tcW w:w="856" w:type="pct"/>
            <w:tcBorders>
              <w:left w:val="nil"/>
              <w:bottom w:val="nil"/>
              <w:right w:val="nil"/>
            </w:tcBorders>
            <w:shd w:val="clear" w:color="auto" w:fill="auto"/>
            <w:vAlign w:val="center"/>
          </w:tcPr>
          <w:p w14:paraId="641F731A" w14:textId="632F5D10" w:rsidR="009A4EF1" w:rsidRPr="00BD72AE" w:rsidRDefault="00DB5AAE" w:rsidP="009A4EF1">
            <w:pPr>
              <w:spacing w:after="0" w:line="240" w:lineRule="auto"/>
              <w:jc w:val="right"/>
              <w:rPr>
                <w:rFonts w:ascii="Arial" w:hAnsi="Arial" w:cs="Arial"/>
                <w:sz w:val="20"/>
                <w:szCs w:val="20"/>
              </w:rPr>
            </w:pPr>
            <w:r w:rsidRPr="000D120B">
              <w:rPr>
                <w:rFonts w:ascii="Arial" w:hAnsi="Arial" w:cs="Arial"/>
                <w:sz w:val="20"/>
                <w:szCs w:val="20"/>
              </w:rPr>
              <w:t>5.5</w:t>
            </w:r>
          </w:p>
        </w:tc>
        <w:tc>
          <w:tcPr>
            <w:tcW w:w="856" w:type="pct"/>
            <w:tcBorders>
              <w:left w:val="nil"/>
              <w:bottom w:val="nil"/>
              <w:right w:val="nil"/>
            </w:tcBorders>
            <w:shd w:val="clear" w:color="auto" w:fill="auto"/>
            <w:vAlign w:val="center"/>
          </w:tcPr>
          <w:p w14:paraId="258F99C5" w14:textId="5FC64CD3" w:rsidR="009A4EF1" w:rsidRPr="00BD72AE" w:rsidRDefault="00DB5AAE" w:rsidP="009A4EF1">
            <w:pPr>
              <w:spacing w:after="0" w:line="240" w:lineRule="auto"/>
              <w:jc w:val="right"/>
              <w:rPr>
                <w:rFonts w:ascii="Arial" w:hAnsi="Arial" w:cs="Arial"/>
                <w:sz w:val="20"/>
                <w:szCs w:val="20"/>
              </w:rPr>
            </w:pPr>
            <w:r w:rsidRPr="000D120B">
              <w:rPr>
                <w:rFonts w:ascii="Arial" w:hAnsi="Arial" w:cs="Arial"/>
                <w:sz w:val="20"/>
                <w:szCs w:val="20"/>
              </w:rPr>
              <w:t>4.1</w:t>
            </w:r>
          </w:p>
        </w:tc>
        <w:tc>
          <w:tcPr>
            <w:tcW w:w="132" w:type="pct"/>
            <w:tcBorders>
              <w:left w:val="nil"/>
              <w:bottom w:val="nil"/>
              <w:right w:val="nil"/>
            </w:tcBorders>
          </w:tcPr>
          <w:p w14:paraId="110ACE92" w14:textId="77777777" w:rsidR="009A4EF1" w:rsidRPr="00BD72AE" w:rsidRDefault="009A4EF1" w:rsidP="009A4EF1">
            <w:pPr>
              <w:spacing w:after="0" w:line="240" w:lineRule="auto"/>
              <w:jc w:val="both"/>
              <w:rPr>
                <w:rFonts w:ascii="Arial" w:hAnsi="Arial" w:cs="Arial"/>
                <w:sz w:val="20"/>
                <w:szCs w:val="20"/>
              </w:rPr>
            </w:pPr>
          </w:p>
        </w:tc>
        <w:tc>
          <w:tcPr>
            <w:tcW w:w="888" w:type="pct"/>
            <w:tcBorders>
              <w:left w:val="nil"/>
              <w:bottom w:val="nil"/>
              <w:right w:val="nil"/>
            </w:tcBorders>
            <w:shd w:val="clear" w:color="auto" w:fill="auto"/>
            <w:vAlign w:val="center"/>
          </w:tcPr>
          <w:p w14:paraId="66A36CC3" w14:textId="6A9ACA90" w:rsidR="009A4EF1" w:rsidRPr="00BD72AE" w:rsidRDefault="001A78BC" w:rsidP="009A4EF1">
            <w:pPr>
              <w:spacing w:after="0" w:line="240" w:lineRule="auto"/>
              <w:jc w:val="right"/>
              <w:rPr>
                <w:rFonts w:ascii="Arial" w:hAnsi="Arial" w:cs="Arial"/>
                <w:sz w:val="20"/>
                <w:szCs w:val="20"/>
              </w:rPr>
            </w:pPr>
            <w:r w:rsidRPr="00BD72AE">
              <w:rPr>
                <w:rFonts w:ascii="Arial" w:hAnsi="Arial" w:cs="Arial"/>
                <w:sz w:val="20"/>
                <w:szCs w:val="20"/>
                <w:lang w:val="uk-UA"/>
              </w:rPr>
              <w:t>5</w:t>
            </w:r>
            <w:r w:rsidR="00DD52C9" w:rsidRPr="00BD72AE">
              <w:rPr>
                <w:rFonts w:ascii="Arial" w:hAnsi="Arial" w:cs="Arial"/>
                <w:sz w:val="20"/>
                <w:szCs w:val="20"/>
              </w:rPr>
              <w:t>.</w:t>
            </w:r>
            <w:r w:rsidRPr="00BD72AE">
              <w:rPr>
                <w:rFonts w:ascii="Arial" w:hAnsi="Arial" w:cs="Arial"/>
                <w:sz w:val="20"/>
                <w:szCs w:val="20"/>
                <w:lang w:val="uk-UA"/>
              </w:rPr>
              <w:t>9</w:t>
            </w:r>
          </w:p>
        </w:tc>
        <w:tc>
          <w:tcPr>
            <w:tcW w:w="888" w:type="pct"/>
            <w:tcBorders>
              <w:left w:val="nil"/>
              <w:bottom w:val="nil"/>
              <w:right w:val="nil"/>
            </w:tcBorders>
            <w:shd w:val="clear" w:color="auto" w:fill="auto"/>
          </w:tcPr>
          <w:p w14:paraId="269057BF" w14:textId="6CAC82C6" w:rsidR="009A4EF1" w:rsidRPr="00BD72AE" w:rsidRDefault="009A4EF1" w:rsidP="009A4EF1">
            <w:pPr>
              <w:spacing w:after="0" w:line="240" w:lineRule="auto"/>
              <w:jc w:val="right"/>
              <w:rPr>
                <w:rFonts w:ascii="Arial" w:hAnsi="Arial" w:cs="Arial"/>
                <w:sz w:val="20"/>
                <w:szCs w:val="20"/>
              </w:rPr>
            </w:pPr>
            <w:r w:rsidRPr="00BD72AE">
              <w:rPr>
                <w:rFonts w:ascii="Arial" w:hAnsi="Arial" w:cs="Arial"/>
                <w:sz w:val="20"/>
                <w:szCs w:val="20"/>
              </w:rPr>
              <w:t>4.6</w:t>
            </w:r>
          </w:p>
        </w:tc>
      </w:tr>
      <w:tr w:rsidR="009A4EF1" w:rsidRPr="00BD72AE" w14:paraId="22B688F2" w14:textId="77777777" w:rsidTr="00201147">
        <w:trPr>
          <w:trHeight w:hRule="exact" w:val="255"/>
        </w:trPr>
        <w:tc>
          <w:tcPr>
            <w:tcW w:w="1250" w:type="pct"/>
            <w:tcBorders>
              <w:left w:val="nil"/>
              <w:bottom w:val="nil"/>
              <w:right w:val="nil"/>
            </w:tcBorders>
            <w:shd w:val="clear" w:color="auto" w:fill="auto"/>
            <w:vAlign w:val="center"/>
          </w:tcPr>
          <w:p w14:paraId="6052D642" w14:textId="77777777" w:rsidR="009A4EF1" w:rsidRPr="00BD72AE" w:rsidRDefault="009A4EF1" w:rsidP="009A4EF1">
            <w:pPr>
              <w:spacing w:after="0" w:line="240" w:lineRule="auto"/>
              <w:jc w:val="both"/>
              <w:rPr>
                <w:rFonts w:ascii="Arial" w:eastAsia="Times New Roman" w:hAnsi="Arial" w:cs="Arial"/>
                <w:color w:val="000000"/>
                <w:sz w:val="20"/>
                <w:szCs w:val="20"/>
                <w:lang w:val="en-GB" w:eastAsia="ru-RU"/>
              </w:rPr>
            </w:pPr>
            <w:r w:rsidRPr="00BD72AE">
              <w:rPr>
                <w:rFonts w:ascii="Arial" w:eastAsia="Times New Roman" w:hAnsi="Arial" w:cs="Arial"/>
                <w:color w:val="000000"/>
                <w:sz w:val="20"/>
                <w:szCs w:val="20"/>
                <w:lang w:val="en-GB" w:eastAsia="ru-RU"/>
              </w:rPr>
              <w:t>Sunflower</w:t>
            </w:r>
          </w:p>
        </w:tc>
        <w:tc>
          <w:tcPr>
            <w:tcW w:w="130" w:type="pct"/>
            <w:tcBorders>
              <w:left w:val="nil"/>
              <w:bottom w:val="nil"/>
              <w:right w:val="nil"/>
            </w:tcBorders>
          </w:tcPr>
          <w:p w14:paraId="64F29D88" w14:textId="77777777" w:rsidR="009A4EF1" w:rsidRPr="00BD72AE" w:rsidRDefault="009A4EF1" w:rsidP="009A4EF1">
            <w:pPr>
              <w:spacing w:after="0" w:line="240" w:lineRule="auto"/>
              <w:jc w:val="right"/>
              <w:rPr>
                <w:rFonts w:ascii="Arial" w:hAnsi="Arial" w:cs="Arial"/>
                <w:sz w:val="20"/>
                <w:szCs w:val="20"/>
              </w:rPr>
            </w:pPr>
          </w:p>
        </w:tc>
        <w:tc>
          <w:tcPr>
            <w:tcW w:w="856" w:type="pct"/>
            <w:tcBorders>
              <w:left w:val="nil"/>
              <w:bottom w:val="nil"/>
              <w:right w:val="nil"/>
            </w:tcBorders>
            <w:shd w:val="clear" w:color="auto" w:fill="auto"/>
            <w:vAlign w:val="center"/>
          </w:tcPr>
          <w:p w14:paraId="4A925867" w14:textId="6BF3A044" w:rsidR="009A4EF1" w:rsidRPr="00BD72AE" w:rsidRDefault="00DB5AAE" w:rsidP="009A4EF1">
            <w:pPr>
              <w:spacing w:after="0" w:line="240" w:lineRule="auto"/>
              <w:jc w:val="right"/>
              <w:rPr>
                <w:rFonts w:ascii="Arial" w:hAnsi="Arial" w:cs="Arial"/>
                <w:sz w:val="20"/>
                <w:szCs w:val="20"/>
              </w:rPr>
            </w:pPr>
            <w:r w:rsidRPr="000D120B">
              <w:rPr>
                <w:rFonts w:ascii="Arial" w:hAnsi="Arial" w:cs="Arial"/>
                <w:sz w:val="20"/>
                <w:szCs w:val="20"/>
              </w:rPr>
              <w:t>2.5</w:t>
            </w:r>
          </w:p>
        </w:tc>
        <w:tc>
          <w:tcPr>
            <w:tcW w:w="856" w:type="pct"/>
            <w:tcBorders>
              <w:left w:val="nil"/>
              <w:bottom w:val="nil"/>
              <w:right w:val="nil"/>
            </w:tcBorders>
            <w:shd w:val="clear" w:color="auto" w:fill="auto"/>
            <w:vAlign w:val="center"/>
          </w:tcPr>
          <w:p w14:paraId="6B5633C5" w14:textId="457026C5" w:rsidR="009A4EF1" w:rsidRPr="00BD72AE" w:rsidRDefault="00DB5AAE" w:rsidP="009A4EF1">
            <w:pPr>
              <w:spacing w:after="0" w:line="240" w:lineRule="auto"/>
              <w:jc w:val="right"/>
              <w:rPr>
                <w:rFonts w:ascii="Arial" w:hAnsi="Arial" w:cs="Arial"/>
                <w:sz w:val="20"/>
                <w:szCs w:val="20"/>
                <w:lang w:val="uk-UA"/>
              </w:rPr>
            </w:pPr>
            <w:r w:rsidRPr="000D120B">
              <w:rPr>
                <w:rFonts w:ascii="Arial" w:hAnsi="Arial" w:cs="Arial"/>
                <w:sz w:val="20"/>
                <w:szCs w:val="20"/>
              </w:rPr>
              <w:t>2.2</w:t>
            </w:r>
          </w:p>
        </w:tc>
        <w:tc>
          <w:tcPr>
            <w:tcW w:w="132" w:type="pct"/>
            <w:tcBorders>
              <w:left w:val="nil"/>
              <w:bottom w:val="nil"/>
              <w:right w:val="nil"/>
            </w:tcBorders>
          </w:tcPr>
          <w:p w14:paraId="650CE9ED" w14:textId="77777777" w:rsidR="009A4EF1" w:rsidRPr="00BD72AE" w:rsidRDefault="009A4EF1" w:rsidP="009A4EF1">
            <w:pPr>
              <w:spacing w:after="0" w:line="240" w:lineRule="auto"/>
              <w:jc w:val="both"/>
              <w:rPr>
                <w:rFonts w:ascii="Arial" w:hAnsi="Arial" w:cs="Arial"/>
                <w:sz w:val="20"/>
                <w:szCs w:val="20"/>
              </w:rPr>
            </w:pPr>
          </w:p>
        </w:tc>
        <w:tc>
          <w:tcPr>
            <w:tcW w:w="888" w:type="pct"/>
            <w:tcBorders>
              <w:left w:val="nil"/>
              <w:bottom w:val="nil"/>
              <w:right w:val="nil"/>
            </w:tcBorders>
            <w:shd w:val="clear" w:color="auto" w:fill="auto"/>
            <w:vAlign w:val="center"/>
          </w:tcPr>
          <w:p w14:paraId="3B770F86" w14:textId="1B54CFC1" w:rsidR="009A4EF1" w:rsidRPr="00BD72AE" w:rsidRDefault="009A4EF1" w:rsidP="009A4EF1">
            <w:pPr>
              <w:spacing w:after="0" w:line="240" w:lineRule="auto"/>
              <w:jc w:val="right"/>
              <w:rPr>
                <w:rFonts w:ascii="Arial" w:hAnsi="Arial" w:cs="Arial"/>
                <w:sz w:val="20"/>
                <w:szCs w:val="20"/>
              </w:rPr>
            </w:pPr>
            <w:r w:rsidRPr="00BD72AE">
              <w:rPr>
                <w:rFonts w:ascii="Arial" w:hAnsi="Arial" w:cs="Arial"/>
                <w:sz w:val="20"/>
                <w:szCs w:val="20"/>
              </w:rPr>
              <w:t>3.</w:t>
            </w:r>
            <w:r w:rsidR="003921CB" w:rsidRPr="00BD72AE">
              <w:rPr>
                <w:rFonts w:ascii="Arial" w:hAnsi="Arial" w:cs="Arial"/>
                <w:sz w:val="20"/>
                <w:szCs w:val="20"/>
                <w:lang w:val="uk-UA"/>
              </w:rPr>
              <w:t>2</w:t>
            </w:r>
          </w:p>
        </w:tc>
        <w:tc>
          <w:tcPr>
            <w:tcW w:w="888" w:type="pct"/>
            <w:tcBorders>
              <w:left w:val="nil"/>
              <w:bottom w:val="nil"/>
              <w:right w:val="nil"/>
            </w:tcBorders>
            <w:shd w:val="clear" w:color="auto" w:fill="auto"/>
          </w:tcPr>
          <w:p w14:paraId="619B6D22" w14:textId="1FB2EE8A" w:rsidR="009A4EF1" w:rsidRPr="00BD72AE" w:rsidRDefault="009A4EF1" w:rsidP="009A4EF1">
            <w:pPr>
              <w:spacing w:after="0" w:line="240" w:lineRule="auto"/>
              <w:jc w:val="right"/>
              <w:rPr>
                <w:rFonts w:ascii="Arial" w:hAnsi="Arial" w:cs="Arial"/>
                <w:sz w:val="20"/>
                <w:szCs w:val="20"/>
              </w:rPr>
            </w:pPr>
            <w:r w:rsidRPr="00BD72AE">
              <w:rPr>
                <w:rFonts w:ascii="Arial" w:hAnsi="Arial" w:cs="Arial"/>
                <w:sz w:val="20"/>
                <w:szCs w:val="20"/>
              </w:rPr>
              <w:t>2.</w:t>
            </w:r>
            <w:r w:rsidR="003921CB" w:rsidRPr="00BD72AE">
              <w:rPr>
                <w:rFonts w:ascii="Arial" w:hAnsi="Arial" w:cs="Arial"/>
                <w:sz w:val="20"/>
                <w:szCs w:val="20"/>
                <w:lang w:val="uk-UA"/>
              </w:rPr>
              <w:t>5</w:t>
            </w:r>
          </w:p>
        </w:tc>
      </w:tr>
      <w:tr w:rsidR="009A4EF1" w:rsidRPr="00BD72AE" w14:paraId="406FB84E" w14:textId="77777777" w:rsidTr="00201147">
        <w:trPr>
          <w:trHeight w:hRule="exact" w:val="255"/>
        </w:trPr>
        <w:tc>
          <w:tcPr>
            <w:tcW w:w="1250" w:type="pct"/>
            <w:tcBorders>
              <w:top w:val="nil"/>
              <w:left w:val="nil"/>
              <w:bottom w:val="nil"/>
              <w:right w:val="nil"/>
            </w:tcBorders>
            <w:shd w:val="clear" w:color="auto" w:fill="auto"/>
            <w:vAlign w:val="center"/>
            <w:hideMark/>
          </w:tcPr>
          <w:p w14:paraId="4FB06C5A" w14:textId="77777777" w:rsidR="009A4EF1" w:rsidRPr="00BD72AE" w:rsidRDefault="009A4EF1" w:rsidP="009A4EF1">
            <w:pPr>
              <w:spacing w:after="0" w:line="240" w:lineRule="auto"/>
              <w:jc w:val="both"/>
              <w:rPr>
                <w:rFonts w:ascii="Arial" w:eastAsia="Times New Roman" w:hAnsi="Arial" w:cs="Arial"/>
                <w:color w:val="000000"/>
                <w:sz w:val="20"/>
                <w:szCs w:val="20"/>
                <w:lang w:val="uk-UA" w:eastAsia="ru-RU"/>
              </w:rPr>
            </w:pPr>
            <w:r w:rsidRPr="00BD72AE">
              <w:rPr>
                <w:rFonts w:ascii="Arial" w:hAnsi="Arial" w:cs="Arial"/>
                <w:sz w:val="20"/>
                <w:szCs w:val="20"/>
                <w:lang w:val="en-GB" w:eastAsia="ru-RU"/>
              </w:rPr>
              <w:t>Rapeseed</w:t>
            </w:r>
          </w:p>
        </w:tc>
        <w:tc>
          <w:tcPr>
            <w:tcW w:w="130" w:type="pct"/>
            <w:tcBorders>
              <w:top w:val="nil"/>
              <w:left w:val="nil"/>
              <w:bottom w:val="nil"/>
              <w:right w:val="nil"/>
            </w:tcBorders>
          </w:tcPr>
          <w:p w14:paraId="3E399AA1" w14:textId="77777777" w:rsidR="009A4EF1" w:rsidRPr="00BD72AE" w:rsidRDefault="009A4EF1" w:rsidP="009A4EF1">
            <w:pPr>
              <w:spacing w:after="0" w:line="240" w:lineRule="auto"/>
              <w:jc w:val="right"/>
              <w:rPr>
                <w:rFonts w:ascii="Arial" w:hAnsi="Arial" w:cs="Arial"/>
                <w:sz w:val="20"/>
                <w:szCs w:val="20"/>
              </w:rPr>
            </w:pPr>
          </w:p>
        </w:tc>
        <w:tc>
          <w:tcPr>
            <w:tcW w:w="856" w:type="pct"/>
            <w:tcBorders>
              <w:top w:val="nil"/>
              <w:left w:val="nil"/>
              <w:bottom w:val="nil"/>
              <w:right w:val="nil"/>
            </w:tcBorders>
            <w:shd w:val="clear" w:color="auto" w:fill="auto"/>
            <w:vAlign w:val="center"/>
          </w:tcPr>
          <w:p w14:paraId="42EDD579" w14:textId="2B499036" w:rsidR="009A4EF1" w:rsidRPr="00BD72AE" w:rsidRDefault="00DB5AAE" w:rsidP="009A4EF1">
            <w:pPr>
              <w:spacing w:after="0" w:line="240" w:lineRule="auto"/>
              <w:jc w:val="right"/>
              <w:rPr>
                <w:rFonts w:ascii="Arial" w:hAnsi="Arial" w:cs="Arial"/>
                <w:sz w:val="20"/>
                <w:szCs w:val="20"/>
                <w:lang w:val="uk-UA"/>
              </w:rPr>
            </w:pPr>
            <w:r w:rsidRPr="000D120B">
              <w:rPr>
                <w:rFonts w:ascii="Arial" w:hAnsi="Arial" w:cs="Arial"/>
                <w:sz w:val="20"/>
                <w:szCs w:val="20"/>
              </w:rPr>
              <w:t>3.8</w:t>
            </w:r>
          </w:p>
        </w:tc>
        <w:tc>
          <w:tcPr>
            <w:tcW w:w="856" w:type="pct"/>
            <w:tcBorders>
              <w:top w:val="nil"/>
              <w:left w:val="nil"/>
              <w:bottom w:val="nil"/>
              <w:right w:val="nil"/>
            </w:tcBorders>
            <w:shd w:val="clear" w:color="auto" w:fill="auto"/>
            <w:vAlign w:val="center"/>
          </w:tcPr>
          <w:p w14:paraId="39236BA2" w14:textId="29492846" w:rsidR="009A4EF1" w:rsidRPr="00BD72AE" w:rsidRDefault="00DB5AAE" w:rsidP="009A4EF1">
            <w:pPr>
              <w:spacing w:after="0" w:line="240" w:lineRule="auto"/>
              <w:jc w:val="right"/>
              <w:rPr>
                <w:rFonts w:ascii="Arial" w:hAnsi="Arial" w:cs="Arial"/>
                <w:sz w:val="20"/>
                <w:szCs w:val="20"/>
              </w:rPr>
            </w:pPr>
            <w:r w:rsidRPr="000D120B">
              <w:rPr>
                <w:rFonts w:ascii="Arial" w:hAnsi="Arial" w:cs="Arial"/>
                <w:sz w:val="20"/>
                <w:szCs w:val="20"/>
              </w:rPr>
              <w:t>2.9</w:t>
            </w:r>
          </w:p>
        </w:tc>
        <w:tc>
          <w:tcPr>
            <w:tcW w:w="132" w:type="pct"/>
            <w:tcBorders>
              <w:top w:val="nil"/>
              <w:left w:val="nil"/>
              <w:bottom w:val="nil"/>
              <w:right w:val="nil"/>
            </w:tcBorders>
          </w:tcPr>
          <w:p w14:paraId="1EE4F62D" w14:textId="77777777" w:rsidR="009A4EF1" w:rsidRPr="00BD72AE" w:rsidRDefault="009A4EF1" w:rsidP="009A4EF1">
            <w:pPr>
              <w:spacing w:after="0" w:line="240" w:lineRule="auto"/>
              <w:jc w:val="both"/>
              <w:rPr>
                <w:rFonts w:ascii="Arial" w:hAnsi="Arial" w:cs="Arial"/>
                <w:sz w:val="20"/>
                <w:szCs w:val="20"/>
              </w:rPr>
            </w:pPr>
          </w:p>
        </w:tc>
        <w:tc>
          <w:tcPr>
            <w:tcW w:w="888" w:type="pct"/>
            <w:tcBorders>
              <w:top w:val="nil"/>
              <w:left w:val="nil"/>
              <w:bottom w:val="nil"/>
              <w:right w:val="nil"/>
            </w:tcBorders>
            <w:shd w:val="clear" w:color="auto" w:fill="auto"/>
            <w:vAlign w:val="center"/>
          </w:tcPr>
          <w:p w14:paraId="50C4EB65" w14:textId="1DD72C2F" w:rsidR="009A4EF1" w:rsidRPr="00BD72AE" w:rsidRDefault="009A4EF1" w:rsidP="009A4EF1">
            <w:pPr>
              <w:spacing w:after="0" w:line="240" w:lineRule="auto"/>
              <w:jc w:val="right"/>
              <w:rPr>
                <w:rFonts w:ascii="Arial" w:hAnsi="Arial" w:cs="Arial"/>
                <w:sz w:val="20"/>
                <w:szCs w:val="20"/>
              </w:rPr>
            </w:pPr>
            <w:r w:rsidRPr="00BD72AE">
              <w:rPr>
                <w:rFonts w:ascii="Arial" w:hAnsi="Arial" w:cs="Arial"/>
                <w:sz w:val="20"/>
                <w:szCs w:val="20"/>
              </w:rPr>
              <w:t>3.</w:t>
            </w:r>
            <w:r w:rsidR="003921CB" w:rsidRPr="00BD72AE">
              <w:rPr>
                <w:rFonts w:ascii="Arial" w:hAnsi="Arial" w:cs="Arial"/>
                <w:sz w:val="20"/>
                <w:szCs w:val="20"/>
                <w:lang w:val="uk-UA"/>
              </w:rPr>
              <w:t>3</w:t>
            </w:r>
          </w:p>
        </w:tc>
        <w:tc>
          <w:tcPr>
            <w:tcW w:w="888" w:type="pct"/>
            <w:tcBorders>
              <w:top w:val="nil"/>
              <w:left w:val="nil"/>
              <w:bottom w:val="nil"/>
              <w:right w:val="nil"/>
            </w:tcBorders>
            <w:shd w:val="clear" w:color="auto" w:fill="auto"/>
          </w:tcPr>
          <w:p w14:paraId="2D8773BC" w14:textId="7F342AC4" w:rsidR="009A4EF1" w:rsidRPr="00BD72AE" w:rsidRDefault="003921CB" w:rsidP="009A4EF1">
            <w:pPr>
              <w:spacing w:after="0" w:line="240" w:lineRule="auto"/>
              <w:jc w:val="right"/>
              <w:rPr>
                <w:rFonts w:ascii="Arial" w:hAnsi="Arial" w:cs="Arial"/>
                <w:sz w:val="20"/>
                <w:szCs w:val="20"/>
              </w:rPr>
            </w:pPr>
            <w:r w:rsidRPr="00BD72AE">
              <w:rPr>
                <w:rFonts w:ascii="Arial" w:hAnsi="Arial" w:cs="Arial"/>
                <w:sz w:val="20"/>
                <w:szCs w:val="20"/>
                <w:lang w:val="uk-UA"/>
              </w:rPr>
              <w:t>3</w:t>
            </w:r>
            <w:r w:rsidR="009A4EF1" w:rsidRPr="00BD72AE">
              <w:rPr>
                <w:rFonts w:ascii="Arial" w:hAnsi="Arial" w:cs="Arial"/>
                <w:sz w:val="20"/>
                <w:szCs w:val="20"/>
              </w:rPr>
              <w:t>.</w:t>
            </w:r>
            <w:r w:rsidRPr="00BD72AE">
              <w:rPr>
                <w:rFonts w:ascii="Arial" w:hAnsi="Arial" w:cs="Arial"/>
                <w:sz w:val="20"/>
                <w:szCs w:val="20"/>
                <w:lang w:val="uk-UA"/>
              </w:rPr>
              <w:t>0</w:t>
            </w:r>
          </w:p>
        </w:tc>
      </w:tr>
      <w:tr w:rsidR="009A4EF1" w:rsidRPr="00BD72AE" w14:paraId="736DEABF" w14:textId="77777777" w:rsidTr="00201147">
        <w:trPr>
          <w:trHeight w:hRule="exact" w:val="255"/>
        </w:trPr>
        <w:tc>
          <w:tcPr>
            <w:tcW w:w="1250" w:type="pct"/>
            <w:tcBorders>
              <w:top w:val="nil"/>
              <w:left w:val="nil"/>
              <w:bottom w:val="single" w:sz="4" w:space="0" w:color="auto"/>
              <w:right w:val="nil"/>
            </w:tcBorders>
            <w:shd w:val="clear" w:color="auto" w:fill="auto"/>
            <w:vAlign w:val="center"/>
          </w:tcPr>
          <w:p w14:paraId="18FE6D58" w14:textId="77777777" w:rsidR="009A4EF1" w:rsidRPr="00BD72AE" w:rsidRDefault="009A4EF1" w:rsidP="009A4EF1">
            <w:pPr>
              <w:spacing w:after="0" w:line="240" w:lineRule="auto"/>
              <w:jc w:val="both"/>
              <w:rPr>
                <w:rFonts w:ascii="Arial" w:hAnsi="Arial" w:cs="Arial"/>
                <w:sz w:val="20"/>
                <w:szCs w:val="20"/>
                <w:lang w:val="en-GB" w:eastAsia="ru-RU"/>
              </w:rPr>
            </w:pPr>
            <w:r w:rsidRPr="00BD72AE">
              <w:rPr>
                <w:rFonts w:ascii="Arial" w:hAnsi="Arial" w:cs="Arial"/>
                <w:sz w:val="20"/>
                <w:szCs w:val="20"/>
                <w:lang w:val="en-GB" w:eastAsia="ru-RU"/>
              </w:rPr>
              <w:t>Soya</w:t>
            </w:r>
          </w:p>
        </w:tc>
        <w:tc>
          <w:tcPr>
            <w:tcW w:w="130" w:type="pct"/>
            <w:tcBorders>
              <w:top w:val="nil"/>
              <w:left w:val="nil"/>
              <w:bottom w:val="nil"/>
              <w:right w:val="nil"/>
            </w:tcBorders>
          </w:tcPr>
          <w:p w14:paraId="73B576BF" w14:textId="77777777" w:rsidR="009A4EF1" w:rsidRPr="00BD72AE" w:rsidRDefault="009A4EF1" w:rsidP="009A4EF1">
            <w:pPr>
              <w:spacing w:after="0" w:line="240" w:lineRule="auto"/>
              <w:jc w:val="right"/>
              <w:rPr>
                <w:rFonts w:ascii="Arial" w:hAnsi="Arial" w:cs="Arial"/>
                <w:sz w:val="20"/>
                <w:szCs w:val="20"/>
              </w:rPr>
            </w:pPr>
          </w:p>
        </w:tc>
        <w:tc>
          <w:tcPr>
            <w:tcW w:w="856" w:type="pct"/>
            <w:tcBorders>
              <w:top w:val="nil"/>
              <w:left w:val="nil"/>
              <w:bottom w:val="single" w:sz="4" w:space="0" w:color="auto"/>
              <w:right w:val="nil"/>
            </w:tcBorders>
            <w:shd w:val="clear" w:color="auto" w:fill="auto"/>
            <w:vAlign w:val="center"/>
          </w:tcPr>
          <w:p w14:paraId="13997CEB" w14:textId="6A584D8D" w:rsidR="009A4EF1" w:rsidRPr="00BD72AE" w:rsidRDefault="00DB5AAE" w:rsidP="009A4EF1">
            <w:pPr>
              <w:spacing w:after="0" w:line="240" w:lineRule="auto"/>
              <w:jc w:val="right"/>
              <w:rPr>
                <w:rFonts w:ascii="Arial" w:hAnsi="Arial" w:cs="Arial"/>
                <w:sz w:val="20"/>
                <w:szCs w:val="20"/>
                <w:lang w:val="uk-UA"/>
              </w:rPr>
            </w:pPr>
            <w:r w:rsidRPr="000D120B">
              <w:rPr>
                <w:rFonts w:ascii="Arial" w:hAnsi="Arial" w:cs="Arial"/>
                <w:sz w:val="20"/>
                <w:szCs w:val="20"/>
              </w:rPr>
              <w:t>2.4</w:t>
            </w:r>
          </w:p>
        </w:tc>
        <w:tc>
          <w:tcPr>
            <w:tcW w:w="856" w:type="pct"/>
            <w:tcBorders>
              <w:top w:val="nil"/>
              <w:left w:val="nil"/>
              <w:bottom w:val="single" w:sz="4" w:space="0" w:color="auto"/>
              <w:right w:val="nil"/>
            </w:tcBorders>
            <w:shd w:val="clear" w:color="auto" w:fill="auto"/>
            <w:vAlign w:val="center"/>
          </w:tcPr>
          <w:p w14:paraId="0259FCD8" w14:textId="1A5979CB" w:rsidR="009A4EF1" w:rsidRPr="00BD72AE" w:rsidRDefault="00DB5AAE" w:rsidP="009A4EF1">
            <w:pPr>
              <w:spacing w:after="0" w:line="240" w:lineRule="auto"/>
              <w:jc w:val="right"/>
              <w:rPr>
                <w:rFonts w:ascii="Arial" w:hAnsi="Arial" w:cs="Arial"/>
                <w:sz w:val="20"/>
                <w:szCs w:val="20"/>
                <w:lang w:val="uk-UA"/>
              </w:rPr>
            </w:pPr>
            <w:r w:rsidRPr="000D120B">
              <w:rPr>
                <w:rFonts w:ascii="Arial" w:hAnsi="Arial" w:cs="Arial"/>
                <w:sz w:val="20"/>
                <w:szCs w:val="20"/>
              </w:rPr>
              <w:t>2.4</w:t>
            </w:r>
          </w:p>
        </w:tc>
        <w:tc>
          <w:tcPr>
            <w:tcW w:w="132" w:type="pct"/>
            <w:tcBorders>
              <w:top w:val="nil"/>
              <w:left w:val="nil"/>
              <w:bottom w:val="nil"/>
              <w:right w:val="nil"/>
            </w:tcBorders>
          </w:tcPr>
          <w:p w14:paraId="5145AA28" w14:textId="77777777" w:rsidR="009A4EF1" w:rsidRPr="00BD72AE" w:rsidRDefault="009A4EF1" w:rsidP="009A4EF1">
            <w:pPr>
              <w:spacing w:after="0" w:line="240" w:lineRule="auto"/>
              <w:jc w:val="both"/>
              <w:rPr>
                <w:rFonts w:ascii="Arial" w:hAnsi="Arial" w:cs="Arial"/>
                <w:sz w:val="20"/>
                <w:szCs w:val="20"/>
              </w:rPr>
            </w:pPr>
          </w:p>
        </w:tc>
        <w:tc>
          <w:tcPr>
            <w:tcW w:w="888" w:type="pct"/>
            <w:tcBorders>
              <w:top w:val="nil"/>
              <w:left w:val="nil"/>
              <w:bottom w:val="single" w:sz="4" w:space="0" w:color="auto"/>
              <w:right w:val="nil"/>
            </w:tcBorders>
            <w:shd w:val="clear" w:color="auto" w:fill="auto"/>
            <w:vAlign w:val="center"/>
          </w:tcPr>
          <w:p w14:paraId="789DA981" w14:textId="44AE2738" w:rsidR="009A4EF1" w:rsidRPr="00BD72AE" w:rsidRDefault="009A4EF1" w:rsidP="009A4EF1">
            <w:pPr>
              <w:spacing w:after="0" w:line="240" w:lineRule="auto"/>
              <w:jc w:val="right"/>
              <w:rPr>
                <w:rFonts w:ascii="Arial" w:hAnsi="Arial" w:cs="Arial"/>
                <w:sz w:val="20"/>
                <w:szCs w:val="20"/>
                <w:lang w:val="uk-UA"/>
              </w:rPr>
            </w:pPr>
            <w:r w:rsidRPr="00BD72AE">
              <w:rPr>
                <w:rFonts w:ascii="Arial" w:hAnsi="Arial" w:cs="Arial"/>
                <w:sz w:val="20"/>
                <w:szCs w:val="20"/>
              </w:rPr>
              <w:t>2.</w:t>
            </w:r>
            <w:r w:rsidR="003921CB" w:rsidRPr="00BD72AE">
              <w:rPr>
                <w:rFonts w:ascii="Arial" w:hAnsi="Arial" w:cs="Arial"/>
                <w:sz w:val="20"/>
                <w:szCs w:val="20"/>
                <w:lang w:val="uk-UA"/>
              </w:rPr>
              <w:t>5</w:t>
            </w:r>
          </w:p>
        </w:tc>
        <w:tc>
          <w:tcPr>
            <w:tcW w:w="888" w:type="pct"/>
            <w:tcBorders>
              <w:top w:val="nil"/>
              <w:left w:val="nil"/>
              <w:bottom w:val="single" w:sz="4" w:space="0" w:color="auto"/>
              <w:right w:val="nil"/>
            </w:tcBorders>
            <w:shd w:val="clear" w:color="auto" w:fill="auto"/>
          </w:tcPr>
          <w:p w14:paraId="537CBD10" w14:textId="449C0B27" w:rsidR="009A4EF1" w:rsidRPr="00BD72AE" w:rsidRDefault="009A4EF1" w:rsidP="009A4EF1">
            <w:pPr>
              <w:spacing w:after="0" w:line="240" w:lineRule="auto"/>
              <w:jc w:val="right"/>
              <w:rPr>
                <w:rFonts w:ascii="Arial" w:hAnsi="Arial" w:cs="Arial"/>
                <w:sz w:val="20"/>
                <w:szCs w:val="20"/>
              </w:rPr>
            </w:pPr>
            <w:r w:rsidRPr="00BD72AE">
              <w:rPr>
                <w:rFonts w:ascii="Arial" w:hAnsi="Arial" w:cs="Arial"/>
                <w:sz w:val="20"/>
                <w:szCs w:val="20"/>
              </w:rPr>
              <w:t>2.7</w:t>
            </w:r>
          </w:p>
        </w:tc>
      </w:tr>
    </w:tbl>
    <w:p w14:paraId="146B0E21" w14:textId="2D201A54" w:rsidR="009A4EF1" w:rsidRPr="007F615A" w:rsidRDefault="009A4EF1" w:rsidP="009A4EF1">
      <w:pPr>
        <w:spacing w:after="0" w:line="240" w:lineRule="auto"/>
        <w:ind w:left="142"/>
        <w:jc w:val="both"/>
        <w:rPr>
          <w:rFonts w:ascii="Arial" w:hAnsi="Arial" w:cs="Arial"/>
          <w:i/>
          <w:iCs/>
          <w:color w:val="000000" w:themeColor="text1"/>
          <w:sz w:val="18"/>
          <w:szCs w:val="18"/>
          <w:vertAlign w:val="superscript"/>
        </w:rPr>
      </w:pPr>
      <w:r w:rsidRPr="007F615A">
        <w:rPr>
          <w:rFonts w:ascii="Arial" w:hAnsi="Arial" w:cs="Arial"/>
          <w:i/>
          <w:iCs/>
          <w:color w:val="000000" w:themeColor="text1"/>
          <w:sz w:val="18"/>
          <w:szCs w:val="18"/>
          <w:vertAlign w:val="superscript"/>
        </w:rPr>
        <w:t xml:space="preserve">1) </w:t>
      </w:r>
      <w:r w:rsidR="007F615A" w:rsidRPr="007F615A">
        <w:rPr>
          <w:rFonts w:ascii="Arial" w:hAnsi="Arial" w:cs="Arial"/>
          <w:i/>
          <w:iCs/>
          <w:color w:val="000000" w:themeColor="text1"/>
          <w:sz w:val="18"/>
          <w:szCs w:val="18"/>
          <w:vertAlign w:val="superscript"/>
        </w:rPr>
        <w:t>MHP yields are net weight, Ukraine yields are bunker weight</w:t>
      </w:r>
      <w:r w:rsidRPr="007F615A">
        <w:rPr>
          <w:rFonts w:ascii="Arial" w:hAnsi="Arial" w:cs="Arial"/>
          <w:i/>
          <w:iCs/>
          <w:color w:val="000000" w:themeColor="text1"/>
          <w:sz w:val="18"/>
          <w:szCs w:val="18"/>
          <w:vertAlign w:val="superscript"/>
        </w:rPr>
        <w:t>.</w:t>
      </w:r>
    </w:p>
    <w:p w14:paraId="535B3476" w14:textId="4F024A66" w:rsidR="00673D71" w:rsidRPr="0084412E" w:rsidRDefault="00673D71" w:rsidP="00673D71">
      <w:pPr>
        <w:spacing w:before="120" w:after="120"/>
        <w:jc w:val="both"/>
        <w:rPr>
          <w:rFonts w:ascii="Arial" w:hAnsi="Arial" w:cs="Arial"/>
          <w:b/>
          <w:bCs/>
          <w:color w:val="000000" w:themeColor="text1"/>
          <w:sz w:val="20"/>
          <w:szCs w:val="20"/>
        </w:rPr>
      </w:pPr>
      <w:r w:rsidRPr="0084412E">
        <w:rPr>
          <w:rFonts w:ascii="Arial" w:hAnsi="Arial" w:cs="Arial"/>
          <w:b/>
          <w:bCs/>
          <w:color w:val="000000" w:themeColor="text1"/>
          <w:sz w:val="20"/>
          <w:szCs w:val="20"/>
        </w:rPr>
        <w:t>Financial result and trends</w:t>
      </w:r>
    </w:p>
    <w:tbl>
      <w:tblPr>
        <w:tblW w:w="4981" w:type="pct"/>
        <w:tblLook w:val="04A0" w:firstRow="1" w:lastRow="0" w:firstColumn="1" w:lastColumn="0" w:noHBand="0" w:noVBand="1"/>
      </w:tblPr>
      <w:tblGrid>
        <w:gridCol w:w="4958"/>
        <w:gridCol w:w="299"/>
        <w:gridCol w:w="1375"/>
        <w:gridCol w:w="299"/>
        <w:gridCol w:w="1375"/>
        <w:gridCol w:w="311"/>
        <w:gridCol w:w="1691"/>
      </w:tblGrid>
      <w:tr w:rsidR="00BB324D" w:rsidRPr="005E0A3B" w14:paraId="4AA96D7B" w14:textId="77777777" w:rsidTr="005C4475">
        <w:trPr>
          <w:trHeight w:val="269"/>
        </w:trPr>
        <w:tc>
          <w:tcPr>
            <w:tcW w:w="2405" w:type="pct"/>
            <w:tcBorders>
              <w:top w:val="single" w:sz="12" w:space="0" w:color="auto"/>
              <w:bottom w:val="single" w:sz="12" w:space="0" w:color="auto"/>
            </w:tcBorders>
            <w:shd w:val="clear" w:color="auto" w:fill="auto"/>
            <w:noWrap/>
            <w:vAlign w:val="center"/>
            <w:hideMark/>
          </w:tcPr>
          <w:p w14:paraId="18346E01" w14:textId="77777777" w:rsidR="00325F24" w:rsidRPr="005E0A3B" w:rsidRDefault="00AA5804" w:rsidP="000C1D3E">
            <w:pPr>
              <w:spacing w:after="0" w:line="240" w:lineRule="auto"/>
              <w:rPr>
                <w:rFonts w:ascii="Arial" w:eastAsia="Times New Roman" w:hAnsi="Arial" w:cs="Arial"/>
                <w:color w:val="000000"/>
                <w:sz w:val="20"/>
                <w:szCs w:val="20"/>
                <w:lang w:eastAsia="ru-RU"/>
              </w:rPr>
            </w:pPr>
            <w:r w:rsidRPr="005E0A3B">
              <w:rPr>
                <w:rFonts w:ascii="Arial" w:eastAsia="Times New Roman" w:hAnsi="Arial" w:cs="Arial"/>
                <w:i/>
                <w:color w:val="000000"/>
                <w:sz w:val="20"/>
                <w:szCs w:val="20"/>
                <w:lang w:eastAsia="ru-RU"/>
              </w:rPr>
              <w:t xml:space="preserve">(in </w:t>
            </w:r>
            <w:proofErr w:type="spellStart"/>
            <w:r w:rsidRPr="005E0A3B">
              <w:rPr>
                <w:rFonts w:ascii="Arial" w:eastAsia="Times New Roman" w:hAnsi="Arial" w:cs="Arial"/>
                <w:i/>
                <w:color w:val="000000"/>
                <w:sz w:val="20"/>
                <w:szCs w:val="20"/>
                <w:lang w:eastAsia="ru-RU"/>
              </w:rPr>
              <w:t>mln</w:t>
            </w:r>
            <w:proofErr w:type="spellEnd"/>
            <w:r w:rsidRPr="005E0A3B">
              <w:rPr>
                <w:rFonts w:ascii="Arial" w:eastAsia="Times New Roman" w:hAnsi="Arial" w:cs="Arial"/>
                <w:i/>
                <w:color w:val="000000"/>
                <w:sz w:val="20"/>
                <w:szCs w:val="20"/>
                <w:lang w:eastAsia="ru-RU"/>
              </w:rPr>
              <w:t>. US unless indicated otherwise)</w:t>
            </w:r>
          </w:p>
        </w:tc>
        <w:tc>
          <w:tcPr>
            <w:tcW w:w="145" w:type="pct"/>
          </w:tcPr>
          <w:p w14:paraId="2E6CE3D9"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top w:val="single" w:sz="12" w:space="0" w:color="auto"/>
              <w:bottom w:val="single" w:sz="12" w:space="0" w:color="auto"/>
            </w:tcBorders>
            <w:shd w:val="clear" w:color="auto" w:fill="auto"/>
            <w:noWrap/>
            <w:vAlign w:val="center"/>
            <w:hideMark/>
          </w:tcPr>
          <w:p w14:paraId="226DBA40" w14:textId="25973779" w:rsidR="00325F24" w:rsidRPr="005E0A3B" w:rsidRDefault="00D2118D" w:rsidP="000C1D3E">
            <w:pPr>
              <w:spacing w:after="0" w:line="240" w:lineRule="auto"/>
              <w:jc w:val="right"/>
              <w:rPr>
                <w:rFonts w:ascii="Arial" w:eastAsia="Times New Roman" w:hAnsi="Arial" w:cs="Arial"/>
                <w:b/>
                <w:bCs/>
                <w:color w:val="000000"/>
                <w:sz w:val="20"/>
                <w:szCs w:val="20"/>
                <w:lang w:eastAsia="ru-RU"/>
              </w:rPr>
            </w:pPr>
            <w:r w:rsidRPr="005E0A3B">
              <w:rPr>
                <w:rFonts w:ascii="Arial" w:eastAsia="Times New Roman" w:hAnsi="Arial" w:cs="Arial"/>
                <w:b/>
                <w:bCs/>
                <w:color w:val="000000"/>
                <w:sz w:val="20"/>
                <w:szCs w:val="20"/>
                <w:lang w:eastAsia="ru-RU"/>
              </w:rPr>
              <w:t>12</w:t>
            </w:r>
            <w:r w:rsidR="002B658D" w:rsidRPr="005E0A3B">
              <w:rPr>
                <w:rFonts w:ascii="Arial" w:eastAsia="Times New Roman" w:hAnsi="Arial" w:cs="Arial"/>
                <w:b/>
                <w:bCs/>
                <w:color w:val="000000"/>
                <w:sz w:val="20"/>
                <w:szCs w:val="20"/>
                <w:lang w:eastAsia="ru-RU"/>
              </w:rPr>
              <w:t>M</w:t>
            </w:r>
            <w:r w:rsidR="006B4393" w:rsidRPr="005E0A3B">
              <w:rPr>
                <w:rFonts w:ascii="Arial" w:eastAsia="Times New Roman" w:hAnsi="Arial" w:cs="Arial"/>
                <w:b/>
                <w:bCs/>
                <w:color w:val="000000"/>
                <w:sz w:val="20"/>
                <w:szCs w:val="20"/>
                <w:lang w:eastAsia="ru-RU"/>
              </w:rPr>
              <w:t xml:space="preserve"> 2022</w:t>
            </w:r>
          </w:p>
        </w:tc>
        <w:tc>
          <w:tcPr>
            <w:tcW w:w="145" w:type="pct"/>
            <w:tcBorders>
              <w:top w:val="single" w:sz="12" w:space="0" w:color="auto"/>
            </w:tcBorders>
          </w:tcPr>
          <w:p w14:paraId="668EE87D" w14:textId="77777777" w:rsidR="00325F24" w:rsidRPr="005E0A3B" w:rsidRDefault="00325F24" w:rsidP="000C1D3E">
            <w:pPr>
              <w:spacing w:after="0" w:line="240" w:lineRule="auto"/>
              <w:jc w:val="right"/>
              <w:rPr>
                <w:rFonts w:ascii="Arial" w:eastAsia="Times New Roman" w:hAnsi="Arial" w:cs="Arial"/>
                <w:b/>
                <w:bCs/>
                <w:color w:val="000000"/>
                <w:sz w:val="20"/>
                <w:szCs w:val="20"/>
                <w:lang w:eastAsia="ru-RU"/>
              </w:rPr>
            </w:pPr>
          </w:p>
        </w:tc>
        <w:tc>
          <w:tcPr>
            <w:tcW w:w="667" w:type="pct"/>
            <w:tcBorders>
              <w:top w:val="single" w:sz="12" w:space="0" w:color="auto"/>
              <w:bottom w:val="single" w:sz="12" w:space="0" w:color="auto"/>
            </w:tcBorders>
            <w:shd w:val="clear" w:color="auto" w:fill="auto"/>
            <w:noWrap/>
            <w:vAlign w:val="center"/>
            <w:hideMark/>
          </w:tcPr>
          <w:p w14:paraId="1379E8F1" w14:textId="4BB0F045" w:rsidR="00325F24" w:rsidRPr="005E0A3B" w:rsidRDefault="00D2118D" w:rsidP="000C1D3E">
            <w:pPr>
              <w:spacing w:after="0" w:line="240" w:lineRule="auto"/>
              <w:jc w:val="right"/>
              <w:rPr>
                <w:rFonts w:ascii="Arial" w:eastAsia="Times New Roman" w:hAnsi="Arial" w:cs="Arial"/>
                <w:b/>
                <w:bCs/>
                <w:color w:val="000000"/>
                <w:sz w:val="20"/>
                <w:szCs w:val="20"/>
                <w:lang w:eastAsia="ru-RU"/>
              </w:rPr>
            </w:pPr>
            <w:r w:rsidRPr="005E0A3B">
              <w:rPr>
                <w:rFonts w:ascii="Arial" w:eastAsia="Times New Roman" w:hAnsi="Arial" w:cs="Arial"/>
                <w:b/>
                <w:bCs/>
                <w:color w:val="000000"/>
                <w:sz w:val="20"/>
                <w:szCs w:val="20"/>
                <w:lang w:eastAsia="ru-RU"/>
              </w:rPr>
              <w:t>12</w:t>
            </w:r>
            <w:r w:rsidR="002B658D" w:rsidRPr="005E0A3B">
              <w:rPr>
                <w:rFonts w:ascii="Arial" w:eastAsia="Times New Roman" w:hAnsi="Arial" w:cs="Arial"/>
                <w:b/>
                <w:bCs/>
                <w:color w:val="000000"/>
                <w:sz w:val="20"/>
                <w:szCs w:val="20"/>
                <w:lang w:eastAsia="ru-RU"/>
              </w:rPr>
              <w:t>M</w:t>
            </w:r>
            <w:r w:rsidR="006B4393" w:rsidRPr="005E0A3B">
              <w:rPr>
                <w:rFonts w:ascii="Arial" w:eastAsia="Times New Roman" w:hAnsi="Arial" w:cs="Arial"/>
                <w:b/>
                <w:bCs/>
                <w:color w:val="000000"/>
                <w:sz w:val="20"/>
                <w:szCs w:val="20"/>
                <w:lang w:eastAsia="ru-RU"/>
              </w:rPr>
              <w:t xml:space="preserve"> 2021</w:t>
            </w:r>
          </w:p>
        </w:tc>
        <w:tc>
          <w:tcPr>
            <w:tcW w:w="151" w:type="pct"/>
            <w:tcBorders>
              <w:top w:val="single" w:sz="12" w:space="0" w:color="auto"/>
            </w:tcBorders>
          </w:tcPr>
          <w:p w14:paraId="46EA1DBF" w14:textId="77777777" w:rsidR="00325F24" w:rsidRPr="005E0A3B" w:rsidRDefault="00325F24" w:rsidP="000C1D3E">
            <w:pPr>
              <w:spacing w:after="0" w:line="240" w:lineRule="auto"/>
              <w:jc w:val="right"/>
              <w:rPr>
                <w:rFonts w:ascii="Arial" w:eastAsia="Times New Roman" w:hAnsi="Arial" w:cs="Arial"/>
                <w:b/>
                <w:bCs/>
                <w:color w:val="000000"/>
                <w:sz w:val="20"/>
                <w:szCs w:val="20"/>
                <w:lang w:eastAsia="ru-RU"/>
              </w:rPr>
            </w:pPr>
          </w:p>
        </w:tc>
        <w:tc>
          <w:tcPr>
            <w:tcW w:w="820" w:type="pct"/>
            <w:tcBorders>
              <w:top w:val="single" w:sz="12" w:space="0" w:color="auto"/>
              <w:bottom w:val="single" w:sz="12" w:space="0" w:color="auto"/>
            </w:tcBorders>
            <w:shd w:val="clear" w:color="auto" w:fill="auto"/>
            <w:noWrap/>
            <w:vAlign w:val="center"/>
            <w:hideMark/>
          </w:tcPr>
          <w:p w14:paraId="1E840B12" w14:textId="0FA53BB8" w:rsidR="00926DA8" w:rsidRPr="005E0A3B" w:rsidRDefault="00457AB1" w:rsidP="000C1D3E">
            <w:pPr>
              <w:spacing w:after="0" w:line="240" w:lineRule="auto"/>
              <w:jc w:val="right"/>
              <w:rPr>
                <w:rFonts w:ascii="Arial" w:eastAsia="Times New Roman" w:hAnsi="Arial" w:cs="Arial"/>
                <w:b/>
                <w:bCs/>
                <w:i/>
                <w:iCs/>
                <w:color w:val="000000"/>
                <w:sz w:val="20"/>
                <w:szCs w:val="20"/>
                <w:lang w:eastAsia="ru-RU"/>
              </w:rPr>
            </w:pPr>
            <w:r w:rsidRPr="005E0A3B">
              <w:rPr>
                <w:rFonts w:ascii="Arial" w:eastAsia="Times New Roman" w:hAnsi="Arial" w:cs="Arial"/>
                <w:bCs/>
                <w:i/>
                <w:iCs/>
                <w:color w:val="000000"/>
                <w:sz w:val="20"/>
                <w:szCs w:val="20"/>
                <w:lang w:eastAsia="ru-RU"/>
              </w:rPr>
              <w:t>% change</w:t>
            </w:r>
          </w:p>
        </w:tc>
      </w:tr>
      <w:tr w:rsidR="00BB324D" w:rsidRPr="005E0A3B" w14:paraId="5EAFC682" w14:textId="77777777" w:rsidTr="0079290F">
        <w:trPr>
          <w:trHeight w:hRule="exact" w:val="57"/>
        </w:trPr>
        <w:tc>
          <w:tcPr>
            <w:tcW w:w="2405" w:type="pct"/>
            <w:tcBorders>
              <w:top w:val="single" w:sz="12" w:space="0" w:color="auto"/>
            </w:tcBorders>
            <w:shd w:val="clear" w:color="auto" w:fill="auto"/>
            <w:noWrap/>
            <w:vAlign w:val="bottom"/>
          </w:tcPr>
          <w:p w14:paraId="0900495B" w14:textId="77777777" w:rsidR="00325F24" w:rsidRPr="005E0A3B" w:rsidRDefault="00325F24" w:rsidP="000C1D3E">
            <w:pPr>
              <w:spacing w:after="0" w:line="240" w:lineRule="auto"/>
              <w:rPr>
                <w:rFonts w:ascii="Arial" w:eastAsia="Times New Roman" w:hAnsi="Arial" w:cs="Arial"/>
                <w:b/>
                <w:color w:val="000000"/>
                <w:sz w:val="20"/>
                <w:szCs w:val="20"/>
                <w:lang w:eastAsia="ru-RU"/>
              </w:rPr>
            </w:pPr>
          </w:p>
        </w:tc>
        <w:tc>
          <w:tcPr>
            <w:tcW w:w="145" w:type="pct"/>
          </w:tcPr>
          <w:p w14:paraId="6B0ACF2B"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top w:val="single" w:sz="12" w:space="0" w:color="auto"/>
            </w:tcBorders>
            <w:shd w:val="clear" w:color="auto" w:fill="auto"/>
            <w:noWrap/>
            <w:vAlign w:val="center"/>
          </w:tcPr>
          <w:p w14:paraId="18BA9DC8"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145" w:type="pct"/>
            <w:tcBorders>
              <w:top w:val="single" w:sz="12" w:space="0" w:color="auto"/>
            </w:tcBorders>
          </w:tcPr>
          <w:p w14:paraId="4A43D08E"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top w:val="single" w:sz="12" w:space="0" w:color="auto"/>
            </w:tcBorders>
            <w:shd w:val="clear" w:color="auto" w:fill="auto"/>
            <w:noWrap/>
            <w:vAlign w:val="center"/>
          </w:tcPr>
          <w:p w14:paraId="26A4BBB1"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151" w:type="pct"/>
            <w:tcBorders>
              <w:top w:val="single" w:sz="12" w:space="0" w:color="auto"/>
            </w:tcBorders>
          </w:tcPr>
          <w:p w14:paraId="18C1428E" w14:textId="77777777" w:rsidR="00325F24" w:rsidRPr="005E0A3B" w:rsidRDefault="00325F24" w:rsidP="000C1D3E">
            <w:pPr>
              <w:spacing w:after="0" w:line="240" w:lineRule="auto"/>
              <w:jc w:val="right"/>
              <w:rPr>
                <w:rFonts w:ascii="Arial" w:eastAsia="Times New Roman" w:hAnsi="Arial" w:cs="Arial"/>
                <w:b/>
                <w:i/>
                <w:color w:val="000000"/>
                <w:sz w:val="20"/>
                <w:szCs w:val="20"/>
                <w:lang w:eastAsia="ru-RU"/>
              </w:rPr>
            </w:pPr>
          </w:p>
        </w:tc>
        <w:tc>
          <w:tcPr>
            <w:tcW w:w="820" w:type="pct"/>
            <w:tcBorders>
              <w:top w:val="single" w:sz="12" w:space="0" w:color="auto"/>
            </w:tcBorders>
            <w:shd w:val="clear" w:color="auto" w:fill="auto"/>
            <w:noWrap/>
            <w:vAlign w:val="center"/>
          </w:tcPr>
          <w:p w14:paraId="4922FF7A" w14:textId="77777777" w:rsidR="00325F24" w:rsidRPr="005E0A3B" w:rsidRDefault="00325F24" w:rsidP="000C1D3E">
            <w:pPr>
              <w:spacing w:after="0" w:line="240" w:lineRule="auto"/>
              <w:jc w:val="center"/>
              <w:rPr>
                <w:rFonts w:ascii="Arial" w:eastAsia="Times New Roman" w:hAnsi="Arial" w:cs="Arial"/>
                <w:b/>
                <w:i/>
                <w:iCs/>
                <w:color w:val="000000"/>
                <w:sz w:val="20"/>
                <w:szCs w:val="20"/>
                <w:lang w:eastAsia="ru-RU"/>
              </w:rPr>
            </w:pPr>
          </w:p>
        </w:tc>
      </w:tr>
      <w:tr w:rsidR="00BB324D" w:rsidRPr="005E0A3B" w14:paraId="01B983B9" w14:textId="77777777" w:rsidTr="002C0B4F">
        <w:trPr>
          <w:trHeight w:val="262"/>
        </w:trPr>
        <w:tc>
          <w:tcPr>
            <w:tcW w:w="2405" w:type="pct"/>
            <w:shd w:val="clear" w:color="auto" w:fill="auto"/>
            <w:noWrap/>
            <w:vAlign w:val="bottom"/>
            <w:hideMark/>
          </w:tcPr>
          <w:p w14:paraId="185F453E" w14:textId="77777777" w:rsidR="00325F24" w:rsidRPr="005E0A3B" w:rsidRDefault="00325F24" w:rsidP="000C1D3E">
            <w:pPr>
              <w:spacing w:after="0" w:line="240" w:lineRule="auto"/>
              <w:rPr>
                <w:rFonts w:ascii="Arial" w:eastAsia="Times New Roman" w:hAnsi="Arial" w:cs="Arial"/>
                <w:b/>
                <w:color w:val="000000"/>
                <w:sz w:val="20"/>
                <w:szCs w:val="20"/>
                <w:lang w:eastAsia="ru-RU"/>
              </w:rPr>
            </w:pPr>
            <w:r w:rsidRPr="005E0A3B">
              <w:rPr>
                <w:rFonts w:ascii="Arial" w:eastAsia="Times New Roman" w:hAnsi="Arial" w:cs="Arial"/>
                <w:b/>
                <w:color w:val="000000"/>
                <w:sz w:val="20"/>
                <w:szCs w:val="20"/>
                <w:lang w:eastAsia="ru-RU"/>
              </w:rPr>
              <w:t>Revenue</w:t>
            </w:r>
          </w:p>
        </w:tc>
        <w:tc>
          <w:tcPr>
            <w:tcW w:w="145" w:type="pct"/>
          </w:tcPr>
          <w:p w14:paraId="19F0111A"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shd w:val="clear" w:color="auto" w:fill="auto"/>
            <w:noWrap/>
            <w:vAlign w:val="center"/>
          </w:tcPr>
          <w:p w14:paraId="29CCC10D" w14:textId="74F092C4" w:rsidR="00325F24" w:rsidRPr="005E0A3B" w:rsidRDefault="00DE62B7" w:rsidP="000C1D3E">
            <w:pPr>
              <w:spacing w:after="0" w:line="240" w:lineRule="auto"/>
              <w:jc w:val="right"/>
              <w:rPr>
                <w:rFonts w:ascii="Arial" w:eastAsia="Times New Roman" w:hAnsi="Arial" w:cs="Arial"/>
                <w:b/>
                <w:color w:val="000000"/>
                <w:sz w:val="20"/>
                <w:szCs w:val="20"/>
                <w:lang w:eastAsia="ru-RU"/>
              </w:rPr>
            </w:pPr>
            <w:r w:rsidRPr="005E0A3B">
              <w:rPr>
                <w:rFonts w:ascii="Arial" w:eastAsia="Times New Roman" w:hAnsi="Arial" w:cs="Arial"/>
                <w:b/>
                <w:color w:val="000000"/>
                <w:sz w:val="20"/>
                <w:szCs w:val="20"/>
                <w:lang w:eastAsia="ru-RU"/>
              </w:rPr>
              <w:t xml:space="preserve"> </w:t>
            </w:r>
            <w:r w:rsidR="003530A5" w:rsidRPr="000D120B">
              <w:rPr>
                <w:rFonts w:ascii="Arial" w:hAnsi="Arial" w:cs="Arial"/>
                <w:b/>
                <w:sz w:val="20"/>
                <w:szCs w:val="20"/>
              </w:rPr>
              <w:t>158</w:t>
            </w:r>
          </w:p>
        </w:tc>
        <w:tc>
          <w:tcPr>
            <w:tcW w:w="145" w:type="pct"/>
          </w:tcPr>
          <w:p w14:paraId="2F16E8D0"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shd w:val="clear" w:color="auto" w:fill="auto"/>
            <w:noWrap/>
            <w:vAlign w:val="center"/>
          </w:tcPr>
          <w:p w14:paraId="1CEE4C48" w14:textId="121B242E" w:rsidR="00325F24" w:rsidRPr="005E0A3B" w:rsidRDefault="00DB5AAE" w:rsidP="000C1D3E">
            <w:pPr>
              <w:spacing w:after="0" w:line="240" w:lineRule="auto"/>
              <w:jc w:val="right"/>
              <w:rPr>
                <w:rFonts w:ascii="Arial" w:eastAsia="Times New Roman" w:hAnsi="Arial" w:cs="Arial"/>
                <w:b/>
                <w:color w:val="000000"/>
                <w:sz w:val="20"/>
                <w:szCs w:val="20"/>
                <w:lang w:eastAsia="ru-RU"/>
              </w:rPr>
            </w:pPr>
            <w:r w:rsidRPr="000D120B">
              <w:rPr>
                <w:rFonts w:ascii="Arial" w:hAnsi="Arial" w:cs="Arial"/>
                <w:b/>
                <w:sz w:val="20"/>
                <w:szCs w:val="20"/>
              </w:rPr>
              <w:t>188</w:t>
            </w:r>
          </w:p>
        </w:tc>
        <w:tc>
          <w:tcPr>
            <w:tcW w:w="151" w:type="pct"/>
          </w:tcPr>
          <w:p w14:paraId="7CF11C07"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820" w:type="pct"/>
            <w:shd w:val="clear" w:color="auto" w:fill="auto"/>
            <w:noWrap/>
            <w:vAlign w:val="center"/>
          </w:tcPr>
          <w:p w14:paraId="48CD2963" w14:textId="12D527C8" w:rsidR="00325F24" w:rsidRPr="005E0A3B" w:rsidRDefault="00DB5AAE" w:rsidP="000C1D3E">
            <w:pPr>
              <w:spacing w:after="0" w:line="240" w:lineRule="auto"/>
              <w:jc w:val="right"/>
              <w:rPr>
                <w:rFonts w:ascii="Arial" w:eastAsiaTheme="minorEastAsia" w:hAnsi="Arial" w:cs="Arial"/>
                <w:b/>
                <w:color w:val="000000"/>
                <w:sz w:val="20"/>
                <w:szCs w:val="20"/>
                <w:lang w:eastAsia="ru-RU"/>
              </w:rPr>
            </w:pPr>
            <w:r w:rsidRPr="000D120B">
              <w:rPr>
                <w:rFonts w:ascii="Arial" w:hAnsi="Arial" w:cs="Arial"/>
                <w:b/>
                <w:sz w:val="20"/>
                <w:szCs w:val="20"/>
              </w:rPr>
              <w:t>-16%</w:t>
            </w:r>
          </w:p>
        </w:tc>
      </w:tr>
      <w:tr w:rsidR="00BB324D" w:rsidRPr="005E0A3B" w14:paraId="0E48BBF4" w14:textId="77777777" w:rsidTr="002C0B4F">
        <w:trPr>
          <w:trHeight w:val="151"/>
        </w:trPr>
        <w:tc>
          <w:tcPr>
            <w:tcW w:w="2405" w:type="pct"/>
            <w:tcBorders>
              <w:bottom w:val="single" w:sz="2" w:space="0" w:color="auto"/>
            </w:tcBorders>
            <w:shd w:val="clear" w:color="auto" w:fill="auto"/>
            <w:noWrap/>
            <w:vAlign w:val="bottom"/>
            <w:hideMark/>
          </w:tcPr>
          <w:p w14:paraId="3D938028" w14:textId="37446E76" w:rsidR="00325F24" w:rsidRPr="005E0A3B" w:rsidRDefault="00325F24" w:rsidP="000C1D3E">
            <w:pPr>
              <w:spacing w:after="0" w:line="240" w:lineRule="auto"/>
              <w:rPr>
                <w:rFonts w:ascii="Arial" w:eastAsia="Times New Roman" w:hAnsi="Arial" w:cs="Arial"/>
                <w:color w:val="000000"/>
                <w:sz w:val="20"/>
                <w:szCs w:val="20"/>
                <w:lang w:eastAsia="ru-RU"/>
              </w:rPr>
            </w:pPr>
            <w:r w:rsidRPr="005E0A3B">
              <w:rPr>
                <w:rFonts w:ascii="Arial" w:eastAsia="Times New Roman" w:hAnsi="Arial" w:cs="Arial"/>
                <w:color w:val="000000"/>
                <w:sz w:val="20"/>
                <w:szCs w:val="20"/>
                <w:lang w:eastAsia="ru-RU"/>
              </w:rPr>
              <w:t xml:space="preserve">IAS 41 standard </w:t>
            </w:r>
            <w:r w:rsidR="0084412E" w:rsidRPr="005E0A3B">
              <w:rPr>
                <w:rFonts w:ascii="Arial" w:eastAsia="Times New Roman" w:hAnsi="Arial" w:cs="Arial"/>
                <w:color w:val="000000"/>
                <w:sz w:val="20"/>
                <w:szCs w:val="20"/>
                <w:lang w:eastAsia="ru-RU"/>
              </w:rPr>
              <w:t>gain/(</w:t>
            </w:r>
            <w:r w:rsidR="00EA6578" w:rsidRPr="005E0A3B">
              <w:rPr>
                <w:rFonts w:ascii="Arial" w:eastAsia="Times New Roman" w:hAnsi="Arial" w:cs="Arial"/>
                <w:color w:val="000000"/>
                <w:sz w:val="20"/>
                <w:szCs w:val="20"/>
                <w:lang w:eastAsia="ru-RU"/>
              </w:rPr>
              <w:t>loss</w:t>
            </w:r>
            <w:r w:rsidR="0084412E" w:rsidRPr="005E0A3B">
              <w:rPr>
                <w:rFonts w:ascii="Arial" w:eastAsia="Times New Roman" w:hAnsi="Arial" w:cs="Arial"/>
                <w:color w:val="000000"/>
                <w:sz w:val="20"/>
                <w:szCs w:val="20"/>
                <w:lang w:eastAsia="ru-RU"/>
              </w:rPr>
              <w:t>)</w:t>
            </w:r>
          </w:p>
        </w:tc>
        <w:tc>
          <w:tcPr>
            <w:tcW w:w="145" w:type="pct"/>
          </w:tcPr>
          <w:p w14:paraId="5EA86136" w14:textId="77777777" w:rsidR="00325F24" w:rsidRPr="005E0A3B" w:rsidRDefault="00325F24" w:rsidP="000C1D3E">
            <w:pPr>
              <w:spacing w:after="0" w:line="240" w:lineRule="auto"/>
              <w:jc w:val="right"/>
              <w:rPr>
                <w:rFonts w:ascii="Arial" w:eastAsia="Times New Roman" w:hAnsi="Arial" w:cs="Arial"/>
                <w:color w:val="000000"/>
                <w:sz w:val="20"/>
                <w:szCs w:val="20"/>
                <w:lang w:eastAsia="ru-RU"/>
              </w:rPr>
            </w:pPr>
          </w:p>
        </w:tc>
        <w:tc>
          <w:tcPr>
            <w:tcW w:w="667" w:type="pct"/>
            <w:tcBorders>
              <w:bottom w:val="single" w:sz="2" w:space="0" w:color="auto"/>
            </w:tcBorders>
            <w:shd w:val="clear" w:color="auto" w:fill="auto"/>
            <w:noWrap/>
            <w:vAlign w:val="center"/>
          </w:tcPr>
          <w:p w14:paraId="7CA636EB" w14:textId="27992D16" w:rsidR="00325F24" w:rsidRPr="005E0A3B" w:rsidRDefault="00DB5AAE" w:rsidP="000C1D3E">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(142)</w:t>
            </w:r>
          </w:p>
        </w:tc>
        <w:tc>
          <w:tcPr>
            <w:tcW w:w="145" w:type="pct"/>
            <w:tcBorders>
              <w:bottom w:val="single" w:sz="2" w:space="0" w:color="auto"/>
            </w:tcBorders>
          </w:tcPr>
          <w:p w14:paraId="0F95E191" w14:textId="77777777" w:rsidR="00325F24" w:rsidRPr="005E0A3B" w:rsidRDefault="00325F24" w:rsidP="000C1D3E">
            <w:pPr>
              <w:spacing w:after="0" w:line="240" w:lineRule="auto"/>
              <w:jc w:val="right"/>
              <w:rPr>
                <w:rFonts w:ascii="Arial" w:eastAsia="Times New Roman" w:hAnsi="Arial" w:cs="Arial"/>
                <w:color w:val="000000"/>
                <w:sz w:val="20"/>
                <w:szCs w:val="20"/>
                <w:lang w:eastAsia="ru-RU"/>
              </w:rPr>
            </w:pPr>
          </w:p>
        </w:tc>
        <w:tc>
          <w:tcPr>
            <w:tcW w:w="667" w:type="pct"/>
            <w:tcBorders>
              <w:bottom w:val="single" w:sz="2" w:space="0" w:color="auto"/>
            </w:tcBorders>
            <w:shd w:val="clear" w:color="auto" w:fill="auto"/>
            <w:noWrap/>
            <w:vAlign w:val="center"/>
          </w:tcPr>
          <w:p w14:paraId="03FB2576" w14:textId="2E2C1E05" w:rsidR="00325F24" w:rsidRPr="005E0A3B" w:rsidRDefault="00DE62B7" w:rsidP="000C1D3E">
            <w:pPr>
              <w:spacing w:after="0" w:line="240" w:lineRule="auto"/>
              <w:jc w:val="right"/>
              <w:rPr>
                <w:rFonts w:ascii="Arial" w:eastAsia="Times New Roman" w:hAnsi="Arial" w:cs="Arial"/>
                <w:color w:val="000000"/>
                <w:sz w:val="20"/>
                <w:szCs w:val="20"/>
                <w:lang w:eastAsia="ru-RU"/>
              </w:rPr>
            </w:pPr>
            <w:r w:rsidRPr="005E0A3B">
              <w:rPr>
                <w:rFonts w:ascii="Arial" w:eastAsia="Times New Roman" w:hAnsi="Arial" w:cs="Arial"/>
                <w:color w:val="000000"/>
                <w:sz w:val="20"/>
                <w:szCs w:val="20"/>
                <w:lang w:eastAsia="ru-RU"/>
              </w:rPr>
              <w:t xml:space="preserve"> </w:t>
            </w:r>
            <w:r w:rsidR="00DB5AAE" w:rsidRPr="000D120B">
              <w:rPr>
                <w:rFonts w:ascii="Arial" w:hAnsi="Arial" w:cs="Arial"/>
                <w:sz w:val="20"/>
                <w:szCs w:val="20"/>
              </w:rPr>
              <w:t xml:space="preserve"> 169</w:t>
            </w:r>
            <w:r w:rsidRPr="005E0A3B">
              <w:rPr>
                <w:rFonts w:ascii="Arial" w:eastAsia="Times New Roman" w:hAnsi="Arial" w:cs="Arial"/>
                <w:color w:val="000000"/>
                <w:sz w:val="20"/>
                <w:szCs w:val="20"/>
                <w:lang w:eastAsia="ru-RU"/>
              </w:rPr>
              <w:t xml:space="preserve"> </w:t>
            </w:r>
          </w:p>
        </w:tc>
        <w:tc>
          <w:tcPr>
            <w:tcW w:w="151" w:type="pct"/>
            <w:tcBorders>
              <w:bottom w:val="single" w:sz="2" w:space="0" w:color="auto"/>
            </w:tcBorders>
          </w:tcPr>
          <w:p w14:paraId="54D8D2AB" w14:textId="77777777" w:rsidR="00325F24" w:rsidRPr="005E0A3B" w:rsidRDefault="00325F24" w:rsidP="000C1D3E">
            <w:pPr>
              <w:spacing w:after="0" w:line="240" w:lineRule="auto"/>
              <w:jc w:val="right"/>
              <w:rPr>
                <w:rFonts w:ascii="Arial" w:eastAsia="Times New Roman" w:hAnsi="Arial" w:cs="Arial"/>
                <w:color w:val="000000"/>
                <w:sz w:val="20"/>
                <w:szCs w:val="20"/>
                <w:lang w:eastAsia="ru-RU"/>
              </w:rPr>
            </w:pPr>
          </w:p>
        </w:tc>
        <w:tc>
          <w:tcPr>
            <w:tcW w:w="820" w:type="pct"/>
            <w:tcBorders>
              <w:bottom w:val="single" w:sz="2" w:space="0" w:color="auto"/>
            </w:tcBorders>
            <w:shd w:val="clear" w:color="auto" w:fill="auto"/>
            <w:noWrap/>
            <w:vAlign w:val="center"/>
          </w:tcPr>
          <w:p w14:paraId="1D16C9CF" w14:textId="5E01BC6E" w:rsidR="00325F24" w:rsidRPr="005E0A3B" w:rsidRDefault="00DB5AAE" w:rsidP="000C1D3E">
            <w:pPr>
              <w:spacing w:after="0" w:line="240" w:lineRule="auto"/>
              <w:jc w:val="right"/>
              <w:rPr>
                <w:rFonts w:ascii="Arial" w:hAnsi="Arial" w:cs="Arial"/>
                <w:sz w:val="20"/>
                <w:szCs w:val="20"/>
              </w:rPr>
            </w:pPr>
            <w:r w:rsidRPr="000D120B">
              <w:rPr>
                <w:rFonts w:ascii="Arial" w:hAnsi="Arial" w:cs="Arial"/>
                <w:sz w:val="20"/>
                <w:szCs w:val="20"/>
              </w:rPr>
              <w:t>-184%</w:t>
            </w:r>
          </w:p>
        </w:tc>
      </w:tr>
      <w:tr w:rsidR="00BB324D" w:rsidRPr="005E0A3B" w14:paraId="7DA060E0" w14:textId="77777777" w:rsidTr="0079290F">
        <w:trPr>
          <w:trHeight w:hRule="exact" w:val="57"/>
        </w:trPr>
        <w:tc>
          <w:tcPr>
            <w:tcW w:w="2405" w:type="pct"/>
            <w:tcBorders>
              <w:top w:val="single" w:sz="2" w:space="0" w:color="auto"/>
            </w:tcBorders>
            <w:shd w:val="clear" w:color="auto" w:fill="auto"/>
            <w:noWrap/>
            <w:vAlign w:val="bottom"/>
          </w:tcPr>
          <w:p w14:paraId="175F4A7F" w14:textId="77777777" w:rsidR="00325F24" w:rsidRPr="005E0A3B" w:rsidRDefault="00325F24" w:rsidP="000C1D3E">
            <w:pPr>
              <w:spacing w:after="0" w:line="240" w:lineRule="auto"/>
              <w:rPr>
                <w:rFonts w:ascii="Arial" w:eastAsia="Times New Roman" w:hAnsi="Arial" w:cs="Arial"/>
                <w:b/>
                <w:color w:val="000000"/>
                <w:sz w:val="20"/>
                <w:szCs w:val="20"/>
                <w:lang w:eastAsia="ru-RU"/>
              </w:rPr>
            </w:pPr>
          </w:p>
        </w:tc>
        <w:tc>
          <w:tcPr>
            <w:tcW w:w="145" w:type="pct"/>
          </w:tcPr>
          <w:p w14:paraId="3DB9AF39"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top w:val="single" w:sz="2" w:space="0" w:color="auto"/>
            </w:tcBorders>
            <w:shd w:val="clear" w:color="auto" w:fill="auto"/>
            <w:noWrap/>
            <w:vAlign w:val="center"/>
          </w:tcPr>
          <w:p w14:paraId="1783E351" w14:textId="77777777" w:rsidR="00325F24" w:rsidRPr="005E0A3B" w:rsidRDefault="00325F24" w:rsidP="000C1D3E">
            <w:pPr>
              <w:spacing w:after="0" w:line="240" w:lineRule="auto"/>
              <w:jc w:val="right"/>
              <w:rPr>
                <w:rFonts w:ascii="Arial" w:eastAsia="Times New Roman" w:hAnsi="Arial" w:cs="Arial"/>
                <w:color w:val="000000"/>
                <w:sz w:val="20"/>
                <w:szCs w:val="20"/>
                <w:lang w:eastAsia="ru-RU"/>
              </w:rPr>
            </w:pPr>
          </w:p>
        </w:tc>
        <w:tc>
          <w:tcPr>
            <w:tcW w:w="145" w:type="pct"/>
            <w:tcBorders>
              <w:top w:val="single" w:sz="2" w:space="0" w:color="auto"/>
            </w:tcBorders>
          </w:tcPr>
          <w:p w14:paraId="39B46A73" w14:textId="77777777" w:rsidR="00325F24" w:rsidRPr="005E0A3B" w:rsidRDefault="00325F24" w:rsidP="000C1D3E">
            <w:pPr>
              <w:spacing w:after="0" w:line="240" w:lineRule="auto"/>
              <w:jc w:val="right"/>
              <w:rPr>
                <w:rFonts w:ascii="Arial" w:eastAsia="Times New Roman" w:hAnsi="Arial" w:cs="Arial"/>
                <w:color w:val="000000"/>
                <w:sz w:val="20"/>
                <w:szCs w:val="20"/>
                <w:lang w:eastAsia="ru-RU"/>
              </w:rPr>
            </w:pPr>
          </w:p>
        </w:tc>
        <w:tc>
          <w:tcPr>
            <w:tcW w:w="667" w:type="pct"/>
            <w:tcBorders>
              <w:top w:val="single" w:sz="2" w:space="0" w:color="auto"/>
            </w:tcBorders>
            <w:shd w:val="clear" w:color="auto" w:fill="auto"/>
            <w:noWrap/>
            <w:vAlign w:val="center"/>
          </w:tcPr>
          <w:p w14:paraId="59649751" w14:textId="77777777" w:rsidR="00325F24" w:rsidRPr="005E0A3B" w:rsidRDefault="00325F24" w:rsidP="000C1D3E">
            <w:pPr>
              <w:spacing w:after="0" w:line="240" w:lineRule="auto"/>
              <w:jc w:val="right"/>
              <w:rPr>
                <w:rFonts w:ascii="Arial" w:eastAsia="Times New Roman" w:hAnsi="Arial" w:cs="Arial"/>
                <w:color w:val="000000"/>
                <w:sz w:val="20"/>
                <w:szCs w:val="20"/>
                <w:lang w:eastAsia="ru-RU"/>
              </w:rPr>
            </w:pPr>
          </w:p>
        </w:tc>
        <w:tc>
          <w:tcPr>
            <w:tcW w:w="151" w:type="pct"/>
            <w:tcBorders>
              <w:top w:val="single" w:sz="2" w:space="0" w:color="auto"/>
            </w:tcBorders>
          </w:tcPr>
          <w:p w14:paraId="030DDA97" w14:textId="77777777" w:rsidR="00325F24" w:rsidRPr="005E0A3B" w:rsidRDefault="00325F24" w:rsidP="000C1D3E">
            <w:pPr>
              <w:spacing w:after="0" w:line="240" w:lineRule="auto"/>
              <w:jc w:val="right"/>
              <w:rPr>
                <w:rFonts w:ascii="Arial" w:eastAsia="Times New Roman" w:hAnsi="Arial" w:cs="Arial"/>
                <w:color w:val="000000"/>
                <w:sz w:val="20"/>
                <w:szCs w:val="20"/>
                <w:lang w:eastAsia="ru-RU"/>
              </w:rPr>
            </w:pPr>
          </w:p>
        </w:tc>
        <w:tc>
          <w:tcPr>
            <w:tcW w:w="820" w:type="pct"/>
            <w:tcBorders>
              <w:top w:val="single" w:sz="2" w:space="0" w:color="auto"/>
            </w:tcBorders>
            <w:shd w:val="clear" w:color="auto" w:fill="auto"/>
            <w:noWrap/>
            <w:vAlign w:val="center"/>
          </w:tcPr>
          <w:p w14:paraId="4587965E" w14:textId="77777777" w:rsidR="00325F24" w:rsidRPr="005E0A3B" w:rsidRDefault="00325F24" w:rsidP="000C1D3E">
            <w:pPr>
              <w:spacing w:after="0" w:line="240" w:lineRule="auto"/>
              <w:jc w:val="right"/>
              <w:rPr>
                <w:rFonts w:ascii="Arial" w:eastAsia="Times New Roman" w:hAnsi="Arial" w:cs="Arial"/>
                <w:color w:val="000000"/>
                <w:sz w:val="20"/>
                <w:szCs w:val="20"/>
                <w:lang w:eastAsia="ru-RU"/>
              </w:rPr>
            </w:pPr>
          </w:p>
        </w:tc>
      </w:tr>
      <w:tr w:rsidR="00BB324D" w:rsidRPr="005E0A3B" w14:paraId="7F2A117D" w14:textId="77777777" w:rsidTr="0079290F">
        <w:trPr>
          <w:trHeight w:val="255"/>
        </w:trPr>
        <w:tc>
          <w:tcPr>
            <w:tcW w:w="2405" w:type="pct"/>
            <w:tcBorders>
              <w:bottom w:val="single" w:sz="2" w:space="0" w:color="auto"/>
            </w:tcBorders>
            <w:shd w:val="clear" w:color="auto" w:fill="auto"/>
            <w:noWrap/>
            <w:vAlign w:val="bottom"/>
            <w:hideMark/>
          </w:tcPr>
          <w:p w14:paraId="0CB16238" w14:textId="77777777" w:rsidR="00325F24" w:rsidRPr="005E0A3B" w:rsidRDefault="00325F24" w:rsidP="000C1D3E">
            <w:pPr>
              <w:spacing w:after="0" w:line="240" w:lineRule="auto"/>
              <w:rPr>
                <w:rFonts w:ascii="Arial" w:eastAsia="Times New Roman" w:hAnsi="Arial" w:cs="Arial"/>
                <w:b/>
                <w:color w:val="000000"/>
                <w:sz w:val="20"/>
                <w:szCs w:val="20"/>
                <w:lang w:eastAsia="ru-RU"/>
              </w:rPr>
            </w:pPr>
            <w:r w:rsidRPr="005E0A3B">
              <w:rPr>
                <w:rFonts w:ascii="Arial" w:eastAsia="Times New Roman" w:hAnsi="Arial" w:cs="Arial"/>
                <w:b/>
                <w:color w:val="000000"/>
                <w:sz w:val="20"/>
                <w:szCs w:val="20"/>
                <w:lang w:eastAsia="ru-RU"/>
              </w:rPr>
              <w:t>Gross profit</w:t>
            </w:r>
          </w:p>
        </w:tc>
        <w:tc>
          <w:tcPr>
            <w:tcW w:w="145" w:type="pct"/>
          </w:tcPr>
          <w:p w14:paraId="0C11C71A"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bottom w:val="single" w:sz="2" w:space="0" w:color="auto"/>
            </w:tcBorders>
            <w:shd w:val="clear" w:color="auto" w:fill="auto"/>
            <w:noWrap/>
            <w:vAlign w:val="center"/>
          </w:tcPr>
          <w:p w14:paraId="210FF23C" w14:textId="4B8EC193" w:rsidR="00325F24" w:rsidRPr="005E0A3B" w:rsidRDefault="00DE62B7" w:rsidP="000C1D3E">
            <w:pPr>
              <w:spacing w:after="0" w:line="240" w:lineRule="auto"/>
              <w:jc w:val="right"/>
              <w:rPr>
                <w:rFonts w:ascii="Arial" w:eastAsia="Times New Roman" w:hAnsi="Arial" w:cs="Arial"/>
                <w:b/>
                <w:color w:val="000000"/>
                <w:sz w:val="20"/>
                <w:szCs w:val="20"/>
                <w:lang w:eastAsia="ru-RU"/>
              </w:rPr>
            </w:pPr>
            <w:r w:rsidRPr="005E0A3B">
              <w:rPr>
                <w:rFonts w:ascii="Arial" w:eastAsia="Times New Roman" w:hAnsi="Arial" w:cs="Arial"/>
                <w:b/>
                <w:color w:val="000000"/>
                <w:sz w:val="20"/>
                <w:szCs w:val="20"/>
                <w:lang w:eastAsia="ru-RU"/>
              </w:rPr>
              <w:t xml:space="preserve"> </w:t>
            </w:r>
            <w:r w:rsidR="00DB5AAE" w:rsidRPr="000D120B">
              <w:rPr>
                <w:rFonts w:ascii="Arial" w:hAnsi="Arial" w:cs="Arial"/>
                <w:b/>
                <w:sz w:val="20"/>
                <w:szCs w:val="20"/>
              </w:rPr>
              <w:t xml:space="preserve"> 105</w:t>
            </w:r>
            <w:r w:rsidRPr="005E0A3B">
              <w:rPr>
                <w:rFonts w:ascii="Arial" w:eastAsia="Times New Roman" w:hAnsi="Arial" w:cs="Arial"/>
                <w:b/>
                <w:color w:val="000000"/>
                <w:sz w:val="20"/>
                <w:szCs w:val="20"/>
                <w:lang w:eastAsia="ru-RU"/>
              </w:rPr>
              <w:t xml:space="preserve"> </w:t>
            </w:r>
          </w:p>
        </w:tc>
        <w:tc>
          <w:tcPr>
            <w:tcW w:w="145" w:type="pct"/>
            <w:tcBorders>
              <w:bottom w:val="single" w:sz="2" w:space="0" w:color="auto"/>
            </w:tcBorders>
          </w:tcPr>
          <w:p w14:paraId="7BCCADB4"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667" w:type="pct"/>
            <w:tcBorders>
              <w:bottom w:val="single" w:sz="2" w:space="0" w:color="auto"/>
            </w:tcBorders>
            <w:shd w:val="clear" w:color="auto" w:fill="auto"/>
            <w:noWrap/>
            <w:vAlign w:val="center"/>
          </w:tcPr>
          <w:p w14:paraId="7630BE49" w14:textId="31D2D322" w:rsidR="00325F24" w:rsidRPr="005E0A3B" w:rsidRDefault="00DE62B7" w:rsidP="000C1D3E">
            <w:pPr>
              <w:spacing w:after="0" w:line="240" w:lineRule="auto"/>
              <w:jc w:val="right"/>
              <w:rPr>
                <w:rFonts w:ascii="Arial" w:eastAsia="Times New Roman" w:hAnsi="Arial" w:cs="Arial"/>
                <w:b/>
                <w:color w:val="000000"/>
                <w:sz w:val="20"/>
                <w:szCs w:val="20"/>
                <w:lang w:eastAsia="ru-RU"/>
              </w:rPr>
            </w:pPr>
            <w:r w:rsidRPr="005E0A3B">
              <w:rPr>
                <w:rFonts w:ascii="Arial" w:eastAsia="Times New Roman" w:hAnsi="Arial" w:cs="Arial"/>
                <w:b/>
                <w:color w:val="000000"/>
                <w:sz w:val="20"/>
                <w:szCs w:val="20"/>
                <w:lang w:eastAsia="ru-RU"/>
              </w:rPr>
              <w:t xml:space="preserve"> </w:t>
            </w:r>
            <w:r w:rsidR="00DB5AAE" w:rsidRPr="000D120B">
              <w:rPr>
                <w:rFonts w:ascii="Arial" w:hAnsi="Arial" w:cs="Arial"/>
                <w:b/>
                <w:sz w:val="20"/>
                <w:szCs w:val="20"/>
              </w:rPr>
              <w:t>336</w:t>
            </w:r>
            <w:r w:rsidRPr="005E0A3B">
              <w:rPr>
                <w:rFonts w:ascii="Arial" w:eastAsia="Times New Roman" w:hAnsi="Arial" w:cs="Arial"/>
                <w:b/>
                <w:color w:val="000000"/>
                <w:sz w:val="20"/>
                <w:szCs w:val="20"/>
                <w:lang w:eastAsia="ru-RU"/>
              </w:rPr>
              <w:t xml:space="preserve"> </w:t>
            </w:r>
          </w:p>
        </w:tc>
        <w:tc>
          <w:tcPr>
            <w:tcW w:w="151" w:type="pct"/>
            <w:tcBorders>
              <w:bottom w:val="single" w:sz="2" w:space="0" w:color="auto"/>
            </w:tcBorders>
          </w:tcPr>
          <w:p w14:paraId="4700E5F0" w14:textId="77777777" w:rsidR="00325F24" w:rsidRPr="005E0A3B" w:rsidRDefault="00325F24" w:rsidP="000C1D3E">
            <w:pPr>
              <w:spacing w:after="0" w:line="240" w:lineRule="auto"/>
              <w:jc w:val="right"/>
              <w:rPr>
                <w:rFonts w:ascii="Arial" w:eastAsia="Times New Roman" w:hAnsi="Arial" w:cs="Arial"/>
                <w:b/>
                <w:color w:val="000000"/>
                <w:sz w:val="20"/>
                <w:szCs w:val="20"/>
                <w:lang w:eastAsia="ru-RU"/>
              </w:rPr>
            </w:pPr>
          </w:p>
        </w:tc>
        <w:tc>
          <w:tcPr>
            <w:tcW w:w="820" w:type="pct"/>
            <w:tcBorders>
              <w:bottom w:val="single" w:sz="2" w:space="0" w:color="auto"/>
            </w:tcBorders>
            <w:shd w:val="clear" w:color="auto" w:fill="auto"/>
            <w:noWrap/>
            <w:vAlign w:val="center"/>
          </w:tcPr>
          <w:p w14:paraId="088205ED" w14:textId="4F9970B3" w:rsidR="00325F24" w:rsidRPr="005E0A3B" w:rsidRDefault="00DB5AAE" w:rsidP="000C1D3E">
            <w:pPr>
              <w:spacing w:after="0" w:line="240" w:lineRule="auto"/>
              <w:jc w:val="right"/>
              <w:rPr>
                <w:rFonts w:ascii="Arial" w:hAnsi="Arial" w:cs="Arial"/>
                <w:b/>
                <w:sz w:val="20"/>
                <w:szCs w:val="20"/>
              </w:rPr>
            </w:pPr>
            <w:r w:rsidRPr="000D120B">
              <w:rPr>
                <w:rFonts w:ascii="Arial" w:hAnsi="Arial" w:cs="Arial"/>
                <w:b/>
                <w:sz w:val="20"/>
                <w:szCs w:val="20"/>
              </w:rPr>
              <w:t>-69%</w:t>
            </w:r>
          </w:p>
        </w:tc>
      </w:tr>
      <w:tr w:rsidR="002451D5" w:rsidRPr="005E0A3B" w14:paraId="0FBB8501" w14:textId="77777777" w:rsidTr="0079290F">
        <w:trPr>
          <w:trHeight w:val="255"/>
        </w:trPr>
        <w:tc>
          <w:tcPr>
            <w:tcW w:w="2405" w:type="pct"/>
            <w:tcBorders>
              <w:bottom w:val="single" w:sz="2" w:space="0" w:color="auto"/>
            </w:tcBorders>
            <w:shd w:val="clear" w:color="auto" w:fill="auto"/>
            <w:noWrap/>
            <w:vAlign w:val="bottom"/>
          </w:tcPr>
          <w:p w14:paraId="7D9141DF" w14:textId="6E237AC5" w:rsidR="002451D5" w:rsidRPr="005E0A3B" w:rsidRDefault="002451D5" w:rsidP="002451D5">
            <w:pPr>
              <w:spacing w:after="0" w:line="240" w:lineRule="auto"/>
              <w:rPr>
                <w:rFonts w:ascii="Arial" w:eastAsia="Times New Roman" w:hAnsi="Arial" w:cs="Arial"/>
                <w:b/>
                <w:color w:val="000000"/>
                <w:sz w:val="20"/>
                <w:szCs w:val="20"/>
                <w:lang w:eastAsia="ru-RU"/>
              </w:rPr>
            </w:pPr>
            <w:r w:rsidRPr="005E0A3B">
              <w:rPr>
                <w:rFonts w:ascii="Arial" w:eastAsia="Times New Roman" w:hAnsi="Arial" w:cs="Arial"/>
                <w:color w:val="000000"/>
                <w:sz w:val="20"/>
                <w:szCs w:val="20"/>
                <w:lang w:eastAsia="ru-RU"/>
              </w:rPr>
              <w:t>War-related expenses</w:t>
            </w:r>
          </w:p>
        </w:tc>
        <w:tc>
          <w:tcPr>
            <w:tcW w:w="145" w:type="pct"/>
          </w:tcPr>
          <w:p w14:paraId="489901C5" w14:textId="77777777" w:rsidR="002451D5" w:rsidRPr="005E0A3B" w:rsidRDefault="002451D5" w:rsidP="002451D5">
            <w:pPr>
              <w:spacing w:after="0" w:line="240" w:lineRule="auto"/>
              <w:jc w:val="right"/>
              <w:rPr>
                <w:rFonts w:ascii="Arial" w:eastAsia="Times New Roman" w:hAnsi="Arial" w:cs="Arial"/>
                <w:b/>
                <w:color w:val="000000"/>
                <w:sz w:val="20"/>
                <w:szCs w:val="20"/>
                <w:lang w:eastAsia="ru-RU"/>
              </w:rPr>
            </w:pPr>
          </w:p>
        </w:tc>
        <w:tc>
          <w:tcPr>
            <w:tcW w:w="667" w:type="pct"/>
            <w:tcBorders>
              <w:bottom w:val="single" w:sz="2" w:space="0" w:color="auto"/>
            </w:tcBorders>
            <w:shd w:val="clear" w:color="auto" w:fill="auto"/>
            <w:noWrap/>
            <w:vAlign w:val="center"/>
          </w:tcPr>
          <w:p w14:paraId="30E5C2DA" w14:textId="1A3D0347" w:rsidR="002451D5" w:rsidRPr="005E0A3B" w:rsidRDefault="00DB5AAE" w:rsidP="002451D5">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(6)</w:t>
            </w:r>
          </w:p>
        </w:tc>
        <w:tc>
          <w:tcPr>
            <w:tcW w:w="145" w:type="pct"/>
            <w:tcBorders>
              <w:bottom w:val="single" w:sz="2" w:space="0" w:color="auto"/>
            </w:tcBorders>
          </w:tcPr>
          <w:p w14:paraId="7970E854" w14:textId="77777777" w:rsidR="002451D5" w:rsidRPr="005E0A3B" w:rsidRDefault="002451D5" w:rsidP="002451D5">
            <w:pPr>
              <w:spacing w:after="0" w:line="240" w:lineRule="auto"/>
              <w:jc w:val="right"/>
              <w:rPr>
                <w:rFonts w:ascii="Arial" w:eastAsia="Times New Roman" w:hAnsi="Arial" w:cs="Arial"/>
                <w:color w:val="000000"/>
                <w:sz w:val="20"/>
                <w:szCs w:val="20"/>
                <w:lang w:eastAsia="ru-RU"/>
              </w:rPr>
            </w:pPr>
          </w:p>
        </w:tc>
        <w:tc>
          <w:tcPr>
            <w:tcW w:w="667" w:type="pct"/>
            <w:tcBorders>
              <w:bottom w:val="single" w:sz="2" w:space="0" w:color="auto"/>
            </w:tcBorders>
            <w:shd w:val="clear" w:color="auto" w:fill="auto"/>
            <w:noWrap/>
            <w:vAlign w:val="center"/>
          </w:tcPr>
          <w:p w14:paraId="7B8DD520" w14:textId="0935CFC3" w:rsidR="002451D5" w:rsidRPr="005E0A3B" w:rsidRDefault="00DB5AAE" w:rsidP="002451D5">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 xml:space="preserve"> -</w:t>
            </w:r>
          </w:p>
        </w:tc>
        <w:tc>
          <w:tcPr>
            <w:tcW w:w="151" w:type="pct"/>
            <w:tcBorders>
              <w:bottom w:val="single" w:sz="2" w:space="0" w:color="auto"/>
            </w:tcBorders>
          </w:tcPr>
          <w:p w14:paraId="0B361B26" w14:textId="77777777" w:rsidR="002451D5" w:rsidRPr="005E0A3B" w:rsidRDefault="002451D5" w:rsidP="002451D5">
            <w:pPr>
              <w:spacing w:after="0" w:line="240" w:lineRule="auto"/>
              <w:jc w:val="right"/>
              <w:rPr>
                <w:rFonts w:ascii="Arial" w:eastAsia="Times New Roman" w:hAnsi="Arial" w:cs="Arial"/>
                <w:color w:val="000000"/>
                <w:sz w:val="20"/>
                <w:szCs w:val="20"/>
                <w:lang w:eastAsia="ru-RU"/>
              </w:rPr>
            </w:pPr>
          </w:p>
        </w:tc>
        <w:tc>
          <w:tcPr>
            <w:tcW w:w="820" w:type="pct"/>
            <w:tcBorders>
              <w:bottom w:val="single" w:sz="2" w:space="0" w:color="auto"/>
            </w:tcBorders>
            <w:shd w:val="clear" w:color="auto" w:fill="auto"/>
            <w:noWrap/>
            <w:vAlign w:val="center"/>
          </w:tcPr>
          <w:p w14:paraId="35BC3149" w14:textId="067792C5" w:rsidR="002451D5" w:rsidRPr="005E0A3B" w:rsidRDefault="00DB5AAE" w:rsidP="002451D5">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-100%</w:t>
            </w:r>
          </w:p>
        </w:tc>
      </w:tr>
      <w:tr w:rsidR="002451D5" w:rsidRPr="005E0A3B" w14:paraId="76F98261" w14:textId="77777777" w:rsidTr="0079290F">
        <w:trPr>
          <w:trHeight w:hRule="exact" w:val="57"/>
        </w:trPr>
        <w:tc>
          <w:tcPr>
            <w:tcW w:w="2405" w:type="pct"/>
            <w:tcBorders>
              <w:top w:val="single" w:sz="2" w:space="0" w:color="auto"/>
            </w:tcBorders>
            <w:shd w:val="clear" w:color="auto" w:fill="auto"/>
            <w:noWrap/>
            <w:vAlign w:val="bottom"/>
          </w:tcPr>
          <w:p w14:paraId="0BEDD1B0" w14:textId="77777777" w:rsidR="002451D5" w:rsidRPr="005E0A3B" w:rsidRDefault="002451D5" w:rsidP="002451D5">
            <w:pPr>
              <w:spacing w:after="0" w:line="240" w:lineRule="auto"/>
              <w:rPr>
                <w:rFonts w:ascii="Arial" w:eastAsia="Times New Roman" w:hAnsi="Arial" w:cs="Arial"/>
                <w:b/>
                <w:color w:val="000000"/>
                <w:sz w:val="20"/>
                <w:szCs w:val="20"/>
                <w:lang w:eastAsia="ru-RU"/>
              </w:rPr>
            </w:pPr>
          </w:p>
          <w:p w14:paraId="3D92085B" w14:textId="77777777" w:rsidR="002451D5" w:rsidRPr="005E0A3B" w:rsidRDefault="002451D5" w:rsidP="002451D5">
            <w:pPr>
              <w:spacing w:after="0" w:line="240" w:lineRule="auto"/>
              <w:rPr>
                <w:rFonts w:ascii="Arial" w:eastAsia="Times New Roman" w:hAnsi="Arial" w:cs="Arial"/>
                <w:b/>
                <w:color w:val="000000"/>
                <w:sz w:val="20"/>
                <w:szCs w:val="20"/>
                <w:lang w:eastAsia="ru-RU"/>
              </w:rPr>
            </w:pPr>
          </w:p>
        </w:tc>
        <w:tc>
          <w:tcPr>
            <w:tcW w:w="145" w:type="pct"/>
          </w:tcPr>
          <w:p w14:paraId="26576679" w14:textId="77777777" w:rsidR="002451D5" w:rsidRPr="005E0A3B" w:rsidRDefault="002451D5" w:rsidP="002451D5">
            <w:pPr>
              <w:spacing w:after="0" w:line="240" w:lineRule="auto"/>
              <w:jc w:val="right"/>
              <w:rPr>
                <w:rFonts w:ascii="Arial" w:eastAsia="Times New Roman" w:hAnsi="Arial" w:cs="Arial"/>
                <w:b/>
                <w:color w:val="000000"/>
                <w:sz w:val="20"/>
                <w:szCs w:val="20"/>
                <w:lang w:eastAsia="ru-RU"/>
              </w:rPr>
            </w:pPr>
          </w:p>
        </w:tc>
        <w:tc>
          <w:tcPr>
            <w:tcW w:w="667" w:type="pct"/>
            <w:tcBorders>
              <w:top w:val="single" w:sz="2" w:space="0" w:color="auto"/>
            </w:tcBorders>
            <w:shd w:val="clear" w:color="auto" w:fill="auto"/>
            <w:noWrap/>
            <w:vAlign w:val="center"/>
          </w:tcPr>
          <w:p w14:paraId="0202FA84" w14:textId="77777777" w:rsidR="002451D5" w:rsidRPr="005E0A3B" w:rsidRDefault="002451D5" w:rsidP="002451D5">
            <w:pPr>
              <w:spacing w:after="0" w:line="240" w:lineRule="auto"/>
              <w:jc w:val="right"/>
              <w:rPr>
                <w:rFonts w:ascii="Arial" w:eastAsia="Times New Roman" w:hAnsi="Arial" w:cs="Arial"/>
                <w:b/>
                <w:color w:val="000000"/>
                <w:sz w:val="20"/>
                <w:szCs w:val="20"/>
                <w:lang w:eastAsia="ru-RU"/>
              </w:rPr>
            </w:pPr>
          </w:p>
        </w:tc>
        <w:tc>
          <w:tcPr>
            <w:tcW w:w="145" w:type="pct"/>
            <w:tcBorders>
              <w:top w:val="single" w:sz="2" w:space="0" w:color="auto"/>
            </w:tcBorders>
          </w:tcPr>
          <w:p w14:paraId="4751432A" w14:textId="77777777" w:rsidR="002451D5" w:rsidRPr="005E0A3B" w:rsidRDefault="002451D5" w:rsidP="002451D5">
            <w:pPr>
              <w:spacing w:after="0" w:line="240" w:lineRule="auto"/>
              <w:jc w:val="right"/>
              <w:rPr>
                <w:rFonts w:ascii="Arial" w:eastAsia="Times New Roman" w:hAnsi="Arial" w:cs="Arial"/>
                <w:b/>
                <w:color w:val="000000"/>
                <w:sz w:val="20"/>
                <w:szCs w:val="20"/>
                <w:lang w:eastAsia="ru-RU"/>
              </w:rPr>
            </w:pPr>
          </w:p>
        </w:tc>
        <w:tc>
          <w:tcPr>
            <w:tcW w:w="667" w:type="pct"/>
            <w:tcBorders>
              <w:top w:val="single" w:sz="2" w:space="0" w:color="auto"/>
            </w:tcBorders>
            <w:shd w:val="clear" w:color="auto" w:fill="auto"/>
            <w:noWrap/>
            <w:vAlign w:val="center"/>
          </w:tcPr>
          <w:p w14:paraId="138A785B" w14:textId="77777777" w:rsidR="002451D5" w:rsidRPr="005E0A3B" w:rsidRDefault="002451D5" w:rsidP="002451D5">
            <w:pPr>
              <w:spacing w:after="0" w:line="240" w:lineRule="auto"/>
              <w:jc w:val="right"/>
              <w:rPr>
                <w:rFonts w:ascii="Arial" w:eastAsia="Times New Roman" w:hAnsi="Arial" w:cs="Arial"/>
                <w:b/>
                <w:color w:val="000000"/>
                <w:sz w:val="20"/>
                <w:szCs w:val="20"/>
                <w:lang w:eastAsia="ru-RU"/>
              </w:rPr>
            </w:pPr>
          </w:p>
        </w:tc>
        <w:tc>
          <w:tcPr>
            <w:tcW w:w="151" w:type="pct"/>
            <w:tcBorders>
              <w:top w:val="single" w:sz="2" w:space="0" w:color="auto"/>
            </w:tcBorders>
          </w:tcPr>
          <w:p w14:paraId="4237FA39" w14:textId="77777777" w:rsidR="002451D5" w:rsidRPr="005E0A3B" w:rsidRDefault="002451D5" w:rsidP="002451D5">
            <w:pPr>
              <w:spacing w:after="0" w:line="240" w:lineRule="auto"/>
              <w:jc w:val="right"/>
              <w:rPr>
                <w:rFonts w:ascii="Arial" w:eastAsia="Times New Roman" w:hAnsi="Arial" w:cs="Arial"/>
                <w:b/>
                <w:color w:val="000000"/>
                <w:sz w:val="20"/>
                <w:szCs w:val="20"/>
                <w:lang w:eastAsia="ru-RU"/>
              </w:rPr>
            </w:pPr>
          </w:p>
        </w:tc>
        <w:tc>
          <w:tcPr>
            <w:tcW w:w="820" w:type="pct"/>
            <w:tcBorders>
              <w:top w:val="single" w:sz="2" w:space="0" w:color="auto"/>
            </w:tcBorders>
            <w:shd w:val="clear" w:color="auto" w:fill="auto"/>
            <w:noWrap/>
            <w:vAlign w:val="center"/>
          </w:tcPr>
          <w:p w14:paraId="78873B43" w14:textId="77777777" w:rsidR="002451D5" w:rsidRPr="005E0A3B" w:rsidRDefault="002451D5" w:rsidP="002451D5">
            <w:pPr>
              <w:spacing w:after="0" w:line="240" w:lineRule="auto"/>
              <w:jc w:val="right"/>
              <w:rPr>
                <w:rFonts w:ascii="Arial" w:eastAsia="Times New Roman" w:hAnsi="Arial" w:cs="Arial"/>
                <w:b/>
                <w:color w:val="000000"/>
                <w:sz w:val="20"/>
                <w:szCs w:val="20"/>
                <w:lang w:eastAsia="ru-RU"/>
              </w:rPr>
            </w:pPr>
          </w:p>
        </w:tc>
      </w:tr>
      <w:tr w:rsidR="002451D5" w:rsidRPr="005E0A3B" w14:paraId="56C6D610" w14:textId="77777777" w:rsidTr="009D37FF">
        <w:trPr>
          <w:trHeight w:val="255"/>
        </w:trPr>
        <w:tc>
          <w:tcPr>
            <w:tcW w:w="2405" w:type="pct"/>
            <w:shd w:val="clear" w:color="auto" w:fill="auto"/>
            <w:noWrap/>
            <w:vAlign w:val="bottom"/>
            <w:hideMark/>
          </w:tcPr>
          <w:p w14:paraId="5D0BCBFB" w14:textId="6423BB58" w:rsidR="002451D5" w:rsidRPr="005E0A3B" w:rsidRDefault="002451D5" w:rsidP="002451D5">
            <w:pPr>
              <w:spacing w:after="0" w:line="240" w:lineRule="auto"/>
              <w:rPr>
                <w:rFonts w:ascii="Arial" w:eastAsia="Times New Roman" w:hAnsi="Arial" w:cs="Arial"/>
                <w:color w:val="000000"/>
                <w:sz w:val="20"/>
                <w:szCs w:val="20"/>
                <w:lang w:eastAsia="ru-RU"/>
              </w:rPr>
            </w:pPr>
            <w:r w:rsidRPr="005E0A3B">
              <w:rPr>
                <w:rFonts w:ascii="Arial" w:eastAsia="Times New Roman" w:hAnsi="Arial" w:cs="Arial"/>
                <w:color w:val="000000"/>
                <w:sz w:val="20"/>
                <w:szCs w:val="20"/>
                <w:lang w:eastAsia="ru-RU"/>
              </w:rPr>
              <w:t>Adjusted EBITDA</w:t>
            </w:r>
          </w:p>
        </w:tc>
        <w:tc>
          <w:tcPr>
            <w:tcW w:w="145" w:type="pct"/>
          </w:tcPr>
          <w:p w14:paraId="289D490E" w14:textId="77777777" w:rsidR="002451D5" w:rsidRPr="005E0A3B" w:rsidRDefault="002451D5" w:rsidP="002451D5">
            <w:pPr>
              <w:spacing w:after="0" w:line="240" w:lineRule="auto"/>
              <w:jc w:val="right"/>
              <w:rPr>
                <w:rFonts w:ascii="Arial" w:eastAsia="Times New Roman" w:hAnsi="Arial" w:cs="Arial"/>
                <w:color w:val="000000"/>
                <w:sz w:val="20"/>
                <w:szCs w:val="20"/>
                <w:lang w:eastAsia="ru-RU"/>
              </w:rPr>
            </w:pPr>
          </w:p>
        </w:tc>
        <w:tc>
          <w:tcPr>
            <w:tcW w:w="667" w:type="pct"/>
            <w:shd w:val="clear" w:color="auto" w:fill="auto"/>
            <w:noWrap/>
            <w:vAlign w:val="center"/>
          </w:tcPr>
          <w:p w14:paraId="35087501" w14:textId="24DBB0BD" w:rsidR="002451D5" w:rsidRPr="005E0A3B" w:rsidRDefault="00DE62B7" w:rsidP="002451D5">
            <w:pPr>
              <w:spacing w:after="0" w:line="240" w:lineRule="auto"/>
              <w:jc w:val="right"/>
              <w:rPr>
                <w:rFonts w:ascii="Arial" w:eastAsia="Times New Roman" w:hAnsi="Arial" w:cs="Arial"/>
                <w:color w:val="000000"/>
                <w:sz w:val="20"/>
                <w:szCs w:val="20"/>
                <w:lang w:eastAsia="ru-RU"/>
              </w:rPr>
            </w:pPr>
            <w:r w:rsidRPr="005E0A3B">
              <w:rPr>
                <w:rFonts w:ascii="Arial" w:eastAsia="Times New Roman" w:hAnsi="Arial" w:cs="Arial"/>
                <w:color w:val="000000"/>
                <w:sz w:val="20"/>
                <w:szCs w:val="20"/>
                <w:lang w:eastAsia="ru-RU"/>
              </w:rPr>
              <w:t xml:space="preserve"> </w:t>
            </w:r>
            <w:r w:rsidR="00DB5AAE" w:rsidRPr="000D120B">
              <w:rPr>
                <w:rFonts w:ascii="Arial" w:hAnsi="Arial" w:cs="Arial"/>
                <w:sz w:val="20"/>
                <w:szCs w:val="20"/>
              </w:rPr>
              <w:t>150</w:t>
            </w:r>
          </w:p>
        </w:tc>
        <w:tc>
          <w:tcPr>
            <w:tcW w:w="145" w:type="pct"/>
          </w:tcPr>
          <w:p w14:paraId="207D75D1" w14:textId="77777777" w:rsidR="002451D5" w:rsidRPr="005E0A3B" w:rsidRDefault="002451D5" w:rsidP="002451D5">
            <w:pPr>
              <w:spacing w:after="0" w:line="240" w:lineRule="auto"/>
              <w:jc w:val="right"/>
              <w:rPr>
                <w:rFonts w:ascii="Arial" w:eastAsia="Times New Roman" w:hAnsi="Arial" w:cs="Arial"/>
                <w:color w:val="000000"/>
                <w:sz w:val="20"/>
                <w:szCs w:val="20"/>
                <w:lang w:eastAsia="ru-RU"/>
              </w:rPr>
            </w:pPr>
          </w:p>
        </w:tc>
        <w:tc>
          <w:tcPr>
            <w:tcW w:w="667" w:type="pct"/>
            <w:shd w:val="clear" w:color="auto" w:fill="auto"/>
            <w:noWrap/>
            <w:vAlign w:val="center"/>
          </w:tcPr>
          <w:p w14:paraId="081D8D39" w14:textId="4753277D" w:rsidR="002451D5" w:rsidRPr="005E0A3B" w:rsidRDefault="00DB5AAE" w:rsidP="002451D5">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397</w:t>
            </w:r>
          </w:p>
        </w:tc>
        <w:tc>
          <w:tcPr>
            <w:tcW w:w="151" w:type="pct"/>
          </w:tcPr>
          <w:p w14:paraId="70BF8352" w14:textId="77777777" w:rsidR="002451D5" w:rsidRPr="005E0A3B" w:rsidRDefault="002451D5" w:rsidP="002451D5">
            <w:pPr>
              <w:spacing w:after="0" w:line="240" w:lineRule="auto"/>
              <w:jc w:val="right"/>
              <w:rPr>
                <w:rFonts w:ascii="Arial" w:eastAsia="Times New Roman" w:hAnsi="Arial" w:cs="Arial"/>
                <w:color w:val="000000"/>
                <w:sz w:val="20"/>
                <w:szCs w:val="20"/>
                <w:lang w:eastAsia="ru-RU"/>
              </w:rPr>
            </w:pPr>
          </w:p>
        </w:tc>
        <w:tc>
          <w:tcPr>
            <w:tcW w:w="820" w:type="pct"/>
            <w:shd w:val="clear" w:color="auto" w:fill="auto"/>
            <w:noWrap/>
            <w:vAlign w:val="center"/>
          </w:tcPr>
          <w:p w14:paraId="7E1DC2CB" w14:textId="2F50CC2A" w:rsidR="002451D5" w:rsidRPr="005E0A3B" w:rsidRDefault="00DB5AAE" w:rsidP="002451D5">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-62%</w:t>
            </w:r>
          </w:p>
        </w:tc>
      </w:tr>
      <w:tr w:rsidR="002451D5" w:rsidRPr="005E0A3B" w14:paraId="6EF9CD99" w14:textId="77777777" w:rsidTr="006A3BEF">
        <w:trPr>
          <w:trHeight w:val="155"/>
        </w:trPr>
        <w:tc>
          <w:tcPr>
            <w:tcW w:w="2405" w:type="pct"/>
            <w:shd w:val="clear" w:color="auto" w:fill="auto"/>
            <w:noWrap/>
            <w:vAlign w:val="bottom"/>
          </w:tcPr>
          <w:p w14:paraId="6B1D97C4" w14:textId="71D40182" w:rsidR="002451D5" w:rsidRPr="005E0A3B" w:rsidRDefault="00DD73BB" w:rsidP="002451D5">
            <w:pPr>
              <w:spacing w:after="0" w:line="240" w:lineRule="auto"/>
              <w:rPr>
                <w:rFonts w:ascii="Arial" w:eastAsia="Times New Roman" w:hAnsi="Arial" w:cs="Arial"/>
                <w:b/>
                <w:color w:val="000000"/>
                <w:sz w:val="20"/>
                <w:szCs w:val="20"/>
                <w:lang w:eastAsia="ru-RU"/>
              </w:rPr>
            </w:pPr>
            <w:r w:rsidRPr="005E0A3B">
              <w:rPr>
                <w:rFonts w:ascii="Arial" w:eastAsia="Times New Roman" w:hAnsi="Arial" w:cs="Arial"/>
                <w:b/>
                <w:color w:val="000000"/>
                <w:sz w:val="20"/>
                <w:szCs w:val="20"/>
                <w:lang w:eastAsia="ru-RU"/>
              </w:rPr>
              <w:t>A</w:t>
            </w:r>
            <w:r w:rsidR="002451D5" w:rsidRPr="005E0A3B">
              <w:rPr>
                <w:rFonts w:ascii="Arial" w:eastAsia="Times New Roman" w:hAnsi="Arial" w:cs="Arial"/>
                <w:b/>
                <w:color w:val="000000"/>
                <w:sz w:val="20"/>
                <w:szCs w:val="20"/>
                <w:lang w:eastAsia="ru-RU"/>
              </w:rPr>
              <w:t>djusted EBITDA</w:t>
            </w:r>
            <w:r w:rsidR="002451D5" w:rsidRPr="005E0A3B">
              <w:rPr>
                <w:rFonts w:ascii="Arial" w:hAnsi="Arial" w:cs="Arial"/>
                <w:b/>
                <w:sz w:val="20"/>
                <w:szCs w:val="20"/>
                <w:lang w:eastAsia="ru-RU"/>
              </w:rPr>
              <w:t xml:space="preserve"> </w:t>
            </w:r>
            <w:r w:rsidR="002451D5" w:rsidRPr="005E0A3B">
              <w:rPr>
                <w:rFonts w:ascii="Arial" w:eastAsia="Times New Roman" w:hAnsi="Arial" w:cs="Arial"/>
                <w:b/>
                <w:color w:val="000000"/>
                <w:sz w:val="20"/>
                <w:szCs w:val="20"/>
                <w:lang w:eastAsia="ru-RU"/>
              </w:rPr>
              <w:t>(net of IFRS 16)</w:t>
            </w:r>
          </w:p>
        </w:tc>
        <w:tc>
          <w:tcPr>
            <w:tcW w:w="145" w:type="pct"/>
          </w:tcPr>
          <w:p w14:paraId="695423B3" w14:textId="77777777" w:rsidR="002451D5" w:rsidRPr="005E0A3B" w:rsidRDefault="002451D5" w:rsidP="002451D5">
            <w:pPr>
              <w:spacing w:after="0" w:line="240" w:lineRule="auto"/>
              <w:jc w:val="right"/>
              <w:rPr>
                <w:rFonts w:ascii="Arial" w:eastAsia="Times New Roman" w:hAnsi="Arial" w:cs="Arial"/>
                <w:b/>
                <w:color w:val="000000"/>
                <w:sz w:val="20"/>
                <w:szCs w:val="20"/>
                <w:lang w:eastAsia="ru-RU"/>
              </w:rPr>
            </w:pPr>
          </w:p>
        </w:tc>
        <w:tc>
          <w:tcPr>
            <w:tcW w:w="667" w:type="pct"/>
            <w:shd w:val="clear" w:color="auto" w:fill="auto"/>
            <w:noWrap/>
            <w:vAlign w:val="center"/>
          </w:tcPr>
          <w:p w14:paraId="5BEA80A3" w14:textId="1879D1A8" w:rsidR="002451D5" w:rsidRPr="005E0A3B" w:rsidRDefault="00DE62B7" w:rsidP="002451D5">
            <w:pPr>
              <w:spacing w:after="0" w:line="240" w:lineRule="auto"/>
              <w:jc w:val="right"/>
              <w:rPr>
                <w:rFonts w:ascii="Arial" w:eastAsia="Times New Roman" w:hAnsi="Arial" w:cs="Arial"/>
                <w:b/>
                <w:color w:val="000000"/>
                <w:sz w:val="20"/>
                <w:szCs w:val="20"/>
                <w:lang w:eastAsia="ru-RU"/>
              </w:rPr>
            </w:pPr>
            <w:r w:rsidRPr="005E0A3B">
              <w:rPr>
                <w:rFonts w:ascii="Arial" w:hAnsi="Arial" w:cs="Arial"/>
                <w:b/>
                <w:sz w:val="20"/>
                <w:szCs w:val="20"/>
              </w:rPr>
              <w:t xml:space="preserve"> </w:t>
            </w:r>
            <w:r w:rsidR="00DB5AAE" w:rsidRPr="000D120B">
              <w:rPr>
                <w:rFonts w:ascii="Arial" w:hAnsi="Arial" w:cs="Arial"/>
                <w:b/>
                <w:sz w:val="20"/>
                <w:szCs w:val="20"/>
              </w:rPr>
              <w:t xml:space="preserve"> 93</w:t>
            </w:r>
          </w:p>
        </w:tc>
        <w:tc>
          <w:tcPr>
            <w:tcW w:w="145" w:type="pct"/>
          </w:tcPr>
          <w:p w14:paraId="4E55DBA9" w14:textId="77777777" w:rsidR="002451D5" w:rsidRPr="005E0A3B" w:rsidRDefault="002451D5" w:rsidP="002451D5">
            <w:pPr>
              <w:spacing w:after="0" w:line="240" w:lineRule="auto"/>
              <w:jc w:val="right"/>
              <w:rPr>
                <w:rFonts w:ascii="Arial" w:eastAsia="Times New Roman" w:hAnsi="Arial" w:cs="Arial"/>
                <w:b/>
                <w:color w:val="000000"/>
                <w:sz w:val="20"/>
                <w:szCs w:val="20"/>
                <w:lang w:eastAsia="ru-RU"/>
              </w:rPr>
            </w:pPr>
          </w:p>
        </w:tc>
        <w:tc>
          <w:tcPr>
            <w:tcW w:w="667" w:type="pct"/>
            <w:shd w:val="clear" w:color="auto" w:fill="auto"/>
            <w:noWrap/>
            <w:vAlign w:val="center"/>
          </w:tcPr>
          <w:p w14:paraId="4ED8B231" w14:textId="7C10B1B0" w:rsidR="002451D5" w:rsidRPr="005E0A3B" w:rsidRDefault="00DB5AAE" w:rsidP="002451D5">
            <w:pPr>
              <w:spacing w:after="0" w:line="240" w:lineRule="auto"/>
              <w:jc w:val="right"/>
              <w:rPr>
                <w:rFonts w:ascii="Arial" w:eastAsia="Times New Roman" w:hAnsi="Arial" w:cs="Arial"/>
                <w:b/>
                <w:color w:val="000000"/>
                <w:sz w:val="20"/>
                <w:szCs w:val="20"/>
                <w:lang w:eastAsia="ru-RU"/>
              </w:rPr>
            </w:pPr>
            <w:r w:rsidRPr="000D120B">
              <w:rPr>
                <w:rFonts w:ascii="Arial" w:hAnsi="Arial" w:cs="Arial"/>
                <w:b/>
                <w:sz w:val="20"/>
                <w:szCs w:val="20"/>
              </w:rPr>
              <w:t>338</w:t>
            </w:r>
          </w:p>
        </w:tc>
        <w:tc>
          <w:tcPr>
            <w:tcW w:w="151" w:type="pct"/>
          </w:tcPr>
          <w:p w14:paraId="6A38ECCC" w14:textId="77777777" w:rsidR="002451D5" w:rsidRPr="005E0A3B" w:rsidRDefault="002451D5" w:rsidP="002451D5">
            <w:pPr>
              <w:spacing w:after="0" w:line="240" w:lineRule="auto"/>
              <w:jc w:val="right"/>
              <w:rPr>
                <w:rFonts w:ascii="Arial" w:eastAsia="Times New Roman" w:hAnsi="Arial" w:cs="Arial"/>
                <w:b/>
                <w:color w:val="000000"/>
                <w:sz w:val="20"/>
                <w:szCs w:val="20"/>
                <w:lang w:eastAsia="ru-RU"/>
              </w:rPr>
            </w:pPr>
          </w:p>
        </w:tc>
        <w:tc>
          <w:tcPr>
            <w:tcW w:w="820" w:type="pct"/>
            <w:shd w:val="clear" w:color="auto" w:fill="auto"/>
            <w:noWrap/>
            <w:vAlign w:val="center"/>
          </w:tcPr>
          <w:p w14:paraId="24E136A3" w14:textId="1F5F7FD4" w:rsidR="002451D5" w:rsidRPr="005E0A3B" w:rsidRDefault="00DB5AAE" w:rsidP="00DE62B7">
            <w:pPr>
              <w:spacing w:after="0" w:line="240" w:lineRule="auto"/>
              <w:jc w:val="right"/>
              <w:rPr>
                <w:rFonts w:ascii="Arial" w:hAnsi="Arial" w:cs="Arial"/>
                <w:b/>
                <w:sz w:val="20"/>
                <w:szCs w:val="20"/>
              </w:rPr>
            </w:pPr>
            <w:r w:rsidRPr="000D120B">
              <w:rPr>
                <w:rFonts w:ascii="Arial" w:hAnsi="Arial" w:cs="Arial"/>
                <w:b/>
                <w:sz w:val="20"/>
                <w:szCs w:val="20"/>
              </w:rPr>
              <w:t>-72%</w:t>
            </w:r>
          </w:p>
        </w:tc>
      </w:tr>
      <w:tr w:rsidR="006A3BEF" w:rsidRPr="005E0A3B" w14:paraId="4DFABF11" w14:textId="77777777" w:rsidTr="001C1FEB">
        <w:trPr>
          <w:trHeight w:val="155"/>
        </w:trPr>
        <w:tc>
          <w:tcPr>
            <w:tcW w:w="2405" w:type="pct"/>
            <w:tcBorders>
              <w:bottom w:val="single" w:sz="4" w:space="0" w:color="auto"/>
            </w:tcBorders>
            <w:shd w:val="clear" w:color="auto" w:fill="auto"/>
            <w:noWrap/>
            <w:vAlign w:val="bottom"/>
          </w:tcPr>
          <w:p w14:paraId="6B3D4BDC" w14:textId="4F44D4CA" w:rsidR="006A3BEF" w:rsidRPr="005E0A3B" w:rsidRDefault="006A3BEF" w:rsidP="002451D5">
            <w:pPr>
              <w:spacing w:after="0" w:line="240" w:lineRule="auto"/>
              <w:rPr>
                <w:rFonts w:ascii="Arial" w:eastAsia="Times New Roman" w:hAnsi="Arial" w:cs="Arial"/>
                <w:b/>
                <w:color w:val="000000"/>
                <w:sz w:val="20"/>
                <w:szCs w:val="20"/>
                <w:lang w:eastAsia="ru-RU"/>
              </w:rPr>
            </w:pPr>
            <w:r w:rsidRPr="005E0A3B">
              <w:rPr>
                <w:rFonts w:ascii="Arial" w:eastAsia="Times New Roman" w:hAnsi="Arial" w:cs="Arial"/>
                <w:i/>
                <w:color w:val="000000"/>
                <w:sz w:val="20"/>
                <w:szCs w:val="20"/>
                <w:lang w:eastAsia="ru-RU"/>
              </w:rPr>
              <w:t>Adjusted EBITDA (net of IFRS 16) per 1 hectare</w:t>
            </w:r>
          </w:p>
        </w:tc>
        <w:tc>
          <w:tcPr>
            <w:tcW w:w="145" w:type="pct"/>
          </w:tcPr>
          <w:p w14:paraId="299420CC" w14:textId="77777777" w:rsidR="006A3BEF" w:rsidRPr="005E0A3B" w:rsidRDefault="006A3BEF" w:rsidP="002451D5">
            <w:pPr>
              <w:spacing w:after="0" w:line="240" w:lineRule="auto"/>
              <w:jc w:val="right"/>
              <w:rPr>
                <w:rFonts w:ascii="Arial" w:eastAsia="Times New Roman" w:hAnsi="Arial" w:cs="Arial"/>
                <w:b/>
                <w:color w:val="000000"/>
                <w:sz w:val="20"/>
                <w:szCs w:val="20"/>
                <w:lang w:eastAsia="ru-RU"/>
              </w:rPr>
            </w:pPr>
          </w:p>
        </w:tc>
        <w:tc>
          <w:tcPr>
            <w:tcW w:w="667" w:type="pct"/>
            <w:tcBorders>
              <w:bottom w:val="single" w:sz="4" w:space="0" w:color="auto"/>
            </w:tcBorders>
            <w:shd w:val="clear" w:color="auto" w:fill="auto"/>
            <w:noWrap/>
            <w:vAlign w:val="center"/>
          </w:tcPr>
          <w:p w14:paraId="32BAFEE9" w14:textId="780AE1A1" w:rsidR="006A3BEF" w:rsidRPr="005E0A3B" w:rsidRDefault="00DB5AAE" w:rsidP="002451D5">
            <w:pPr>
              <w:spacing w:after="0" w:line="240" w:lineRule="auto"/>
              <w:jc w:val="right"/>
              <w:rPr>
                <w:rFonts w:ascii="Arial" w:hAnsi="Arial" w:cs="Arial"/>
                <w:b/>
                <w:i/>
                <w:iCs/>
                <w:sz w:val="20"/>
                <w:szCs w:val="20"/>
              </w:rPr>
            </w:pPr>
            <w:r w:rsidRPr="000D120B">
              <w:rPr>
                <w:rFonts w:ascii="Arial" w:hAnsi="Arial" w:cs="Arial"/>
                <w:i/>
                <w:iCs/>
                <w:sz w:val="20"/>
                <w:szCs w:val="20"/>
              </w:rPr>
              <w:t>273</w:t>
            </w:r>
          </w:p>
        </w:tc>
        <w:tc>
          <w:tcPr>
            <w:tcW w:w="145" w:type="pct"/>
            <w:tcBorders>
              <w:bottom w:val="single" w:sz="4" w:space="0" w:color="auto"/>
            </w:tcBorders>
          </w:tcPr>
          <w:p w14:paraId="4AD21174" w14:textId="77777777" w:rsidR="006A3BEF" w:rsidRPr="005E0A3B" w:rsidRDefault="006A3BEF" w:rsidP="002451D5">
            <w:pPr>
              <w:spacing w:after="0" w:line="240" w:lineRule="auto"/>
              <w:jc w:val="right"/>
              <w:rPr>
                <w:rFonts w:ascii="Arial" w:eastAsia="Times New Roman" w:hAnsi="Arial" w:cs="Arial"/>
                <w:b/>
                <w:i/>
                <w:iCs/>
                <w:color w:val="000000"/>
                <w:sz w:val="20"/>
                <w:szCs w:val="20"/>
                <w:lang w:eastAsia="ru-RU"/>
              </w:rPr>
            </w:pPr>
          </w:p>
        </w:tc>
        <w:tc>
          <w:tcPr>
            <w:tcW w:w="667" w:type="pct"/>
            <w:tcBorders>
              <w:bottom w:val="single" w:sz="4" w:space="0" w:color="auto"/>
            </w:tcBorders>
            <w:shd w:val="clear" w:color="auto" w:fill="auto"/>
            <w:noWrap/>
            <w:vAlign w:val="center"/>
          </w:tcPr>
          <w:p w14:paraId="77F45CB0" w14:textId="433E0A5C" w:rsidR="006A3BEF" w:rsidRPr="005E0A3B" w:rsidRDefault="00DB5AAE" w:rsidP="002451D5">
            <w:pPr>
              <w:spacing w:after="0" w:line="240" w:lineRule="auto"/>
              <w:jc w:val="right"/>
              <w:rPr>
                <w:rFonts w:ascii="Arial" w:hAnsi="Arial" w:cs="Arial"/>
                <w:b/>
                <w:i/>
                <w:iCs/>
                <w:sz w:val="20"/>
                <w:szCs w:val="20"/>
              </w:rPr>
            </w:pPr>
            <w:r w:rsidRPr="000D120B">
              <w:rPr>
                <w:rFonts w:ascii="Arial" w:hAnsi="Arial" w:cs="Arial"/>
                <w:i/>
                <w:iCs/>
                <w:sz w:val="20"/>
                <w:szCs w:val="20"/>
              </w:rPr>
              <w:t>962</w:t>
            </w:r>
          </w:p>
        </w:tc>
        <w:tc>
          <w:tcPr>
            <w:tcW w:w="151" w:type="pct"/>
            <w:tcBorders>
              <w:bottom w:val="single" w:sz="4" w:space="0" w:color="auto"/>
            </w:tcBorders>
          </w:tcPr>
          <w:p w14:paraId="7494CC10" w14:textId="77777777" w:rsidR="006A3BEF" w:rsidRPr="005E0A3B" w:rsidRDefault="006A3BEF" w:rsidP="002451D5">
            <w:pPr>
              <w:spacing w:after="0" w:line="240" w:lineRule="auto"/>
              <w:jc w:val="right"/>
              <w:rPr>
                <w:rFonts w:ascii="Arial" w:eastAsia="Times New Roman" w:hAnsi="Arial" w:cs="Arial"/>
                <w:b/>
                <w:i/>
                <w:iCs/>
                <w:color w:val="000000"/>
                <w:sz w:val="20"/>
                <w:szCs w:val="20"/>
                <w:lang w:eastAsia="ru-RU"/>
              </w:rPr>
            </w:pPr>
          </w:p>
        </w:tc>
        <w:tc>
          <w:tcPr>
            <w:tcW w:w="820" w:type="pct"/>
            <w:tcBorders>
              <w:bottom w:val="single" w:sz="4" w:space="0" w:color="auto"/>
            </w:tcBorders>
            <w:shd w:val="clear" w:color="auto" w:fill="auto"/>
            <w:noWrap/>
            <w:vAlign w:val="center"/>
          </w:tcPr>
          <w:p w14:paraId="0B657308" w14:textId="0EDACBEC" w:rsidR="006A3BEF" w:rsidRPr="005E0A3B" w:rsidRDefault="00DB5AAE" w:rsidP="00DE62B7">
            <w:pPr>
              <w:spacing w:after="0" w:line="240" w:lineRule="auto"/>
              <w:jc w:val="right"/>
              <w:rPr>
                <w:rFonts w:ascii="Arial" w:eastAsia="Times New Roman" w:hAnsi="Arial" w:cs="Arial"/>
                <w:b/>
                <w:i/>
                <w:iCs/>
                <w:color w:val="000000"/>
                <w:sz w:val="20"/>
                <w:szCs w:val="20"/>
                <w:lang w:val="uk-UA" w:eastAsia="uk-UA"/>
              </w:rPr>
            </w:pPr>
            <w:r w:rsidRPr="000D120B">
              <w:rPr>
                <w:rFonts w:ascii="Arial" w:hAnsi="Arial" w:cs="Arial"/>
                <w:i/>
                <w:iCs/>
                <w:sz w:val="20"/>
                <w:szCs w:val="20"/>
              </w:rPr>
              <w:t>-72%</w:t>
            </w:r>
          </w:p>
        </w:tc>
      </w:tr>
    </w:tbl>
    <w:bookmarkEnd w:id="5"/>
    <w:bookmarkEnd w:id="6"/>
    <w:p w14:paraId="12D6E50D" w14:textId="2A5A8AE6" w:rsidR="004250E2" w:rsidRPr="00A74DDB" w:rsidRDefault="002A2CC4" w:rsidP="008C5A29">
      <w:pPr>
        <w:spacing w:before="120" w:after="120"/>
        <w:jc w:val="both"/>
        <w:rPr>
          <w:rFonts w:ascii="Arial" w:hAnsi="Arial" w:cs="Arial"/>
          <w:sz w:val="20"/>
          <w:szCs w:val="20"/>
        </w:rPr>
      </w:pPr>
      <w:r>
        <w:rPr>
          <w:rFonts w:ascii="Arial" w:hAnsi="Arial" w:cs="Arial"/>
          <w:sz w:val="20"/>
          <w:szCs w:val="20"/>
        </w:rPr>
        <w:t xml:space="preserve">The </w:t>
      </w:r>
      <w:r w:rsidR="00FF2C55" w:rsidRPr="00A74DDB">
        <w:rPr>
          <w:rFonts w:ascii="Arial" w:hAnsi="Arial" w:cs="Arial"/>
          <w:sz w:val="20"/>
          <w:szCs w:val="20"/>
        </w:rPr>
        <w:t>G</w:t>
      </w:r>
      <w:r w:rsidR="00A77906" w:rsidRPr="00A74DDB">
        <w:rPr>
          <w:rFonts w:ascii="Arial" w:hAnsi="Arial" w:cs="Arial"/>
          <w:sz w:val="20"/>
          <w:szCs w:val="20"/>
        </w:rPr>
        <w:t xml:space="preserve">rain </w:t>
      </w:r>
      <w:r>
        <w:rPr>
          <w:rFonts w:ascii="Arial" w:hAnsi="Arial" w:cs="Arial"/>
          <w:sz w:val="20"/>
          <w:szCs w:val="20"/>
        </w:rPr>
        <w:t>G</w:t>
      </w:r>
      <w:r w:rsidR="00A77906" w:rsidRPr="00A74DDB">
        <w:rPr>
          <w:rFonts w:ascii="Arial" w:hAnsi="Arial" w:cs="Arial"/>
          <w:sz w:val="20"/>
          <w:szCs w:val="20"/>
        </w:rPr>
        <w:t xml:space="preserve">rowing </w:t>
      </w:r>
      <w:r>
        <w:rPr>
          <w:rFonts w:ascii="Arial" w:hAnsi="Arial" w:cs="Arial"/>
          <w:sz w:val="20"/>
          <w:szCs w:val="20"/>
        </w:rPr>
        <w:t>S</w:t>
      </w:r>
      <w:r w:rsidR="00EE613D" w:rsidRPr="00A74DDB">
        <w:rPr>
          <w:rFonts w:ascii="Arial" w:hAnsi="Arial" w:cs="Arial"/>
          <w:sz w:val="20"/>
          <w:szCs w:val="20"/>
        </w:rPr>
        <w:t>egment</w:t>
      </w:r>
      <w:r w:rsidR="003421CB" w:rsidRPr="00A74DDB">
        <w:rPr>
          <w:rFonts w:ascii="Arial" w:hAnsi="Arial" w:cs="Arial"/>
          <w:sz w:val="20"/>
          <w:szCs w:val="20"/>
        </w:rPr>
        <w:t>’s</w:t>
      </w:r>
      <w:r w:rsidR="00EE613D" w:rsidRPr="00A74DDB">
        <w:rPr>
          <w:rFonts w:ascii="Arial" w:hAnsi="Arial" w:cs="Arial"/>
          <w:sz w:val="20"/>
          <w:szCs w:val="20"/>
        </w:rPr>
        <w:t xml:space="preserve"> revenue</w:t>
      </w:r>
      <w:r w:rsidR="003A2F08" w:rsidRPr="00A74DDB">
        <w:rPr>
          <w:rFonts w:ascii="Arial" w:hAnsi="Arial" w:cs="Arial"/>
          <w:sz w:val="20"/>
          <w:szCs w:val="20"/>
        </w:rPr>
        <w:t xml:space="preserve"> </w:t>
      </w:r>
      <w:r>
        <w:rPr>
          <w:rFonts w:ascii="Arial" w:hAnsi="Arial" w:cs="Arial"/>
          <w:sz w:val="20"/>
          <w:szCs w:val="20"/>
        </w:rPr>
        <w:t>for</w:t>
      </w:r>
      <w:r w:rsidRPr="00A74DDB">
        <w:rPr>
          <w:rFonts w:ascii="Arial" w:hAnsi="Arial" w:cs="Arial"/>
          <w:sz w:val="20"/>
          <w:szCs w:val="20"/>
        </w:rPr>
        <w:t xml:space="preserve"> </w:t>
      </w:r>
      <w:r w:rsidR="00D2118D" w:rsidRPr="00A74DDB">
        <w:rPr>
          <w:rFonts w:ascii="Arial" w:hAnsi="Arial" w:cs="Arial"/>
          <w:sz w:val="20"/>
          <w:szCs w:val="20"/>
        </w:rPr>
        <w:t>12</w:t>
      </w:r>
      <w:r w:rsidR="002B658D" w:rsidRPr="00A74DDB">
        <w:rPr>
          <w:rFonts w:ascii="Arial" w:hAnsi="Arial" w:cs="Arial"/>
          <w:sz w:val="20"/>
          <w:szCs w:val="20"/>
        </w:rPr>
        <w:t>M</w:t>
      </w:r>
      <w:r w:rsidR="000D0B9B" w:rsidRPr="00A74DDB">
        <w:rPr>
          <w:rFonts w:ascii="Arial" w:hAnsi="Arial" w:cs="Arial"/>
          <w:sz w:val="20"/>
          <w:szCs w:val="20"/>
        </w:rPr>
        <w:t xml:space="preserve"> 2022 </w:t>
      </w:r>
      <w:r>
        <w:rPr>
          <w:rFonts w:ascii="Arial" w:hAnsi="Arial" w:cs="Arial"/>
          <w:sz w:val="20"/>
          <w:szCs w:val="20"/>
        </w:rPr>
        <w:t>was</w:t>
      </w:r>
      <w:r w:rsidR="00933C59" w:rsidRPr="00A74DDB">
        <w:rPr>
          <w:rFonts w:ascii="Arial" w:hAnsi="Arial" w:cs="Arial"/>
          <w:sz w:val="20"/>
          <w:szCs w:val="20"/>
        </w:rPr>
        <w:t xml:space="preserve"> </w:t>
      </w:r>
      <w:r w:rsidR="00EE613D" w:rsidRPr="00A74DDB">
        <w:rPr>
          <w:rFonts w:ascii="Arial" w:hAnsi="Arial" w:cs="Arial"/>
          <w:sz w:val="20"/>
          <w:szCs w:val="20"/>
        </w:rPr>
        <w:t>US$</w:t>
      </w:r>
      <w:r w:rsidR="00036F40" w:rsidRPr="00A74DDB">
        <w:rPr>
          <w:rFonts w:ascii="Arial" w:hAnsi="Arial" w:cs="Arial"/>
          <w:sz w:val="20"/>
          <w:szCs w:val="20"/>
        </w:rPr>
        <w:t xml:space="preserve"> </w:t>
      </w:r>
      <w:r w:rsidR="003530A5" w:rsidRPr="000D120B">
        <w:rPr>
          <w:rFonts w:ascii="Arial" w:hAnsi="Arial" w:cs="Arial"/>
          <w:sz w:val="20"/>
          <w:szCs w:val="20"/>
        </w:rPr>
        <w:t>158</w:t>
      </w:r>
      <w:r w:rsidR="00457AB1" w:rsidRPr="00A74DDB">
        <w:rPr>
          <w:rFonts w:ascii="Arial" w:hAnsi="Arial" w:cs="Arial"/>
          <w:sz w:val="20"/>
          <w:szCs w:val="20"/>
        </w:rPr>
        <w:t xml:space="preserve"> </w:t>
      </w:r>
      <w:r w:rsidR="00EE613D" w:rsidRPr="00A74DDB">
        <w:rPr>
          <w:rFonts w:ascii="Arial" w:hAnsi="Arial" w:cs="Arial"/>
          <w:sz w:val="20"/>
          <w:szCs w:val="20"/>
        </w:rPr>
        <w:t>million</w:t>
      </w:r>
      <w:r w:rsidR="003F69C3" w:rsidRPr="00A74DDB">
        <w:rPr>
          <w:rFonts w:ascii="Arial" w:hAnsi="Arial" w:cs="Arial"/>
          <w:sz w:val="20"/>
          <w:szCs w:val="20"/>
        </w:rPr>
        <w:t xml:space="preserve"> </w:t>
      </w:r>
      <w:r>
        <w:rPr>
          <w:rFonts w:ascii="Arial" w:hAnsi="Arial" w:cs="Arial"/>
          <w:sz w:val="20"/>
          <w:szCs w:val="20"/>
        </w:rPr>
        <w:t xml:space="preserve">(12M 2021: </w:t>
      </w:r>
      <w:r w:rsidR="004250E2" w:rsidRPr="00A74DDB">
        <w:rPr>
          <w:rFonts w:ascii="Arial" w:hAnsi="Arial" w:cs="Arial"/>
          <w:sz w:val="20"/>
          <w:szCs w:val="20"/>
        </w:rPr>
        <w:t>US$</w:t>
      </w:r>
      <w:r w:rsidR="0043250E" w:rsidRPr="00A74DDB">
        <w:rPr>
          <w:rFonts w:ascii="Arial" w:hAnsi="Arial" w:cs="Arial"/>
          <w:sz w:val="20"/>
          <w:szCs w:val="20"/>
        </w:rPr>
        <w:t xml:space="preserve"> </w:t>
      </w:r>
      <w:r w:rsidR="00DB5AAE" w:rsidRPr="000D120B">
        <w:rPr>
          <w:rFonts w:ascii="Arial" w:hAnsi="Arial" w:cs="Arial"/>
          <w:sz w:val="20"/>
          <w:szCs w:val="20"/>
        </w:rPr>
        <w:t>188</w:t>
      </w:r>
      <w:r w:rsidR="0043250E" w:rsidRPr="00A74DDB">
        <w:rPr>
          <w:rFonts w:ascii="Arial" w:hAnsi="Arial" w:cs="Arial"/>
          <w:sz w:val="20"/>
          <w:szCs w:val="20"/>
        </w:rPr>
        <w:t xml:space="preserve"> </w:t>
      </w:r>
      <w:r w:rsidR="004250E2" w:rsidRPr="00A74DDB">
        <w:rPr>
          <w:rFonts w:ascii="Arial" w:hAnsi="Arial" w:cs="Arial"/>
          <w:sz w:val="20"/>
          <w:szCs w:val="20"/>
        </w:rPr>
        <w:t>million</w:t>
      </w:r>
      <w:r>
        <w:rPr>
          <w:rFonts w:ascii="Arial" w:hAnsi="Arial" w:cs="Arial"/>
          <w:sz w:val="20"/>
          <w:szCs w:val="20"/>
        </w:rPr>
        <w:t>)</w:t>
      </w:r>
      <w:r w:rsidR="004250E2" w:rsidRPr="00A74DDB">
        <w:rPr>
          <w:rFonts w:ascii="Arial" w:hAnsi="Arial" w:cs="Arial"/>
          <w:sz w:val="20"/>
          <w:szCs w:val="20"/>
        </w:rPr>
        <w:t>. The</w:t>
      </w:r>
      <w:r>
        <w:rPr>
          <w:rFonts w:ascii="Arial" w:hAnsi="Arial" w:cs="Arial"/>
          <w:sz w:val="20"/>
          <w:szCs w:val="20"/>
        </w:rPr>
        <w:t xml:space="preserve"> </w:t>
      </w:r>
      <w:r w:rsidR="00DB5AAE" w:rsidRPr="000D120B">
        <w:rPr>
          <w:rFonts w:ascii="Arial" w:hAnsi="Arial" w:cs="Arial"/>
          <w:sz w:val="20"/>
          <w:szCs w:val="20"/>
        </w:rPr>
        <w:t>16%</w:t>
      </w:r>
      <w:r w:rsidR="004250E2" w:rsidRPr="002A2CC4">
        <w:rPr>
          <w:rFonts w:ascii="Arial" w:hAnsi="Arial" w:cs="Arial"/>
          <w:sz w:val="20"/>
          <w:szCs w:val="20"/>
        </w:rPr>
        <w:t xml:space="preserve"> </w:t>
      </w:r>
      <w:r>
        <w:rPr>
          <w:rFonts w:ascii="Arial" w:hAnsi="Arial" w:cs="Arial"/>
          <w:sz w:val="20"/>
          <w:szCs w:val="20"/>
        </w:rPr>
        <w:t xml:space="preserve">y/y </w:t>
      </w:r>
      <w:r w:rsidR="00356F1C" w:rsidRPr="00A74DDB">
        <w:rPr>
          <w:rFonts w:ascii="Arial" w:hAnsi="Arial" w:cs="Arial"/>
          <w:sz w:val="20"/>
          <w:szCs w:val="20"/>
        </w:rPr>
        <w:t>de</w:t>
      </w:r>
      <w:r w:rsidR="0079290F" w:rsidRPr="00A74DDB">
        <w:rPr>
          <w:rFonts w:ascii="Arial" w:hAnsi="Arial" w:cs="Arial"/>
          <w:sz w:val="20"/>
          <w:szCs w:val="20"/>
        </w:rPr>
        <w:t>crease</w:t>
      </w:r>
      <w:r w:rsidR="004250E2" w:rsidRPr="00A74DDB">
        <w:rPr>
          <w:rFonts w:ascii="Arial" w:hAnsi="Arial" w:cs="Arial"/>
          <w:sz w:val="20"/>
          <w:szCs w:val="20"/>
        </w:rPr>
        <w:t xml:space="preserve"> was mainly attributable to the </w:t>
      </w:r>
      <w:r w:rsidR="006D76AE" w:rsidRPr="00A74DDB">
        <w:rPr>
          <w:rFonts w:ascii="Arial" w:hAnsi="Arial" w:cs="Arial"/>
          <w:sz w:val="20"/>
          <w:szCs w:val="20"/>
        </w:rPr>
        <w:t>lower volumes sold, as a result of</w:t>
      </w:r>
      <w:r w:rsidR="004254C0">
        <w:rPr>
          <w:rFonts w:ascii="Arial" w:hAnsi="Arial" w:cs="Arial"/>
          <w:sz w:val="20"/>
          <w:szCs w:val="20"/>
        </w:rPr>
        <w:t xml:space="preserve"> the</w:t>
      </w:r>
      <w:r w:rsidR="006D76AE" w:rsidRPr="00A74DDB">
        <w:rPr>
          <w:rFonts w:ascii="Arial" w:hAnsi="Arial" w:cs="Arial"/>
          <w:sz w:val="20"/>
          <w:szCs w:val="20"/>
        </w:rPr>
        <w:t xml:space="preserve"> late finishing of</w:t>
      </w:r>
      <w:r w:rsidR="004254C0">
        <w:rPr>
          <w:rFonts w:ascii="Arial" w:hAnsi="Arial" w:cs="Arial"/>
          <w:sz w:val="20"/>
          <w:szCs w:val="20"/>
        </w:rPr>
        <w:t xml:space="preserve"> the</w:t>
      </w:r>
      <w:r w:rsidR="006D76AE" w:rsidRPr="00A74DDB">
        <w:rPr>
          <w:rFonts w:ascii="Arial" w:hAnsi="Arial" w:cs="Arial"/>
          <w:sz w:val="20"/>
          <w:szCs w:val="20"/>
        </w:rPr>
        <w:t xml:space="preserve"> harvesting campaign and lower yields of corn, sunflower and wheat.</w:t>
      </w:r>
    </w:p>
    <w:p w14:paraId="00ABE8DD" w14:textId="5114DCDE" w:rsidR="004250E2" w:rsidRDefault="003B20CC" w:rsidP="008C5A29">
      <w:pPr>
        <w:spacing w:before="120" w:after="120"/>
        <w:jc w:val="both"/>
        <w:rPr>
          <w:rFonts w:ascii="Arial" w:hAnsi="Arial" w:cs="Arial"/>
          <w:sz w:val="20"/>
          <w:szCs w:val="20"/>
        </w:rPr>
      </w:pPr>
      <w:r w:rsidRPr="008605A5">
        <w:rPr>
          <w:rFonts w:ascii="Arial" w:hAnsi="Arial" w:cs="Arial"/>
          <w:sz w:val="20"/>
          <w:szCs w:val="20"/>
        </w:rPr>
        <w:t>IAS 41 standard</w:t>
      </w:r>
      <w:r w:rsidR="00DD10F2" w:rsidRPr="008605A5">
        <w:rPr>
          <w:rFonts w:ascii="Arial" w:hAnsi="Arial" w:cs="Arial"/>
          <w:sz w:val="20"/>
          <w:szCs w:val="20"/>
        </w:rPr>
        <w:t xml:space="preserve"> loss</w:t>
      </w:r>
      <w:r w:rsidRPr="008605A5">
        <w:rPr>
          <w:rFonts w:ascii="Arial" w:hAnsi="Arial" w:cs="Arial"/>
          <w:sz w:val="20"/>
          <w:szCs w:val="20"/>
        </w:rPr>
        <w:t xml:space="preserve"> </w:t>
      </w:r>
      <w:r w:rsidR="000D0B9B" w:rsidRPr="008605A5">
        <w:rPr>
          <w:rFonts w:ascii="Arial" w:hAnsi="Arial" w:cs="Arial"/>
          <w:sz w:val="20"/>
          <w:szCs w:val="20"/>
        </w:rPr>
        <w:t>in</w:t>
      </w:r>
      <w:r w:rsidRPr="008605A5">
        <w:rPr>
          <w:rFonts w:ascii="Arial" w:hAnsi="Arial" w:cs="Arial"/>
          <w:sz w:val="20"/>
          <w:szCs w:val="20"/>
        </w:rPr>
        <w:t xml:space="preserve"> </w:t>
      </w:r>
      <w:r w:rsidR="00D2118D" w:rsidRPr="008605A5">
        <w:rPr>
          <w:rFonts w:ascii="Arial" w:hAnsi="Arial" w:cs="Arial"/>
          <w:sz w:val="20"/>
          <w:szCs w:val="20"/>
        </w:rPr>
        <w:t>12</w:t>
      </w:r>
      <w:r w:rsidR="002B658D" w:rsidRPr="008605A5">
        <w:rPr>
          <w:rFonts w:ascii="Arial" w:hAnsi="Arial" w:cs="Arial"/>
          <w:sz w:val="20"/>
          <w:szCs w:val="20"/>
        </w:rPr>
        <w:t>M</w:t>
      </w:r>
      <w:r w:rsidR="00100EC8" w:rsidRPr="008605A5">
        <w:rPr>
          <w:rFonts w:ascii="Arial" w:hAnsi="Arial" w:cs="Arial"/>
          <w:sz w:val="20"/>
          <w:szCs w:val="20"/>
        </w:rPr>
        <w:t xml:space="preserve"> 2022</w:t>
      </w:r>
      <w:r w:rsidR="00556C51" w:rsidRPr="008605A5">
        <w:rPr>
          <w:rFonts w:ascii="Arial" w:hAnsi="Arial" w:cs="Arial"/>
          <w:sz w:val="20"/>
          <w:szCs w:val="20"/>
        </w:rPr>
        <w:t xml:space="preserve"> </w:t>
      </w:r>
      <w:r w:rsidR="004254C0" w:rsidRPr="008605A5">
        <w:rPr>
          <w:rFonts w:ascii="Arial" w:hAnsi="Arial" w:cs="Arial"/>
          <w:sz w:val="20"/>
          <w:szCs w:val="20"/>
        </w:rPr>
        <w:t>was</w:t>
      </w:r>
      <w:r w:rsidRPr="008605A5">
        <w:rPr>
          <w:rFonts w:ascii="Arial" w:hAnsi="Arial" w:cs="Arial"/>
          <w:sz w:val="20"/>
          <w:szCs w:val="20"/>
        </w:rPr>
        <w:t xml:space="preserve"> US$</w:t>
      </w:r>
      <w:r w:rsidR="00EA6578" w:rsidRPr="008605A5">
        <w:rPr>
          <w:rFonts w:ascii="Arial" w:hAnsi="Arial" w:cs="Arial"/>
          <w:sz w:val="20"/>
          <w:szCs w:val="20"/>
        </w:rPr>
        <w:t xml:space="preserve"> </w:t>
      </w:r>
      <w:r w:rsidR="00DB5AAE" w:rsidRPr="000D120B">
        <w:rPr>
          <w:rFonts w:ascii="Arial" w:hAnsi="Arial" w:cs="Arial"/>
          <w:sz w:val="20"/>
          <w:szCs w:val="20"/>
        </w:rPr>
        <w:t>142</w:t>
      </w:r>
      <w:r w:rsidR="00EA6578" w:rsidRPr="008605A5">
        <w:rPr>
          <w:rFonts w:ascii="Arial" w:hAnsi="Arial" w:cs="Arial"/>
          <w:sz w:val="20"/>
          <w:szCs w:val="20"/>
        </w:rPr>
        <w:t xml:space="preserve"> </w:t>
      </w:r>
      <w:r w:rsidRPr="008605A5">
        <w:rPr>
          <w:rFonts w:ascii="Arial" w:hAnsi="Arial" w:cs="Arial"/>
          <w:sz w:val="20"/>
          <w:szCs w:val="20"/>
        </w:rPr>
        <w:t>million</w:t>
      </w:r>
      <w:bookmarkStart w:id="7" w:name="OLE_LINK3"/>
      <w:r w:rsidR="00673D71" w:rsidRPr="008605A5">
        <w:rPr>
          <w:rFonts w:ascii="Arial" w:hAnsi="Arial" w:cs="Arial"/>
          <w:sz w:val="20"/>
          <w:szCs w:val="20"/>
        </w:rPr>
        <w:t xml:space="preserve"> </w:t>
      </w:r>
      <w:r w:rsidR="004254C0" w:rsidRPr="008605A5">
        <w:rPr>
          <w:rFonts w:ascii="Arial" w:hAnsi="Arial" w:cs="Arial"/>
          <w:sz w:val="20"/>
          <w:szCs w:val="20"/>
        </w:rPr>
        <w:t xml:space="preserve">(12M2021: a gain of </w:t>
      </w:r>
      <w:r w:rsidR="00B518A0" w:rsidRPr="008605A5">
        <w:rPr>
          <w:rFonts w:ascii="Arial" w:hAnsi="Arial" w:cs="Arial"/>
          <w:sz w:val="20"/>
          <w:szCs w:val="20"/>
        </w:rPr>
        <w:t>US$</w:t>
      </w:r>
      <w:r w:rsidR="00036F40" w:rsidRPr="008605A5">
        <w:rPr>
          <w:rFonts w:ascii="Arial" w:hAnsi="Arial" w:cs="Arial"/>
          <w:sz w:val="20"/>
          <w:szCs w:val="20"/>
        </w:rPr>
        <w:t xml:space="preserve"> </w:t>
      </w:r>
      <w:r w:rsidR="00DB5AAE" w:rsidRPr="000D120B">
        <w:rPr>
          <w:rFonts w:ascii="Arial" w:hAnsi="Arial" w:cs="Arial"/>
          <w:sz w:val="20"/>
          <w:szCs w:val="20"/>
        </w:rPr>
        <w:t>169</w:t>
      </w:r>
      <w:r w:rsidR="00036F40" w:rsidRPr="008605A5">
        <w:rPr>
          <w:rFonts w:ascii="Arial" w:hAnsi="Arial" w:cs="Arial"/>
          <w:sz w:val="20"/>
          <w:szCs w:val="20"/>
        </w:rPr>
        <w:t xml:space="preserve"> </w:t>
      </w:r>
      <w:r w:rsidR="00B518A0" w:rsidRPr="008605A5">
        <w:rPr>
          <w:rFonts w:ascii="Arial" w:hAnsi="Arial" w:cs="Arial"/>
          <w:sz w:val="20"/>
          <w:szCs w:val="20"/>
        </w:rPr>
        <w:t>million</w:t>
      </w:r>
      <w:r w:rsidR="004254C0" w:rsidRPr="008605A5">
        <w:rPr>
          <w:rFonts w:ascii="Arial" w:hAnsi="Arial" w:cs="Arial"/>
          <w:sz w:val="20"/>
          <w:szCs w:val="20"/>
        </w:rPr>
        <w:t>),</w:t>
      </w:r>
      <w:r w:rsidR="004250E2" w:rsidRPr="008605A5">
        <w:rPr>
          <w:rFonts w:ascii="Arial" w:hAnsi="Arial" w:cs="Arial"/>
          <w:sz w:val="20"/>
          <w:szCs w:val="20"/>
        </w:rPr>
        <w:t xml:space="preserve"> </w:t>
      </w:r>
      <w:r w:rsidR="004254C0" w:rsidRPr="008605A5">
        <w:rPr>
          <w:rFonts w:ascii="Arial" w:hAnsi="Arial" w:cs="Arial"/>
          <w:sz w:val="20"/>
          <w:szCs w:val="20"/>
        </w:rPr>
        <w:t>with t</w:t>
      </w:r>
      <w:r w:rsidR="004250E2" w:rsidRPr="008605A5">
        <w:rPr>
          <w:rFonts w:ascii="Arial" w:hAnsi="Arial" w:cs="Arial"/>
          <w:sz w:val="20"/>
          <w:szCs w:val="20"/>
        </w:rPr>
        <w:t>he loss represent</w:t>
      </w:r>
      <w:r w:rsidR="004254C0" w:rsidRPr="008605A5">
        <w:rPr>
          <w:rFonts w:ascii="Arial" w:hAnsi="Arial" w:cs="Arial"/>
          <w:sz w:val="20"/>
          <w:szCs w:val="20"/>
        </w:rPr>
        <w:t>ing</w:t>
      </w:r>
      <w:r w:rsidR="004250E2" w:rsidRPr="008605A5">
        <w:rPr>
          <w:rFonts w:ascii="Arial" w:hAnsi="Arial" w:cs="Arial"/>
          <w:sz w:val="20"/>
          <w:szCs w:val="20"/>
        </w:rPr>
        <w:t xml:space="preserve"> the net effect of</w:t>
      </w:r>
      <w:r w:rsidR="004254C0" w:rsidRPr="008605A5">
        <w:rPr>
          <w:rFonts w:ascii="Arial" w:hAnsi="Arial" w:cs="Arial"/>
          <w:sz w:val="20"/>
          <w:szCs w:val="20"/>
        </w:rPr>
        <w:t xml:space="preserve"> the</w:t>
      </w:r>
      <w:r w:rsidR="004250E2" w:rsidRPr="008605A5">
        <w:rPr>
          <w:rFonts w:ascii="Arial" w:hAnsi="Arial" w:cs="Arial"/>
          <w:sz w:val="20"/>
          <w:szCs w:val="20"/>
        </w:rPr>
        <w:t xml:space="preserve"> revaluation of agricultural produce (sunflower, corn, wheat and soya)</w:t>
      </w:r>
      <w:r w:rsidR="004254C0" w:rsidRPr="008605A5">
        <w:rPr>
          <w:rFonts w:ascii="Arial" w:hAnsi="Arial" w:cs="Arial"/>
          <w:sz w:val="20"/>
          <w:szCs w:val="20"/>
        </w:rPr>
        <w:t>,</w:t>
      </w:r>
      <w:r w:rsidR="004250E2" w:rsidRPr="008605A5">
        <w:rPr>
          <w:rFonts w:ascii="Arial" w:hAnsi="Arial" w:cs="Arial"/>
          <w:sz w:val="20"/>
          <w:szCs w:val="20"/>
        </w:rPr>
        <w:t xml:space="preserve"> as </w:t>
      </w:r>
      <w:r w:rsidR="007E5F16" w:rsidRPr="008605A5">
        <w:rPr>
          <w:rFonts w:ascii="Arial" w:hAnsi="Arial" w:cs="Arial"/>
          <w:sz w:val="20"/>
          <w:szCs w:val="20"/>
        </w:rPr>
        <w:t>well as</w:t>
      </w:r>
      <w:r w:rsidR="004250E2" w:rsidRPr="008605A5">
        <w:rPr>
          <w:rFonts w:ascii="Arial" w:hAnsi="Arial" w:cs="Arial"/>
          <w:sz w:val="20"/>
          <w:szCs w:val="20"/>
        </w:rPr>
        <w:t xml:space="preserve"> </w:t>
      </w:r>
      <w:r w:rsidR="00DD10F2" w:rsidRPr="008605A5">
        <w:rPr>
          <w:rFonts w:ascii="Arial" w:hAnsi="Arial" w:cs="Arial"/>
          <w:sz w:val="20"/>
          <w:szCs w:val="20"/>
        </w:rPr>
        <w:t xml:space="preserve">a </w:t>
      </w:r>
      <w:r w:rsidR="00A5497B" w:rsidRPr="008605A5">
        <w:rPr>
          <w:rFonts w:ascii="Arial" w:hAnsi="Arial" w:cs="Arial"/>
          <w:sz w:val="20"/>
          <w:szCs w:val="20"/>
        </w:rPr>
        <w:t xml:space="preserve">revaluation of fields due to lower expected results from </w:t>
      </w:r>
      <w:r w:rsidR="00BB6849" w:rsidRPr="008605A5">
        <w:rPr>
          <w:rFonts w:ascii="Arial" w:hAnsi="Arial" w:cs="Arial"/>
          <w:sz w:val="20"/>
          <w:szCs w:val="20"/>
        </w:rPr>
        <w:t>winter</w:t>
      </w:r>
      <w:r w:rsidR="00A5497B" w:rsidRPr="008605A5">
        <w:rPr>
          <w:rFonts w:ascii="Arial" w:hAnsi="Arial" w:cs="Arial"/>
          <w:sz w:val="20"/>
          <w:szCs w:val="20"/>
        </w:rPr>
        <w:t xml:space="preserve"> crops</w:t>
      </w:r>
      <w:r w:rsidR="004250E2" w:rsidRPr="008605A5">
        <w:rPr>
          <w:rFonts w:ascii="Arial" w:hAnsi="Arial" w:cs="Arial"/>
          <w:sz w:val="20"/>
          <w:szCs w:val="20"/>
        </w:rPr>
        <w:t>.</w:t>
      </w:r>
    </w:p>
    <w:p w14:paraId="66E8EC0B" w14:textId="458E8E8E" w:rsidR="006274B2" w:rsidRPr="008605A5" w:rsidRDefault="006274B2" w:rsidP="006274B2">
      <w:pPr>
        <w:spacing w:before="120" w:after="120"/>
        <w:jc w:val="both"/>
        <w:rPr>
          <w:rFonts w:ascii="Arial" w:hAnsi="Arial" w:cs="Arial"/>
          <w:sz w:val="20"/>
          <w:szCs w:val="20"/>
        </w:rPr>
      </w:pPr>
      <w:r w:rsidRPr="00B46DB3">
        <w:rPr>
          <w:rFonts w:ascii="Arial" w:hAnsi="Arial" w:cs="Arial"/>
          <w:sz w:val="20"/>
          <w:szCs w:val="20"/>
        </w:rPr>
        <w:t xml:space="preserve">12M 2022 </w:t>
      </w:r>
      <w:r>
        <w:rPr>
          <w:rFonts w:ascii="Arial" w:hAnsi="Arial" w:cs="Arial"/>
          <w:sz w:val="20"/>
          <w:szCs w:val="20"/>
        </w:rPr>
        <w:t>A</w:t>
      </w:r>
      <w:r w:rsidRPr="00B46DB3">
        <w:rPr>
          <w:rFonts w:ascii="Arial" w:hAnsi="Arial" w:cs="Arial"/>
          <w:sz w:val="20"/>
          <w:szCs w:val="20"/>
        </w:rPr>
        <w:t xml:space="preserve">djusted EBITDA (net of IFRS 16) of the </w:t>
      </w:r>
      <w:r>
        <w:rPr>
          <w:rFonts w:ascii="Arial" w:hAnsi="Arial" w:cs="Arial"/>
          <w:sz w:val="20"/>
          <w:szCs w:val="20"/>
        </w:rPr>
        <w:t>S</w:t>
      </w:r>
      <w:r w:rsidRPr="00B46DB3">
        <w:rPr>
          <w:rFonts w:ascii="Arial" w:hAnsi="Arial" w:cs="Arial"/>
          <w:sz w:val="20"/>
          <w:szCs w:val="20"/>
        </w:rPr>
        <w:t xml:space="preserve">egment </w:t>
      </w:r>
      <w:r w:rsidRPr="006274B2">
        <w:rPr>
          <w:rFonts w:ascii="Arial" w:hAnsi="Arial" w:cs="Arial"/>
          <w:sz w:val="20"/>
          <w:szCs w:val="20"/>
        </w:rPr>
        <w:t xml:space="preserve">decreased by </w:t>
      </w:r>
      <w:r w:rsidRPr="000D120B">
        <w:rPr>
          <w:rFonts w:ascii="Arial" w:hAnsi="Arial" w:cs="Arial"/>
          <w:sz w:val="20"/>
          <w:szCs w:val="20"/>
        </w:rPr>
        <w:t>72%</w:t>
      </w:r>
      <w:r w:rsidRPr="00B46DB3">
        <w:rPr>
          <w:rFonts w:ascii="Arial" w:hAnsi="Arial" w:cs="Arial"/>
          <w:sz w:val="20"/>
          <w:szCs w:val="20"/>
        </w:rPr>
        <w:t xml:space="preserve"> year-on-year, mainly due to </w:t>
      </w:r>
      <w:r>
        <w:rPr>
          <w:rFonts w:ascii="Arial" w:hAnsi="Arial" w:cs="Arial"/>
          <w:sz w:val="20"/>
          <w:szCs w:val="20"/>
        </w:rPr>
        <w:t xml:space="preserve">the </w:t>
      </w:r>
      <w:r w:rsidRPr="00B46DB3">
        <w:rPr>
          <w:rFonts w:ascii="Arial" w:hAnsi="Arial" w:cs="Arial"/>
          <w:sz w:val="20"/>
          <w:szCs w:val="20"/>
        </w:rPr>
        <w:t xml:space="preserve">weaker harvest in 2022 compared to </w:t>
      </w:r>
      <w:r>
        <w:rPr>
          <w:rFonts w:ascii="Arial" w:hAnsi="Arial" w:cs="Arial"/>
          <w:sz w:val="20"/>
          <w:szCs w:val="20"/>
        </w:rPr>
        <w:t xml:space="preserve">the one in </w:t>
      </w:r>
      <w:r w:rsidRPr="00B46DB3">
        <w:rPr>
          <w:rFonts w:ascii="Arial" w:hAnsi="Arial" w:cs="Arial"/>
          <w:sz w:val="20"/>
          <w:szCs w:val="20"/>
        </w:rPr>
        <w:t>2021, as well as higher grain production costs due to increase</w:t>
      </w:r>
      <w:r>
        <w:rPr>
          <w:rFonts w:ascii="Arial" w:hAnsi="Arial" w:cs="Arial"/>
          <w:sz w:val="20"/>
          <w:szCs w:val="20"/>
        </w:rPr>
        <w:t>d</w:t>
      </w:r>
      <w:r w:rsidRPr="00B46DB3">
        <w:rPr>
          <w:rFonts w:ascii="Arial" w:hAnsi="Arial" w:cs="Arial"/>
          <w:sz w:val="20"/>
          <w:szCs w:val="20"/>
        </w:rPr>
        <w:t xml:space="preserve"> prices for main raw materials.</w:t>
      </w:r>
    </w:p>
    <w:p w14:paraId="4E39C1AC" w14:textId="70005BD9" w:rsidR="005A2F31" w:rsidRDefault="005A2F31" w:rsidP="008C5A29">
      <w:pPr>
        <w:spacing w:before="120" w:after="120"/>
        <w:jc w:val="both"/>
        <w:rPr>
          <w:rFonts w:ascii="Arial" w:hAnsi="Arial" w:cs="Arial"/>
          <w:sz w:val="20"/>
          <w:szCs w:val="20"/>
        </w:rPr>
      </w:pPr>
    </w:p>
    <w:p w14:paraId="58D07935" w14:textId="4AC30ADB" w:rsidR="005A2F31" w:rsidRDefault="005A2F31" w:rsidP="008C5A29">
      <w:pPr>
        <w:spacing w:before="120" w:after="120"/>
        <w:jc w:val="both"/>
        <w:rPr>
          <w:rFonts w:ascii="Arial" w:hAnsi="Arial" w:cs="Arial"/>
          <w:sz w:val="20"/>
          <w:szCs w:val="20"/>
        </w:rPr>
      </w:pPr>
    </w:p>
    <w:p w14:paraId="378441EF" w14:textId="5AB00DC8" w:rsidR="005A2F31" w:rsidRDefault="005A2F31" w:rsidP="008C5A29">
      <w:pPr>
        <w:spacing w:before="120" w:after="120"/>
        <w:jc w:val="both"/>
        <w:rPr>
          <w:rFonts w:ascii="Arial" w:hAnsi="Arial" w:cs="Arial"/>
          <w:sz w:val="20"/>
          <w:szCs w:val="20"/>
        </w:rPr>
      </w:pPr>
    </w:p>
    <w:p w14:paraId="2F0D9337" w14:textId="77777777" w:rsidR="005A2F31" w:rsidRPr="008605A5" w:rsidRDefault="005A2F31" w:rsidP="008C5A29">
      <w:pPr>
        <w:spacing w:before="120" w:after="120"/>
        <w:jc w:val="both"/>
        <w:rPr>
          <w:rFonts w:ascii="Arial" w:hAnsi="Arial" w:cs="Arial"/>
          <w:sz w:val="20"/>
          <w:szCs w:val="20"/>
        </w:rPr>
      </w:pPr>
    </w:p>
    <w:p w14:paraId="0985A2E3" w14:textId="42413738" w:rsidR="00573002" w:rsidRDefault="00573002" w:rsidP="00233FF2">
      <w:pPr>
        <w:spacing w:after="120"/>
        <w:rPr>
          <w:rFonts w:ascii="Arial" w:hAnsi="Arial" w:cs="Arial"/>
          <w:color w:val="000000" w:themeColor="text1"/>
          <w:sz w:val="20"/>
          <w:szCs w:val="20"/>
          <w:highlight w:val="yellow"/>
        </w:rPr>
      </w:pPr>
    </w:p>
    <w:p w14:paraId="0534C510" w14:textId="4F15B71D" w:rsidR="00E00392" w:rsidRPr="00356F1C" w:rsidRDefault="006D4F22" w:rsidP="00233FF2">
      <w:pPr>
        <w:autoSpaceDE w:val="0"/>
        <w:spacing w:before="120" w:after="120"/>
        <w:jc w:val="both"/>
        <w:rPr>
          <w:rFonts w:ascii="Arial" w:hAnsi="Arial" w:cs="Arial"/>
          <w:b/>
          <w:sz w:val="20"/>
          <w:szCs w:val="20"/>
        </w:rPr>
      </w:pPr>
      <w:r w:rsidRPr="00356F1C">
        <w:rPr>
          <w:rFonts w:ascii="Arial" w:hAnsi="Arial" w:cs="Arial"/>
          <w:b/>
          <w:sz w:val="20"/>
          <w:szCs w:val="20"/>
        </w:rPr>
        <w:lastRenderedPageBreak/>
        <w:t xml:space="preserve">Meat </w:t>
      </w:r>
      <w:r w:rsidR="00B95D54">
        <w:rPr>
          <w:rFonts w:ascii="Arial" w:hAnsi="Arial" w:cs="Arial"/>
          <w:b/>
          <w:sz w:val="20"/>
          <w:szCs w:val="20"/>
        </w:rPr>
        <w:t>P</w:t>
      </w:r>
      <w:r w:rsidRPr="00356F1C">
        <w:rPr>
          <w:rFonts w:ascii="Arial" w:hAnsi="Arial" w:cs="Arial"/>
          <w:b/>
          <w:sz w:val="20"/>
          <w:szCs w:val="20"/>
        </w:rPr>
        <w:t xml:space="preserve">rocessing and </w:t>
      </w:r>
      <w:r w:rsidR="00B95D54">
        <w:rPr>
          <w:rFonts w:ascii="Arial" w:hAnsi="Arial" w:cs="Arial"/>
          <w:b/>
          <w:sz w:val="20"/>
          <w:szCs w:val="20"/>
        </w:rPr>
        <w:t>O</w:t>
      </w:r>
      <w:r w:rsidRPr="00356F1C">
        <w:rPr>
          <w:rFonts w:ascii="Arial" w:hAnsi="Arial" w:cs="Arial"/>
          <w:b/>
          <w:sz w:val="20"/>
          <w:szCs w:val="20"/>
        </w:rPr>
        <w:t xml:space="preserve">ther </w:t>
      </w:r>
      <w:r w:rsidR="00B95D54">
        <w:rPr>
          <w:rFonts w:ascii="Arial" w:hAnsi="Arial" w:cs="Arial"/>
          <w:b/>
          <w:sz w:val="20"/>
          <w:szCs w:val="20"/>
        </w:rPr>
        <w:t>A</w:t>
      </w:r>
      <w:r w:rsidRPr="00356F1C">
        <w:rPr>
          <w:rFonts w:ascii="Arial" w:hAnsi="Arial" w:cs="Arial"/>
          <w:b/>
          <w:sz w:val="20"/>
          <w:szCs w:val="20"/>
        </w:rPr>
        <w:t xml:space="preserve">gricultural </w:t>
      </w:r>
      <w:r w:rsidR="00B95D54">
        <w:rPr>
          <w:rFonts w:ascii="Arial" w:hAnsi="Arial" w:cs="Arial"/>
          <w:b/>
          <w:sz w:val="20"/>
          <w:szCs w:val="20"/>
        </w:rPr>
        <w:t>S</w:t>
      </w:r>
      <w:r w:rsidR="000D0B9B" w:rsidRPr="00356F1C">
        <w:rPr>
          <w:rFonts w:ascii="Arial" w:hAnsi="Arial" w:cs="Arial"/>
          <w:b/>
          <w:sz w:val="20"/>
          <w:szCs w:val="20"/>
        </w:rPr>
        <w:t>egment</w:t>
      </w:r>
    </w:p>
    <w:tbl>
      <w:tblPr>
        <w:tblW w:w="5000" w:type="pct"/>
        <w:tblLayout w:type="fixed"/>
        <w:tblLook w:val="04A0" w:firstRow="1" w:lastRow="0" w:firstColumn="1" w:lastColumn="0" w:noHBand="0" w:noVBand="1"/>
      </w:tblPr>
      <w:tblGrid>
        <w:gridCol w:w="3226"/>
        <w:gridCol w:w="236"/>
        <w:gridCol w:w="857"/>
        <w:gridCol w:w="857"/>
        <w:gridCol w:w="871"/>
        <w:gridCol w:w="846"/>
        <w:gridCol w:w="872"/>
        <w:gridCol w:w="850"/>
        <w:gridCol w:w="860"/>
        <w:gridCol w:w="872"/>
      </w:tblGrid>
      <w:tr w:rsidR="008E3D95" w:rsidRPr="003D1AAE" w14:paraId="068687E2" w14:textId="77777777" w:rsidTr="008E3D95">
        <w:trPr>
          <w:trHeight w:val="231"/>
        </w:trPr>
        <w:tc>
          <w:tcPr>
            <w:tcW w:w="1560" w:type="pct"/>
            <w:tcBorders>
              <w:top w:val="single" w:sz="12" w:space="0" w:color="auto"/>
              <w:bottom w:val="single" w:sz="12" w:space="0" w:color="auto"/>
            </w:tcBorders>
            <w:shd w:val="clear" w:color="auto" w:fill="auto"/>
            <w:noWrap/>
            <w:vAlign w:val="center"/>
            <w:hideMark/>
          </w:tcPr>
          <w:bookmarkEnd w:id="7"/>
          <w:p w14:paraId="146E1AC8" w14:textId="2296BB91" w:rsidR="008E3D95" w:rsidRPr="003D1AAE" w:rsidRDefault="008E3D95" w:rsidP="00A42142">
            <w:pPr>
              <w:spacing w:after="0" w:line="240" w:lineRule="auto"/>
              <w:jc w:val="both"/>
              <w:rPr>
                <w:rFonts w:ascii="Arial" w:eastAsia="Times New Roman" w:hAnsi="Arial" w:cs="Arial"/>
                <w:b/>
                <w:bCs/>
                <w:color w:val="000000"/>
                <w:sz w:val="20"/>
                <w:szCs w:val="20"/>
                <w:lang w:eastAsia="ru-RU"/>
              </w:rPr>
            </w:pPr>
            <w:r w:rsidRPr="003D1AAE">
              <w:rPr>
                <w:rFonts w:ascii="Arial" w:hAnsi="Arial" w:cs="Arial"/>
                <w:b/>
                <w:color w:val="000000" w:themeColor="text1"/>
                <w:sz w:val="20"/>
                <w:szCs w:val="20"/>
                <w:lang w:val="nl-NL"/>
              </w:rPr>
              <w:t>Meat processing products</w:t>
            </w:r>
          </w:p>
        </w:tc>
        <w:tc>
          <w:tcPr>
            <w:tcW w:w="107" w:type="pct"/>
          </w:tcPr>
          <w:p w14:paraId="5F063728" w14:textId="77777777" w:rsidR="008E3D95" w:rsidRPr="003D1AAE" w:rsidRDefault="008E3D95" w:rsidP="00A42142">
            <w:pPr>
              <w:spacing w:after="0" w:line="240" w:lineRule="auto"/>
              <w:jc w:val="right"/>
              <w:rPr>
                <w:rFonts w:ascii="Arial" w:eastAsia="Times New Roman" w:hAnsi="Arial" w:cs="Arial"/>
                <w:b/>
                <w:bCs/>
                <w:color w:val="000000"/>
                <w:sz w:val="20"/>
                <w:szCs w:val="20"/>
                <w:lang w:eastAsia="ru-RU"/>
              </w:rPr>
            </w:pPr>
          </w:p>
        </w:tc>
        <w:tc>
          <w:tcPr>
            <w:tcW w:w="415" w:type="pct"/>
            <w:tcBorders>
              <w:top w:val="single" w:sz="12" w:space="0" w:color="auto"/>
              <w:bottom w:val="single" w:sz="12" w:space="0" w:color="auto"/>
            </w:tcBorders>
            <w:shd w:val="clear" w:color="auto" w:fill="auto"/>
            <w:vAlign w:val="center"/>
            <w:hideMark/>
          </w:tcPr>
          <w:p w14:paraId="0C7EE4D5" w14:textId="1A56DB2F" w:rsidR="008E3D95" w:rsidRPr="003D1AAE" w:rsidRDefault="008E3D95" w:rsidP="00A42142">
            <w:pPr>
              <w:spacing w:after="0" w:line="240" w:lineRule="auto"/>
              <w:jc w:val="right"/>
              <w:rPr>
                <w:rFonts w:ascii="Arial" w:eastAsia="Times New Roman" w:hAnsi="Arial" w:cs="Arial"/>
                <w:b/>
                <w:bCs/>
                <w:color w:val="000000"/>
                <w:sz w:val="20"/>
                <w:szCs w:val="20"/>
                <w:lang w:eastAsia="ru-RU"/>
              </w:rPr>
            </w:pPr>
            <w:r w:rsidRPr="003D1AAE">
              <w:rPr>
                <w:rFonts w:ascii="Arial" w:eastAsia="Times New Roman" w:hAnsi="Arial" w:cs="Arial"/>
                <w:b/>
                <w:bCs/>
                <w:color w:val="000000"/>
                <w:sz w:val="20"/>
                <w:szCs w:val="20"/>
                <w:lang w:eastAsia="ru-RU"/>
              </w:rPr>
              <w:t>Q</w:t>
            </w:r>
            <w:r w:rsidR="00D2118D" w:rsidRPr="003D1AAE">
              <w:rPr>
                <w:rFonts w:ascii="Arial" w:eastAsia="Times New Roman" w:hAnsi="Arial" w:cs="Arial"/>
                <w:b/>
                <w:bCs/>
                <w:color w:val="000000"/>
                <w:sz w:val="20"/>
                <w:szCs w:val="20"/>
                <w:lang w:eastAsia="ru-RU"/>
              </w:rPr>
              <w:t>4</w:t>
            </w:r>
            <w:r w:rsidRPr="003D1AAE">
              <w:rPr>
                <w:rFonts w:ascii="Arial" w:eastAsia="Times New Roman" w:hAnsi="Arial" w:cs="Arial"/>
                <w:b/>
                <w:bCs/>
                <w:color w:val="000000"/>
                <w:sz w:val="20"/>
                <w:szCs w:val="20"/>
                <w:lang w:eastAsia="ru-RU"/>
              </w:rPr>
              <w:t xml:space="preserve"> 2022</w:t>
            </w:r>
          </w:p>
        </w:tc>
        <w:tc>
          <w:tcPr>
            <w:tcW w:w="415" w:type="pct"/>
            <w:tcBorders>
              <w:top w:val="single" w:sz="12" w:space="0" w:color="auto"/>
              <w:bottom w:val="single" w:sz="12" w:space="0" w:color="auto"/>
            </w:tcBorders>
            <w:shd w:val="clear" w:color="auto" w:fill="auto"/>
            <w:vAlign w:val="center"/>
            <w:hideMark/>
          </w:tcPr>
          <w:p w14:paraId="7B1D770C" w14:textId="1323833C" w:rsidR="008E3D95" w:rsidRPr="003D1AAE" w:rsidRDefault="008E3D95" w:rsidP="00A42142">
            <w:pPr>
              <w:spacing w:after="0" w:line="240" w:lineRule="auto"/>
              <w:jc w:val="right"/>
              <w:rPr>
                <w:rFonts w:ascii="Arial" w:eastAsia="Times New Roman" w:hAnsi="Arial" w:cs="Arial"/>
                <w:b/>
                <w:bCs/>
                <w:color w:val="000000"/>
                <w:sz w:val="20"/>
                <w:szCs w:val="20"/>
                <w:lang w:eastAsia="ru-RU"/>
              </w:rPr>
            </w:pPr>
            <w:r w:rsidRPr="003D1AAE">
              <w:rPr>
                <w:rFonts w:ascii="Arial" w:eastAsia="Times New Roman" w:hAnsi="Arial" w:cs="Arial"/>
                <w:b/>
                <w:bCs/>
                <w:color w:val="000000"/>
                <w:sz w:val="20"/>
                <w:szCs w:val="20"/>
                <w:lang w:eastAsia="ru-RU"/>
              </w:rPr>
              <w:t>Q</w:t>
            </w:r>
            <w:r w:rsidR="00D2118D" w:rsidRPr="003D1AAE">
              <w:rPr>
                <w:rFonts w:ascii="Arial" w:eastAsia="Times New Roman" w:hAnsi="Arial" w:cs="Arial"/>
                <w:b/>
                <w:bCs/>
                <w:color w:val="000000"/>
                <w:sz w:val="20"/>
                <w:szCs w:val="20"/>
                <w:lang w:eastAsia="ru-RU"/>
              </w:rPr>
              <w:t>4</w:t>
            </w:r>
            <w:r w:rsidRPr="003D1AAE">
              <w:rPr>
                <w:rFonts w:ascii="Arial" w:eastAsia="Times New Roman" w:hAnsi="Arial" w:cs="Arial"/>
                <w:b/>
                <w:bCs/>
                <w:color w:val="000000"/>
                <w:sz w:val="20"/>
                <w:szCs w:val="20"/>
                <w:lang w:eastAsia="ru-RU"/>
              </w:rPr>
              <w:t xml:space="preserve"> 2021</w:t>
            </w:r>
          </w:p>
        </w:tc>
        <w:tc>
          <w:tcPr>
            <w:tcW w:w="422" w:type="pct"/>
            <w:tcBorders>
              <w:top w:val="single" w:sz="12" w:space="0" w:color="auto"/>
              <w:bottom w:val="single" w:sz="12" w:space="0" w:color="auto"/>
            </w:tcBorders>
            <w:shd w:val="clear" w:color="auto" w:fill="auto"/>
            <w:vAlign w:val="center"/>
            <w:hideMark/>
          </w:tcPr>
          <w:p w14:paraId="346D05FD" w14:textId="77777777" w:rsidR="008E3D95" w:rsidRPr="003D1AAE" w:rsidRDefault="008E3D95" w:rsidP="00A42142">
            <w:pPr>
              <w:spacing w:after="0" w:line="240" w:lineRule="auto"/>
              <w:jc w:val="right"/>
              <w:rPr>
                <w:rFonts w:ascii="Arial" w:eastAsia="Times New Roman" w:hAnsi="Arial" w:cs="Arial"/>
                <w:i/>
                <w:color w:val="000000"/>
                <w:sz w:val="20"/>
                <w:szCs w:val="20"/>
                <w:lang w:eastAsia="ru-RU"/>
              </w:rPr>
            </w:pPr>
            <w:r w:rsidRPr="003D1AAE">
              <w:rPr>
                <w:rFonts w:ascii="Arial" w:eastAsia="Times New Roman" w:hAnsi="Arial" w:cs="Arial"/>
                <w:i/>
                <w:color w:val="000000"/>
                <w:sz w:val="20"/>
                <w:szCs w:val="20"/>
                <w:lang w:eastAsia="ru-RU"/>
              </w:rPr>
              <w:t>% change y/y</w:t>
            </w:r>
          </w:p>
        </w:tc>
        <w:tc>
          <w:tcPr>
            <w:tcW w:w="410" w:type="pct"/>
            <w:tcBorders>
              <w:top w:val="single" w:sz="12" w:space="0" w:color="auto"/>
              <w:bottom w:val="single" w:sz="12" w:space="0" w:color="auto"/>
            </w:tcBorders>
            <w:vAlign w:val="center"/>
          </w:tcPr>
          <w:p w14:paraId="558B93D9" w14:textId="24A3E4F1" w:rsidR="008E3D95" w:rsidRPr="003D1AAE" w:rsidRDefault="008E3D95" w:rsidP="00A42142">
            <w:pPr>
              <w:spacing w:after="0" w:line="240" w:lineRule="auto"/>
              <w:jc w:val="right"/>
              <w:rPr>
                <w:rFonts w:ascii="Arial" w:eastAsia="Times New Roman" w:hAnsi="Arial" w:cs="Arial"/>
                <w:i/>
                <w:color w:val="000000"/>
                <w:sz w:val="20"/>
                <w:szCs w:val="20"/>
                <w:lang w:eastAsia="ru-RU"/>
              </w:rPr>
            </w:pPr>
            <w:r w:rsidRPr="003D1AAE">
              <w:rPr>
                <w:rFonts w:ascii="Arial" w:eastAsia="Times New Roman" w:hAnsi="Arial" w:cs="Arial"/>
                <w:b/>
                <w:color w:val="000000"/>
                <w:sz w:val="20"/>
                <w:szCs w:val="20"/>
                <w:lang w:eastAsia="ru-RU"/>
              </w:rPr>
              <w:t>Q</w:t>
            </w:r>
            <w:r w:rsidR="00D2118D" w:rsidRPr="003D1AAE">
              <w:rPr>
                <w:rFonts w:ascii="Arial" w:eastAsia="Times New Roman" w:hAnsi="Arial" w:cs="Arial"/>
                <w:b/>
                <w:color w:val="000000"/>
                <w:sz w:val="20"/>
                <w:szCs w:val="20"/>
                <w:lang w:eastAsia="ru-RU"/>
              </w:rPr>
              <w:t>3</w:t>
            </w:r>
            <w:r w:rsidRPr="003D1AAE">
              <w:rPr>
                <w:rFonts w:ascii="Arial" w:eastAsia="Times New Roman" w:hAnsi="Arial" w:cs="Arial"/>
                <w:b/>
                <w:color w:val="000000"/>
                <w:sz w:val="20"/>
                <w:szCs w:val="20"/>
                <w:lang w:eastAsia="ru-RU"/>
              </w:rPr>
              <w:t xml:space="preserve"> 2022</w:t>
            </w:r>
          </w:p>
        </w:tc>
        <w:tc>
          <w:tcPr>
            <w:tcW w:w="422" w:type="pct"/>
            <w:tcBorders>
              <w:top w:val="single" w:sz="12" w:space="0" w:color="auto"/>
              <w:bottom w:val="single" w:sz="12" w:space="0" w:color="auto"/>
            </w:tcBorders>
            <w:vAlign w:val="center"/>
          </w:tcPr>
          <w:p w14:paraId="66B3DCF9" w14:textId="77777777" w:rsidR="008E3D95" w:rsidRPr="003D1AAE" w:rsidRDefault="008E3D95" w:rsidP="00A42142">
            <w:pPr>
              <w:spacing w:after="0" w:line="240" w:lineRule="auto"/>
              <w:jc w:val="right"/>
              <w:rPr>
                <w:rFonts w:ascii="Arial" w:eastAsia="Times New Roman" w:hAnsi="Arial" w:cs="Arial"/>
                <w:i/>
                <w:color w:val="000000"/>
                <w:sz w:val="20"/>
                <w:szCs w:val="20"/>
                <w:lang w:eastAsia="ru-RU"/>
              </w:rPr>
            </w:pPr>
            <w:r w:rsidRPr="003D1AAE">
              <w:rPr>
                <w:rFonts w:ascii="Arial" w:eastAsia="Times New Roman" w:hAnsi="Arial" w:cs="Arial"/>
                <w:i/>
                <w:color w:val="000000"/>
                <w:sz w:val="20"/>
                <w:szCs w:val="20"/>
                <w:lang w:eastAsia="ru-RU"/>
              </w:rPr>
              <w:t>% change q/q</w:t>
            </w:r>
          </w:p>
        </w:tc>
        <w:tc>
          <w:tcPr>
            <w:tcW w:w="411" w:type="pct"/>
            <w:tcBorders>
              <w:top w:val="single" w:sz="12" w:space="0" w:color="auto"/>
              <w:bottom w:val="single" w:sz="12" w:space="0" w:color="auto"/>
            </w:tcBorders>
            <w:vAlign w:val="center"/>
          </w:tcPr>
          <w:p w14:paraId="1D3120F0" w14:textId="63F7755D" w:rsidR="008E3D95" w:rsidRPr="003D1AAE" w:rsidRDefault="00D2118D" w:rsidP="00A42142">
            <w:pPr>
              <w:spacing w:after="0" w:line="240" w:lineRule="auto"/>
              <w:jc w:val="right"/>
              <w:rPr>
                <w:rFonts w:ascii="Arial" w:eastAsia="Times New Roman" w:hAnsi="Arial" w:cs="Arial"/>
                <w:i/>
                <w:color w:val="000000"/>
                <w:sz w:val="20"/>
                <w:szCs w:val="20"/>
                <w:lang w:eastAsia="ru-RU"/>
              </w:rPr>
            </w:pPr>
            <w:r w:rsidRPr="003D1AAE">
              <w:rPr>
                <w:rFonts w:ascii="Arial" w:eastAsia="Times New Roman" w:hAnsi="Arial" w:cs="Arial"/>
                <w:b/>
                <w:bCs/>
                <w:color w:val="000000"/>
                <w:sz w:val="20"/>
                <w:szCs w:val="20"/>
                <w:lang w:eastAsia="ru-RU"/>
              </w:rPr>
              <w:t>12</w:t>
            </w:r>
            <w:r w:rsidR="008E3D95" w:rsidRPr="003D1AAE">
              <w:rPr>
                <w:rFonts w:ascii="Arial" w:eastAsia="Times New Roman" w:hAnsi="Arial" w:cs="Arial"/>
                <w:b/>
                <w:bCs/>
                <w:color w:val="000000"/>
                <w:sz w:val="20"/>
                <w:szCs w:val="20"/>
                <w:lang w:eastAsia="ru-RU"/>
              </w:rPr>
              <w:t>M 2022</w:t>
            </w:r>
          </w:p>
        </w:tc>
        <w:tc>
          <w:tcPr>
            <w:tcW w:w="416" w:type="pct"/>
            <w:tcBorders>
              <w:top w:val="single" w:sz="12" w:space="0" w:color="auto"/>
              <w:bottom w:val="single" w:sz="12" w:space="0" w:color="auto"/>
            </w:tcBorders>
            <w:vAlign w:val="center"/>
          </w:tcPr>
          <w:p w14:paraId="00C960EC" w14:textId="48BC6E60" w:rsidR="008E3D95" w:rsidRPr="003D1AAE" w:rsidRDefault="00D2118D" w:rsidP="00A42142">
            <w:pPr>
              <w:spacing w:after="0" w:line="240" w:lineRule="auto"/>
              <w:jc w:val="right"/>
              <w:rPr>
                <w:rFonts w:ascii="Arial" w:eastAsia="Times New Roman" w:hAnsi="Arial" w:cs="Arial"/>
                <w:i/>
                <w:color w:val="000000"/>
                <w:sz w:val="20"/>
                <w:szCs w:val="20"/>
                <w:lang w:eastAsia="ru-RU"/>
              </w:rPr>
            </w:pPr>
            <w:r w:rsidRPr="003D1AAE">
              <w:rPr>
                <w:rFonts w:ascii="Arial" w:eastAsia="Times New Roman" w:hAnsi="Arial" w:cs="Arial"/>
                <w:b/>
                <w:bCs/>
                <w:color w:val="000000"/>
                <w:sz w:val="20"/>
                <w:szCs w:val="20"/>
                <w:lang w:eastAsia="ru-RU"/>
              </w:rPr>
              <w:t>12</w:t>
            </w:r>
            <w:r w:rsidR="008E3D95" w:rsidRPr="003D1AAE">
              <w:rPr>
                <w:rFonts w:ascii="Arial" w:eastAsia="Times New Roman" w:hAnsi="Arial" w:cs="Arial"/>
                <w:b/>
                <w:bCs/>
                <w:color w:val="000000"/>
                <w:sz w:val="20"/>
                <w:szCs w:val="20"/>
                <w:lang w:eastAsia="ru-RU"/>
              </w:rPr>
              <w:t>M 2021</w:t>
            </w:r>
          </w:p>
        </w:tc>
        <w:tc>
          <w:tcPr>
            <w:tcW w:w="422" w:type="pct"/>
            <w:tcBorders>
              <w:top w:val="single" w:sz="12" w:space="0" w:color="auto"/>
              <w:bottom w:val="single" w:sz="12" w:space="0" w:color="auto"/>
            </w:tcBorders>
            <w:vAlign w:val="center"/>
          </w:tcPr>
          <w:p w14:paraId="4897E705" w14:textId="77777777" w:rsidR="008E3D95" w:rsidRPr="003D1AAE" w:rsidRDefault="008E3D95" w:rsidP="00A42142">
            <w:pPr>
              <w:spacing w:after="0" w:line="240" w:lineRule="auto"/>
              <w:jc w:val="right"/>
              <w:rPr>
                <w:rFonts w:ascii="Arial" w:eastAsia="Times New Roman" w:hAnsi="Arial" w:cs="Arial"/>
                <w:i/>
                <w:color w:val="000000"/>
                <w:sz w:val="20"/>
                <w:szCs w:val="20"/>
                <w:lang w:eastAsia="ru-RU"/>
              </w:rPr>
            </w:pPr>
            <w:r w:rsidRPr="003D1AAE">
              <w:rPr>
                <w:rFonts w:ascii="Arial" w:eastAsia="Times New Roman" w:hAnsi="Arial" w:cs="Arial"/>
                <w:bCs/>
                <w:color w:val="000000"/>
                <w:sz w:val="20"/>
                <w:szCs w:val="20"/>
                <w:lang w:eastAsia="ru-RU"/>
              </w:rPr>
              <w:t>% change</w:t>
            </w:r>
          </w:p>
        </w:tc>
      </w:tr>
      <w:tr w:rsidR="008E3D95" w:rsidRPr="003D1AAE" w14:paraId="508E7803" w14:textId="77777777" w:rsidTr="008E3D95">
        <w:trPr>
          <w:trHeight w:hRule="exact" w:val="104"/>
        </w:trPr>
        <w:tc>
          <w:tcPr>
            <w:tcW w:w="1560" w:type="pct"/>
            <w:shd w:val="clear" w:color="auto" w:fill="auto"/>
            <w:noWrap/>
            <w:vAlign w:val="center"/>
          </w:tcPr>
          <w:p w14:paraId="7217989A" w14:textId="77777777" w:rsidR="008E3D95" w:rsidRPr="003D1AAE" w:rsidRDefault="008E3D95" w:rsidP="00A42142">
            <w:pPr>
              <w:spacing w:after="0" w:line="240" w:lineRule="auto"/>
              <w:jc w:val="both"/>
              <w:rPr>
                <w:rFonts w:ascii="Arial" w:eastAsia="Times New Roman" w:hAnsi="Arial" w:cs="Arial"/>
                <w:color w:val="000000"/>
                <w:sz w:val="20"/>
                <w:szCs w:val="20"/>
                <w:lang w:eastAsia="ru-RU"/>
              </w:rPr>
            </w:pPr>
          </w:p>
        </w:tc>
        <w:tc>
          <w:tcPr>
            <w:tcW w:w="107" w:type="pct"/>
          </w:tcPr>
          <w:p w14:paraId="0E46524C" w14:textId="77777777" w:rsidR="008E3D95" w:rsidRPr="003D1AAE" w:rsidRDefault="008E3D95" w:rsidP="00A42142">
            <w:pPr>
              <w:spacing w:after="0" w:line="240" w:lineRule="auto"/>
              <w:jc w:val="right"/>
              <w:rPr>
                <w:rFonts w:ascii="Arial" w:eastAsia="Times New Roman" w:hAnsi="Arial" w:cs="Arial"/>
                <w:color w:val="000000"/>
                <w:sz w:val="20"/>
                <w:szCs w:val="20"/>
                <w:lang w:eastAsia="ru-RU"/>
              </w:rPr>
            </w:pPr>
          </w:p>
        </w:tc>
        <w:tc>
          <w:tcPr>
            <w:tcW w:w="415" w:type="pct"/>
            <w:shd w:val="clear" w:color="auto" w:fill="auto"/>
            <w:vAlign w:val="center"/>
          </w:tcPr>
          <w:p w14:paraId="3ACFD4F3" w14:textId="77777777" w:rsidR="008E3D95" w:rsidRPr="003D1AAE" w:rsidRDefault="008E3D95" w:rsidP="00A42142">
            <w:pPr>
              <w:spacing w:after="0" w:line="240" w:lineRule="auto"/>
              <w:jc w:val="right"/>
              <w:rPr>
                <w:rFonts w:ascii="Arial" w:eastAsia="Times New Roman" w:hAnsi="Arial" w:cs="Arial"/>
                <w:color w:val="000000"/>
                <w:sz w:val="20"/>
                <w:szCs w:val="20"/>
                <w:lang w:eastAsia="ru-RU"/>
              </w:rPr>
            </w:pPr>
          </w:p>
        </w:tc>
        <w:tc>
          <w:tcPr>
            <w:tcW w:w="415" w:type="pct"/>
            <w:shd w:val="clear" w:color="auto" w:fill="auto"/>
            <w:noWrap/>
            <w:vAlign w:val="center"/>
          </w:tcPr>
          <w:p w14:paraId="52292F9D" w14:textId="77777777" w:rsidR="008E3D95" w:rsidRPr="003D1AAE" w:rsidRDefault="008E3D95" w:rsidP="00A42142">
            <w:pPr>
              <w:spacing w:after="0" w:line="240" w:lineRule="auto"/>
              <w:jc w:val="right"/>
              <w:rPr>
                <w:rFonts w:ascii="Arial" w:eastAsia="Times New Roman" w:hAnsi="Arial" w:cs="Arial"/>
                <w:color w:val="000000"/>
                <w:sz w:val="20"/>
                <w:szCs w:val="20"/>
                <w:lang w:eastAsia="ru-RU"/>
              </w:rPr>
            </w:pPr>
          </w:p>
        </w:tc>
        <w:tc>
          <w:tcPr>
            <w:tcW w:w="422" w:type="pct"/>
            <w:shd w:val="clear" w:color="auto" w:fill="auto"/>
            <w:noWrap/>
            <w:vAlign w:val="center"/>
          </w:tcPr>
          <w:p w14:paraId="111482DD" w14:textId="77777777" w:rsidR="008E3D95" w:rsidRPr="003D1AAE" w:rsidRDefault="008E3D95" w:rsidP="00A42142">
            <w:pPr>
              <w:spacing w:after="0" w:line="240" w:lineRule="auto"/>
              <w:jc w:val="right"/>
              <w:rPr>
                <w:rFonts w:ascii="Arial" w:eastAsia="Times New Roman" w:hAnsi="Arial" w:cs="Arial"/>
                <w:iCs/>
                <w:color w:val="000000"/>
                <w:sz w:val="20"/>
                <w:szCs w:val="20"/>
                <w:lang w:eastAsia="ru-RU"/>
              </w:rPr>
            </w:pPr>
          </w:p>
        </w:tc>
        <w:tc>
          <w:tcPr>
            <w:tcW w:w="410" w:type="pct"/>
          </w:tcPr>
          <w:p w14:paraId="5AED102E" w14:textId="77777777" w:rsidR="008E3D95" w:rsidRPr="003D1AAE" w:rsidRDefault="008E3D95" w:rsidP="00A42142">
            <w:pPr>
              <w:spacing w:after="0" w:line="240" w:lineRule="auto"/>
              <w:jc w:val="right"/>
              <w:rPr>
                <w:rFonts w:ascii="Arial" w:eastAsia="Times New Roman" w:hAnsi="Arial" w:cs="Arial"/>
                <w:iCs/>
                <w:color w:val="000000"/>
                <w:sz w:val="20"/>
                <w:szCs w:val="20"/>
                <w:lang w:eastAsia="ru-RU"/>
              </w:rPr>
            </w:pPr>
          </w:p>
        </w:tc>
        <w:tc>
          <w:tcPr>
            <w:tcW w:w="422" w:type="pct"/>
          </w:tcPr>
          <w:p w14:paraId="5392A1E1" w14:textId="77777777" w:rsidR="008E3D95" w:rsidRPr="003D1AAE" w:rsidRDefault="008E3D95" w:rsidP="00A42142">
            <w:pPr>
              <w:spacing w:after="0" w:line="240" w:lineRule="auto"/>
              <w:jc w:val="right"/>
              <w:rPr>
                <w:rFonts w:ascii="Arial" w:eastAsia="Times New Roman" w:hAnsi="Arial" w:cs="Arial"/>
                <w:iCs/>
                <w:color w:val="000000"/>
                <w:sz w:val="20"/>
                <w:szCs w:val="20"/>
                <w:lang w:eastAsia="ru-RU"/>
              </w:rPr>
            </w:pPr>
          </w:p>
        </w:tc>
        <w:tc>
          <w:tcPr>
            <w:tcW w:w="411" w:type="pct"/>
          </w:tcPr>
          <w:p w14:paraId="3B592787" w14:textId="77777777" w:rsidR="008E3D95" w:rsidRPr="003D1AAE" w:rsidRDefault="008E3D95" w:rsidP="00A42142">
            <w:pPr>
              <w:spacing w:after="0" w:line="240" w:lineRule="auto"/>
              <w:jc w:val="right"/>
              <w:rPr>
                <w:rFonts w:ascii="Arial" w:eastAsia="Times New Roman" w:hAnsi="Arial" w:cs="Arial"/>
                <w:iCs/>
                <w:color w:val="000000"/>
                <w:sz w:val="20"/>
                <w:szCs w:val="20"/>
                <w:lang w:eastAsia="ru-RU"/>
              </w:rPr>
            </w:pPr>
          </w:p>
        </w:tc>
        <w:tc>
          <w:tcPr>
            <w:tcW w:w="416" w:type="pct"/>
          </w:tcPr>
          <w:p w14:paraId="664E4A5F" w14:textId="77777777" w:rsidR="008E3D95" w:rsidRPr="003D1AAE" w:rsidRDefault="008E3D95" w:rsidP="00A42142">
            <w:pPr>
              <w:spacing w:after="0" w:line="240" w:lineRule="auto"/>
              <w:jc w:val="right"/>
              <w:rPr>
                <w:rFonts w:ascii="Arial" w:eastAsia="Times New Roman" w:hAnsi="Arial" w:cs="Arial"/>
                <w:iCs/>
                <w:color w:val="000000"/>
                <w:sz w:val="20"/>
                <w:szCs w:val="20"/>
                <w:lang w:eastAsia="ru-RU"/>
              </w:rPr>
            </w:pPr>
          </w:p>
        </w:tc>
        <w:tc>
          <w:tcPr>
            <w:tcW w:w="422" w:type="pct"/>
          </w:tcPr>
          <w:p w14:paraId="648800AA" w14:textId="77777777" w:rsidR="008E3D95" w:rsidRPr="003D1AAE" w:rsidRDefault="008E3D95" w:rsidP="00A42142">
            <w:pPr>
              <w:spacing w:after="0" w:line="240" w:lineRule="auto"/>
              <w:jc w:val="right"/>
              <w:rPr>
                <w:rFonts w:ascii="Arial" w:eastAsia="Times New Roman" w:hAnsi="Arial" w:cs="Arial"/>
                <w:iCs/>
                <w:color w:val="000000"/>
                <w:sz w:val="20"/>
                <w:szCs w:val="20"/>
                <w:lang w:eastAsia="ru-RU"/>
              </w:rPr>
            </w:pPr>
          </w:p>
        </w:tc>
      </w:tr>
      <w:tr w:rsidR="008E3D95" w:rsidRPr="003D1AAE" w14:paraId="2D2053D0" w14:textId="77777777" w:rsidTr="008E3D95">
        <w:trPr>
          <w:trHeight w:val="265"/>
        </w:trPr>
        <w:tc>
          <w:tcPr>
            <w:tcW w:w="1560" w:type="pct"/>
            <w:shd w:val="clear" w:color="auto" w:fill="auto"/>
            <w:noWrap/>
            <w:vAlign w:val="center"/>
            <w:hideMark/>
          </w:tcPr>
          <w:p w14:paraId="049EE768" w14:textId="2DFB008F" w:rsidR="008E3D95" w:rsidRPr="003D1AAE" w:rsidRDefault="008E3D95" w:rsidP="00A42142">
            <w:pPr>
              <w:spacing w:after="0" w:line="240" w:lineRule="auto"/>
              <w:jc w:val="both"/>
              <w:rPr>
                <w:rFonts w:ascii="Arial" w:eastAsia="Times New Roman" w:hAnsi="Arial" w:cs="Arial"/>
                <w:color w:val="000000"/>
                <w:sz w:val="20"/>
                <w:szCs w:val="20"/>
                <w:lang w:eastAsia="ru-RU"/>
              </w:rPr>
            </w:pPr>
            <w:r w:rsidRPr="003D1AAE">
              <w:rPr>
                <w:rFonts w:ascii="Arial" w:eastAsia="Times New Roman" w:hAnsi="Arial" w:cs="Arial"/>
                <w:color w:val="000000"/>
                <w:sz w:val="20"/>
                <w:szCs w:val="20"/>
                <w:lang w:eastAsia="ru-RU"/>
              </w:rPr>
              <w:t xml:space="preserve">Sales volume, third </w:t>
            </w:r>
            <w:r w:rsidR="00B95D54" w:rsidRPr="003D1AAE">
              <w:rPr>
                <w:rFonts w:ascii="Arial" w:eastAsia="Times New Roman" w:hAnsi="Arial" w:cs="Arial"/>
                <w:color w:val="000000"/>
                <w:sz w:val="20"/>
                <w:szCs w:val="20"/>
                <w:lang w:eastAsia="ru-RU"/>
              </w:rPr>
              <w:t>part</w:t>
            </w:r>
            <w:r w:rsidR="00B95D54">
              <w:rPr>
                <w:rFonts w:ascii="Arial" w:eastAsia="Times New Roman" w:hAnsi="Arial" w:cs="Arial"/>
                <w:color w:val="000000"/>
                <w:sz w:val="20"/>
                <w:szCs w:val="20"/>
                <w:lang w:eastAsia="ru-RU"/>
              </w:rPr>
              <w:t>y</w:t>
            </w:r>
            <w:r w:rsidR="00B95D54" w:rsidRPr="003D1AAE">
              <w:rPr>
                <w:rFonts w:ascii="Arial" w:eastAsia="Times New Roman" w:hAnsi="Arial" w:cs="Arial"/>
                <w:color w:val="000000"/>
                <w:sz w:val="20"/>
                <w:szCs w:val="20"/>
                <w:lang w:eastAsia="ru-RU"/>
              </w:rPr>
              <w:t xml:space="preserve"> </w:t>
            </w:r>
            <w:proofErr w:type="spellStart"/>
            <w:r w:rsidRPr="003D1AAE">
              <w:rPr>
                <w:rFonts w:ascii="Arial" w:eastAsia="Times New Roman" w:hAnsi="Arial" w:cs="Arial"/>
                <w:color w:val="000000"/>
                <w:sz w:val="20"/>
                <w:szCs w:val="20"/>
                <w:lang w:eastAsia="ru-RU"/>
              </w:rPr>
              <w:t>tonnes</w:t>
            </w:r>
            <w:proofErr w:type="spellEnd"/>
          </w:p>
        </w:tc>
        <w:tc>
          <w:tcPr>
            <w:tcW w:w="107" w:type="pct"/>
          </w:tcPr>
          <w:p w14:paraId="5F202BDD" w14:textId="77777777" w:rsidR="008E3D95" w:rsidRPr="003D1AAE" w:rsidRDefault="008E3D95" w:rsidP="00A42142">
            <w:pPr>
              <w:spacing w:after="0" w:line="240" w:lineRule="auto"/>
              <w:jc w:val="right"/>
              <w:rPr>
                <w:rFonts w:ascii="Arial" w:eastAsia="Times New Roman" w:hAnsi="Arial" w:cs="Arial"/>
                <w:color w:val="000000"/>
                <w:sz w:val="20"/>
                <w:szCs w:val="20"/>
                <w:lang w:eastAsia="ru-RU"/>
              </w:rPr>
            </w:pPr>
          </w:p>
        </w:tc>
        <w:tc>
          <w:tcPr>
            <w:tcW w:w="415" w:type="pct"/>
            <w:shd w:val="clear" w:color="auto" w:fill="auto"/>
            <w:vAlign w:val="center"/>
          </w:tcPr>
          <w:p w14:paraId="703FA821" w14:textId="1930D962" w:rsidR="008E3D95" w:rsidRPr="003D1AAE" w:rsidRDefault="008E3D95" w:rsidP="00A42142">
            <w:pPr>
              <w:spacing w:after="0" w:line="240" w:lineRule="auto"/>
              <w:jc w:val="right"/>
              <w:rPr>
                <w:rFonts w:ascii="Arial" w:eastAsia="Times New Roman" w:hAnsi="Arial" w:cs="Arial"/>
                <w:color w:val="000000"/>
                <w:sz w:val="20"/>
                <w:szCs w:val="20"/>
                <w:lang w:eastAsia="ru-RU"/>
              </w:rPr>
            </w:pPr>
            <w:r w:rsidRPr="003D1AAE">
              <w:rPr>
                <w:rFonts w:ascii="Arial" w:hAnsi="Arial" w:cs="Arial"/>
                <w:sz w:val="20"/>
                <w:szCs w:val="20"/>
              </w:rPr>
              <w:t xml:space="preserve"> </w:t>
            </w:r>
            <w:r w:rsidR="00DB5AAE" w:rsidRPr="000D120B">
              <w:rPr>
                <w:rFonts w:ascii="Arial" w:hAnsi="Arial" w:cs="Arial"/>
                <w:sz w:val="20"/>
                <w:szCs w:val="20"/>
              </w:rPr>
              <w:t>2,872</w:t>
            </w:r>
          </w:p>
        </w:tc>
        <w:tc>
          <w:tcPr>
            <w:tcW w:w="415" w:type="pct"/>
            <w:shd w:val="clear" w:color="auto" w:fill="auto"/>
            <w:noWrap/>
            <w:vAlign w:val="center"/>
          </w:tcPr>
          <w:p w14:paraId="5521FAF0" w14:textId="1478E852" w:rsidR="008E3D95" w:rsidRPr="003D1AAE" w:rsidRDefault="008E3D95" w:rsidP="00A42142">
            <w:pPr>
              <w:spacing w:after="0" w:line="240" w:lineRule="auto"/>
              <w:jc w:val="right"/>
              <w:rPr>
                <w:rFonts w:ascii="Arial" w:eastAsia="Times New Roman" w:hAnsi="Arial" w:cs="Arial"/>
                <w:color w:val="000000"/>
                <w:sz w:val="20"/>
                <w:szCs w:val="20"/>
                <w:lang w:eastAsia="ru-RU"/>
              </w:rPr>
            </w:pPr>
            <w:r w:rsidRPr="003D1AAE">
              <w:rPr>
                <w:rFonts w:ascii="Arial" w:hAnsi="Arial" w:cs="Arial"/>
                <w:sz w:val="20"/>
                <w:szCs w:val="20"/>
              </w:rPr>
              <w:t xml:space="preserve"> </w:t>
            </w:r>
            <w:r w:rsidR="00DB5AAE" w:rsidRPr="000D120B">
              <w:rPr>
                <w:rFonts w:ascii="Arial" w:hAnsi="Arial" w:cs="Arial"/>
                <w:sz w:val="20"/>
                <w:szCs w:val="20"/>
              </w:rPr>
              <w:t>8,507</w:t>
            </w:r>
          </w:p>
        </w:tc>
        <w:tc>
          <w:tcPr>
            <w:tcW w:w="422" w:type="pct"/>
            <w:shd w:val="clear" w:color="auto" w:fill="auto"/>
            <w:noWrap/>
            <w:vAlign w:val="center"/>
          </w:tcPr>
          <w:p w14:paraId="13A4BA42" w14:textId="2AE61CD5" w:rsidR="008E3D95" w:rsidRPr="003D1AAE" w:rsidRDefault="00DB5AAE" w:rsidP="00A42142">
            <w:pPr>
              <w:spacing w:after="0" w:line="240" w:lineRule="auto"/>
              <w:jc w:val="right"/>
              <w:rPr>
                <w:rFonts w:ascii="Arial" w:hAnsi="Arial" w:cs="Arial"/>
                <w:sz w:val="20"/>
                <w:szCs w:val="20"/>
              </w:rPr>
            </w:pPr>
            <w:r w:rsidRPr="000D120B">
              <w:rPr>
                <w:rFonts w:ascii="Arial" w:hAnsi="Arial" w:cs="Arial"/>
                <w:sz w:val="20"/>
                <w:szCs w:val="20"/>
              </w:rPr>
              <w:t>-66%</w:t>
            </w:r>
          </w:p>
        </w:tc>
        <w:tc>
          <w:tcPr>
            <w:tcW w:w="410" w:type="pct"/>
            <w:vAlign w:val="center"/>
          </w:tcPr>
          <w:p w14:paraId="318A2D20" w14:textId="5439E573" w:rsidR="008E3D95" w:rsidRPr="003D1AAE" w:rsidRDefault="008E3D95" w:rsidP="00A42142">
            <w:pPr>
              <w:spacing w:after="0" w:line="240" w:lineRule="auto"/>
              <w:jc w:val="right"/>
              <w:rPr>
                <w:rFonts w:ascii="Arial" w:hAnsi="Arial" w:cs="Arial"/>
                <w:i/>
                <w:iCs/>
                <w:color w:val="000000" w:themeColor="text1"/>
                <w:sz w:val="20"/>
                <w:szCs w:val="20"/>
              </w:rPr>
            </w:pPr>
            <w:r w:rsidRPr="003D1AAE">
              <w:rPr>
                <w:rFonts w:ascii="Arial" w:hAnsi="Arial" w:cs="Arial"/>
                <w:sz w:val="20"/>
                <w:szCs w:val="20"/>
              </w:rPr>
              <w:t xml:space="preserve"> </w:t>
            </w:r>
            <w:r w:rsidR="00DB5AAE" w:rsidRPr="000D120B">
              <w:rPr>
                <w:rFonts w:ascii="Arial" w:hAnsi="Arial" w:cs="Arial"/>
                <w:sz w:val="20"/>
                <w:szCs w:val="20"/>
              </w:rPr>
              <w:t>3,108</w:t>
            </w:r>
          </w:p>
        </w:tc>
        <w:tc>
          <w:tcPr>
            <w:tcW w:w="422" w:type="pct"/>
            <w:vAlign w:val="center"/>
          </w:tcPr>
          <w:p w14:paraId="1CF1F27A" w14:textId="3CD02558" w:rsidR="008E3D95" w:rsidRPr="003D1AAE" w:rsidRDefault="00DB5AAE" w:rsidP="00A42142">
            <w:pPr>
              <w:spacing w:after="0" w:line="240" w:lineRule="auto"/>
              <w:jc w:val="right"/>
              <w:rPr>
                <w:rFonts w:ascii="Arial" w:hAnsi="Arial" w:cs="Arial"/>
                <w:i/>
                <w:iCs/>
                <w:color w:val="000000" w:themeColor="text1"/>
                <w:sz w:val="20"/>
                <w:szCs w:val="20"/>
              </w:rPr>
            </w:pPr>
            <w:r w:rsidRPr="000D120B">
              <w:rPr>
                <w:rFonts w:ascii="Arial" w:hAnsi="Arial" w:cs="Arial"/>
                <w:sz w:val="20"/>
                <w:szCs w:val="20"/>
              </w:rPr>
              <w:t>-8%</w:t>
            </w:r>
          </w:p>
        </w:tc>
        <w:tc>
          <w:tcPr>
            <w:tcW w:w="411" w:type="pct"/>
          </w:tcPr>
          <w:p w14:paraId="08F00199" w14:textId="17FF383D" w:rsidR="008E3D95" w:rsidRPr="003D1AAE" w:rsidRDefault="00DB5AAE" w:rsidP="00A42142">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14,284</w:t>
            </w:r>
          </w:p>
        </w:tc>
        <w:tc>
          <w:tcPr>
            <w:tcW w:w="416" w:type="pct"/>
          </w:tcPr>
          <w:p w14:paraId="7A7A04CC" w14:textId="097B0EE0" w:rsidR="008E3D95" w:rsidRPr="003D1AAE" w:rsidRDefault="00DB5AAE" w:rsidP="00A42142">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33,954</w:t>
            </w:r>
          </w:p>
        </w:tc>
        <w:tc>
          <w:tcPr>
            <w:tcW w:w="422" w:type="pct"/>
          </w:tcPr>
          <w:p w14:paraId="36170B7C" w14:textId="46C4DFF1" w:rsidR="008E3D95" w:rsidRPr="003D1AAE" w:rsidRDefault="00DB5AAE" w:rsidP="00A42142">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-58%</w:t>
            </w:r>
          </w:p>
        </w:tc>
      </w:tr>
      <w:tr w:rsidR="008E3D95" w:rsidRPr="003D1AAE" w14:paraId="13E559A4" w14:textId="77777777" w:rsidTr="008E3D95">
        <w:trPr>
          <w:trHeight w:val="265"/>
        </w:trPr>
        <w:tc>
          <w:tcPr>
            <w:tcW w:w="1560" w:type="pct"/>
            <w:tcBorders>
              <w:bottom w:val="single" w:sz="2" w:space="0" w:color="auto"/>
            </w:tcBorders>
            <w:shd w:val="clear" w:color="auto" w:fill="auto"/>
            <w:noWrap/>
            <w:vAlign w:val="center"/>
            <w:hideMark/>
          </w:tcPr>
          <w:p w14:paraId="4C3C1C24" w14:textId="77777777" w:rsidR="008E3D95" w:rsidRPr="003D1AAE" w:rsidRDefault="008E3D95" w:rsidP="00A42142">
            <w:pPr>
              <w:spacing w:after="0" w:line="240" w:lineRule="auto"/>
              <w:jc w:val="both"/>
              <w:rPr>
                <w:rFonts w:ascii="Arial" w:eastAsia="Times New Roman" w:hAnsi="Arial" w:cs="Arial"/>
                <w:color w:val="000000"/>
                <w:sz w:val="20"/>
                <w:szCs w:val="20"/>
                <w:lang w:val="nl-NL" w:eastAsia="ru-RU"/>
              </w:rPr>
            </w:pPr>
            <w:r w:rsidRPr="003D1AAE">
              <w:rPr>
                <w:rFonts w:ascii="Arial" w:eastAsia="Times New Roman" w:hAnsi="Arial" w:cs="Arial"/>
                <w:color w:val="000000"/>
                <w:sz w:val="20"/>
                <w:szCs w:val="20"/>
                <w:lang w:val="nl-NL" w:eastAsia="ru-RU"/>
              </w:rPr>
              <w:t>Price per 1 kg net VAT, UAH</w:t>
            </w:r>
          </w:p>
        </w:tc>
        <w:tc>
          <w:tcPr>
            <w:tcW w:w="107" w:type="pct"/>
          </w:tcPr>
          <w:p w14:paraId="39107927" w14:textId="77777777" w:rsidR="008E3D95" w:rsidRPr="003D1AAE" w:rsidRDefault="008E3D95" w:rsidP="00A42142">
            <w:pPr>
              <w:spacing w:after="0" w:line="240" w:lineRule="auto"/>
              <w:jc w:val="right"/>
              <w:rPr>
                <w:rFonts w:ascii="Arial" w:eastAsia="Times New Roman" w:hAnsi="Arial" w:cs="Arial"/>
                <w:color w:val="000000"/>
                <w:sz w:val="20"/>
                <w:szCs w:val="20"/>
                <w:lang w:val="nl-NL" w:eastAsia="ru-RU"/>
              </w:rPr>
            </w:pPr>
          </w:p>
        </w:tc>
        <w:tc>
          <w:tcPr>
            <w:tcW w:w="415" w:type="pct"/>
            <w:tcBorders>
              <w:bottom w:val="single" w:sz="2" w:space="0" w:color="auto"/>
            </w:tcBorders>
            <w:shd w:val="clear" w:color="auto" w:fill="auto"/>
            <w:vAlign w:val="center"/>
          </w:tcPr>
          <w:p w14:paraId="4804B279" w14:textId="64730982" w:rsidR="008E3D95" w:rsidRPr="003D1AAE" w:rsidRDefault="00DB5AAE" w:rsidP="00A42142">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123.68</w:t>
            </w:r>
          </w:p>
        </w:tc>
        <w:tc>
          <w:tcPr>
            <w:tcW w:w="415" w:type="pct"/>
            <w:tcBorders>
              <w:bottom w:val="single" w:sz="2" w:space="0" w:color="auto"/>
            </w:tcBorders>
            <w:shd w:val="clear" w:color="auto" w:fill="auto"/>
            <w:noWrap/>
            <w:vAlign w:val="center"/>
          </w:tcPr>
          <w:p w14:paraId="773F959C" w14:textId="7333EE08" w:rsidR="008E3D95" w:rsidRPr="003D1AAE" w:rsidRDefault="00DB5AAE" w:rsidP="00A42142">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88.29</w:t>
            </w:r>
          </w:p>
        </w:tc>
        <w:tc>
          <w:tcPr>
            <w:tcW w:w="422" w:type="pct"/>
            <w:tcBorders>
              <w:bottom w:val="single" w:sz="2" w:space="0" w:color="auto"/>
            </w:tcBorders>
            <w:shd w:val="clear" w:color="auto" w:fill="auto"/>
            <w:noWrap/>
            <w:vAlign w:val="center"/>
          </w:tcPr>
          <w:p w14:paraId="5D5B70B7" w14:textId="4F181E94" w:rsidR="008E3D95" w:rsidRPr="003D1AAE" w:rsidRDefault="00DB5AAE" w:rsidP="00A42142">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40%</w:t>
            </w:r>
          </w:p>
        </w:tc>
        <w:tc>
          <w:tcPr>
            <w:tcW w:w="410" w:type="pct"/>
            <w:tcBorders>
              <w:bottom w:val="single" w:sz="2" w:space="0" w:color="auto"/>
            </w:tcBorders>
            <w:vAlign w:val="center"/>
          </w:tcPr>
          <w:p w14:paraId="17FFFDD1" w14:textId="543438DF" w:rsidR="008E3D95" w:rsidRPr="003D1AAE" w:rsidRDefault="00DB5AAE" w:rsidP="00A42142">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106.27</w:t>
            </w:r>
          </w:p>
        </w:tc>
        <w:tc>
          <w:tcPr>
            <w:tcW w:w="422" w:type="pct"/>
            <w:tcBorders>
              <w:bottom w:val="single" w:sz="2" w:space="0" w:color="auto"/>
            </w:tcBorders>
            <w:vAlign w:val="center"/>
          </w:tcPr>
          <w:p w14:paraId="52B8EC87" w14:textId="0A1DB826" w:rsidR="008E3D95" w:rsidRPr="003D1AAE" w:rsidRDefault="00DB5AAE" w:rsidP="00A42142">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16%</w:t>
            </w:r>
          </w:p>
        </w:tc>
        <w:tc>
          <w:tcPr>
            <w:tcW w:w="411" w:type="pct"/>
            <w:tcBorders>
              <w:bottom w:val="single" w:sz="2" w:space="0" w:color="auto"/>
            </w:tcBorders>
          </w:tcPr>
          <w:p w14:paraId="1B56DA53" w14:textId="327B0F9D" w:rsidR="008E3D95" w:rsidRPr="003D1AAE" w:rsidRDefault="00DB5AAE" w:rsidP="00A42142">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99.06</w:t>
            </w:r>
          </w:p>
        </w:tc>
        <w:tc>
          <w:tcPr>
            <w:tcW w:w="416" w:type="pct"/>
            <w:tcBorders>
              <w:bottom w:val="single" w:sz="2" w:space="0" w:color="auto"/>
            </w:tcBorders>
          </w:tcPr>
          <w:p w14:paraId="6E026F7A" w14:textId="5F4F7293" w:rsidR="008E3D95" w:rsidRPr="003D1AAE" w:rsidRDefault="00DB5AAE" w:rsidP="00A42142">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82.20</w:t>
            </w:r>
          </w:p>
        </w:tc>
        <w:tc>
          <w:tcPr>
            <w:tcW w:w="422" w:type="pct"/>
            <w:tcBorders>
              <w:bottom w:val="single" w:sz="2" w:space="0" w:color="auto"/>
            </w:tcBorders>
          </w:tcPr>
          <w:p w14:paraId="6E7B868A" w14:textId="1F5974D8" w:rsidR="008E3D95" w:rsidRPr="003D1AAE" w:rsidRDefault="00DB5AAE" w:rsidP="00A42142">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21%</w:t>
            </w:r>
          </w:p>
        </w:tc>
      </w:tr>
    </w:tbl>
    <w:p w14:paraId="440A636C" w14:textId="0E141FA8" w:rsidR="00E77706" w:rsidRPr="00874D0D" w:rsidRDefault="00566618" w:rsidP="001B1F7D">
      <w:pPr>
        <w:spacing w:before="240" w:after="120"/>
        <w:jc w:val="both"/>
        <w:rPr>
          <w:rFonts w:ascii="Arial" w:hAnsi="Arial" w:cs="Arial"/>
          <w:color w:val="000000" w:themeColor="text1"/>
          <w:sz w:val="20"/>
          <w:szCs w:val="20"/>
        </w:rPr>
      </w:pPr>
      <w:r w:rsidRPr="00874D0D">
        <w:rPr>
          <w:rFonts w:ascii="Arial" w:hAnsi="Arial" w:cs="Arial"/>
          <w:color w:val="000000" w:themeColor="text1"/>
          <w:sz w:val="20"/>
          <w:szCs w:val="20"/>
        </w:rPr>
        <w:t>Sales volume</w:t>
      </w:r>
      <w:r w:rsidR="003D6FDE">
        <w:rPr>
          <w:rFonts w:ascii="Arial" w:hAnsi="Arial" w:cs="Arial"/>
          <w:color w:val="000000" w:themeColor="text1"/>
          <w:sz w:val="20"/>
          <w:szCs w:val="20"/>
        </w:rPr>
        <w:t>s</w:t>
      </w:r>
      <w:r w:rsidRPr="00874D0D">
        <w:rPr>
          <w:rFonts w:ascii="Arial" w:hAnsi="Arial" w:cs="Arial"/>
          <w:color w:val="000000" w:themeColor="text1"/>
          <w:sz w:val="20"/>
          <w:szCs w:val="20"/>
        </w:rPr>
        <w:t xml:space="preserve"> of meat processing products </w:t>
      </w:r>
      <w:r w:rsidR="00812C92" w:rsidRPr="00874D0D">
        <w:rPr>
          <w:rFonts w:ascii="Arial" w:hAnsi="Arial" w:cs="Arial"/>
          <w:color w:val="000000" w:themeColor="text1"/>
          <w:sz w:val="20"/>
          <w:szCs w:val="20"/>
        </w:rPr>
        <w:t>de</w:t>
      </w:r>
      <w:r w:rsidR="008B1D3B" w:rsidRPr="00874D0D">
        <w:rPr>
          <w:rFonts w:ascii="Arial" w:hAnsi="Arial" w:cs="Arial"/>
          <w:color w:val="000000" w:themeColor="text1"/>
          <w:sz w:val="20"/>
          <w:szCs w:val="20"/>
        </w:rPr>
        <w:t>creased</w:t>
      </w:r>
      <w:r w:rsidR="00481251" w:rsidRPr="00874D0D">
        <w:rPr>
          <w:rFonts w:ascii="Arial" w:hAnsi="Arial" w:cs="Arial"/>
          <w:color w:val="000000" w:themeColor="text1"/>
          <w:sz w:val="20"/>
          <w:szCs w:val="20"/>
        </w:rPr>
        <w:t xml:space="preserve"> </w:t>
      </w:r>
      <w:r w:rsidRPr="00874D0D">
        <w:rPr>
          <w:rFonts w:ascii="Arial" w:hAnsi="Arial" w:cs="Arial"/>
          <w:color w:val="000000" w:themeColor="text1"/>
          <w:sz w:val="20"/>
          <w:szCs w:val="20"/>
        </w:rPr>
        <w:t>by</w:t>
      </w:r>
      <w:r w:rsidR="007E4DE6" w:rsidRPr="00874D0D">
        <w:rPr>
          <w:rFonts w:ascii="Arial" w:hAnsi="Arial" w:cs="Arial"/>
          <w:color w:val="000000" w:themeColor="text1"/>
          <w:sz w:val="20"/>
          <w:szCs w:val="20"/>
        </w:rPr>
        <w:t xml:space="preserve"> </w:t>
      </w:r>
      <w:r w:rsidR="00DB5AAE" w:rsidRPr="000D120B">
        <w:rPr>
          <w:rFonts w:ascii="Arial" w:hAnsi="Arial" w:cs="Arial"/>
          <w:sz w:val="20"/>
          <w:szCs w:val="20"/>
        </w:rPr>
        <w:t>58%</w:t>
      </w:r>
      <w:r w:rsidR="007E4DE6" w:rsidRPr="00874D0D">
        <w:rPr>
          <w:rFonts w:ascii="Arial" w:hAnsi="Arial" w:cs="Arial"/>
          <w:color w:val="000000" w:themeColor="text1"/>
          <w:sz w:val="20"/>
          <w:szCs w:val="20"/>
        </w:rPr>
        <w:t xml:space="preserve"> </w:t>
      </w:r>
      <w:r w:rsidR="00B11DCF" w:rsidRPr="00874D0D">
        <w:rPr>
          <w:rFonts w:ascii="Arial" w:hAnsi="Arial" w:cs="Arial"/>
          <w:color w:val="000000" w:themeColor="text1"/>
          <w:sz w:val="20"/>
          <w:szCs w:val="20"/>
        </w:rPr>
        <w:t>y/y</w:t>
      </w:r>
      <w:r w:rsidRPr="00874D0D">
        <w:rPr>
          <w:rFonts w:ascii="Arial" w:hAnsi="Arial" w:cs="Arial"/>
          <w:color w:val="000000" w:themeColor="text1"/>
          <w:sz w:val="20"/>
          <w:szCs w:val="20"/>
        </w:rPr>
        <w:t xml:space="preserve"> to</w:t>
      </w:r>
      <w:r w:rsidR="00E92309" w:rsidRPr="00874D0D">
        <w:rPr>
          <w:rFonts w:ascii="Arial" w:hAnsi="Arial" w:cs="Arial"/>
          <w:sz w:val="20"/>
          <w:szCs w:val="20"/>
        </w:rPr>
        <w:t xml:space="preserve"> </w:t>
      </w:r>
      <w:r w:rsidR="00DB5AAE" w:rsidRPr="000D120B">
        <w:rPr>
          <w:rFonts w:ascii="Arial" w:hAnsi="Arial" w:cs="Arial"/>
          <w:sz w:val="20"/>
          <w:szCs w:val="20"/>
        </w:rPr>
        <w:t>14,284</w:t>
      </w:r>
      <w:r w:rsidR="007E4DE6" w:rsidRPr="00874D0D">
        <w:rPr>
          <w:rFonts w:ascii="Arial" w:hAnsi="Arial" w:cs="Arial"/>
          <w:color w:val="000000" w:themeColor="text1"/>
          <w:sz w:val="20"/>
          <w:szCs w:val="20"/>
        </w:rPr>
        <w:t xml:space="preserve"> </w:t>
      </w:r>
      <w:proofErr w:type="spellStart"/>
      <w:r w:rsidRPr="00874D0D">
        <w:rPr>
          <w:rFonts w:ascii="Arial" w:hAnsi="Arial" w:cs="Arial"/>
          <w:color w:val="000000" w:themeColor="text1"/>
          <w:sz w:val="20"/>
          <w:szCs w:val="20"/>
        </w:rPr>
        <w:t>tonnes</w:t>
      </w:r>
      <w:proofErr w:type="spellEnd"/>
      <w:r w:rsidRPr="00874D0D">
        <w:rPr>
          <w:rFonts w:ascii="Arial" w:hAnsi="Arial" w:cs="Arial"/>
          <w:color w:val="000000" w:themeColor="text1"/>
          <w:sz w:val="20"/>
          <w:szCs w:val="20"/>
        </w:rPr>
        <w:t xml:space="preserve"> in </w:t>
      </w:r>
      <w:r w:rsidR="00D2118D" w:rsidRPr="00874D0D">
        <w:rPr>
          <w:rFonts w:ascii="Arial" w:hAnsi="Arial" w:cs="Arial"/>
          <w:color w:val="000000" w:themeColor="text1"/>
          <w:sz w:val="20"/>
          <w:szCs w:val="20"/>
        </w:rPr>
        <w:t>12</w:t>
      </w:r>
      <w:r w:rsidR="002B658D" w:rsidRPr="00874D0D">
        <w:rPr>
          <w:rFonts w:ascii="Arial" w:hAnsi="Arial" w:cs="Arial"/>
          <w:color w:val="000000" w:themeColor="text1"/>
          <w:sz w:val="20"/>
          <w:szCs w:val="20"/>
        </w:rPr>
        <w:t>M</w:t>
      </w:r>
      <w:r w:rsidR="007E4DE6" w:rsidRPr="00874D0D">
        <w:rPr>
          <w:rFonts w:ascii="Arial" w:hAnsi="Arial" w:cs="Arial"/>
          <w:color w:val="000000" w:themeColor="text1"/>
          <w:sz w:val="20"/>
          <w:szCs w:val="20"/>
        </w:rPr>
        <w:t> </w:t>
      </w:r>
      <w:r w:rsidR="00E22622" w:rsidRPr="00874D0D">
        <w:rPr>
          <w:rFonts w:ascii="Arial" w:hAnsi="Arial" w:cs="Arial"/>
          <w:color w:val="000000" w:themeColor="text1"/>
          <w:sz w:val="20"/>
          <w:szCs w:val="20"/>
        </w:rPr>
        <w:t>2022</w:t>
      </w:r>
      <w:r w:rsidR="003D6FDE">
        <w:rPr>
          <w:rFonts w:ascii="Arial" w:hAnsi="Arial" w:cs="Arial"/>
          <w:color w:val="000000" w:themeColor="text1"/>
          <w:sz w:val="20"/>
          <w:szCs w:val="20"/>
        </w:rPr>
        <w:t xml:space="preserve"> (</w:t>
      </w:r>
      <w:r w:rsidR="003D6FDE" w:rsidRPr="003D6FDE">
        <w:rPr>
          <w:rFonts w:ascii="Arial" w:hAnsi="Arial" w:cs="Arial"/>
          <w:color w:val="000000" w:themeColor="text1"/>
          <w:sz w:val="20"/>
          <w:szCs w:val="20"/>
        </w:rPr>
        <w:t>12M</w:t>
      </w:r>
      <w:r w:rsidR="00AF118E">
        <w:rPr>
          <w:rFonts w:ascii="Arial" w:hAnsi="Arial" w:cs="Arial"/>
          <w:color w:val="000000" w:themeColor="text1"/>
          <w:sz w:val="20"/>
          <w:szCs w:val="20"/>
        </w:rPr>
        <w:t xml:space="preserve"> </w:t>
      </w:r>
      <w:r w:rsidR="003D6FDE" w:rsidRPr="003D6FDE">
        <w:rPr>
          <w:rFonts w:ascii="Arial" w:hAnsi="Arial" w:cs="Arial"/>
          <w:color w:val="000000" w:themeColor="text1"/>
          <w:sz w:val="20"/>
          <w:szCs w:val="20"/>
        </w:rPr>
        <w:t xml:space="preserve">2021: </w:t>
      </w:r>
      <w:r w:rsidR="00DB5AAE" w:rsidRPr="000D120B">
        <w:rPr>
          <w:rFonts w:ascii="Arial" w:hAnsi="Arial" w:cs="Arial"/>
          <w:sz w:val="20"/>
          <w:szCs w:val="20"/>
        </w:rPr>
        <w:t>33,954</w:t>
      </w:r>
      <w:r w:rsidR="00824C72" w:rsidRPr="003D6FDE">
        <w:rPr>
          <w:rFonts w:ascii="Arial" w:hAnsi="Arial" w:cs="Arial"/>
          <w:color w:val="000000" w:themeColor="text1"/>
          <w:sz w:val="20"/>
          <w:szCs w:val="20"/>
        </w:rPr>
        <w:t xml:space="preserve"> </w:t>
      </w:r>
      <w:proofErr w:type="spellStart"/>
      <w:r w:rsidR="003D6FDE" w:rsidRPr="003D6FDE">
        <w:rPr>
          <w:rFonts w:ascii="Arial" w:hAnsi="Arial" w:cs="Arial"/>
          <w:color w:val="000000" w:themeColor="text1"/>
          <w:sz w:val="20"/>
          <w:szCs w:val="20"/>
        </w:rPr>
        <w:t>tonnes</w:t>
      </w:r>
      <w:proofErr w:type="spellEnd"/>
      <w:r w:rsidR="003D6FDE">
        <w:rPr>
          <w:rFonts w:ascii="Arial" w:hAnsi="Arial" w:cs="Arial"/>
          <w:color w:val="000000" w:themeColor="text1"/>
          <w:sz w:val="20"/>
          <w:szCs w:val="20"/>
        </w:rPr>
        <w:t xml:space="preserve">) </w:t>
      </w:r>
      <w:r w:rsidR="00824C72" w:rsidRPr="00874D0D">
        <w:rPr>
          <w:rFonts w:ascii="Arial" w:hAnsi="Arial" w:cs="Arial"/>
          <w:color w:val="000000" w:themeColor="text1"/>
          <w:sz w:val="20"/>
          <w:szCs w:val="20"/>
        </w:rPr>
        <w:t xml:space="preserve">driven by </w:t>
      </w:r>
      <w:r w:rsidR="003D6FDE">
        <w:rPr>
          <w:rFonts w:ascii="Arial" w:hAnsi="Arial" w:cs="Arial"/>
          <w:color w:val="000000" w:themeColor="text1"/>
          <w:sz w:val="20"/>
          <w:szCs w:val="20"/>
        </w:rPr>
        <w:t>W</w:t>
      </w:r>
      <w:r w:rsidR="00824C72" w:rsidRPr="00874D0D">
        <w:rPr>
          <w:rFonts w:ascii="Arial" w:hAnsi="Arial" w:cs="Arial"/>
          <w:color w:val="000000" w:themeColor="text1"/>
          <w:sz w:val="20"/>
          <w:szCs w:val="20"/>
        </w:rPr>
        <w:t>ar-related challenges</w:t>
      </w:r>
      <w:r w:rsidR="000330FD" w:rsidRPr="00874D0D">
        <w:rPr>
          <w:rFonts w:ascii="Arial" w:hAnsi="Arial" w:cs="Arial"/>
          <w:color w:val="000000" w:themeColor="text1"/>
          <w:sz w:val="20"/>
          <w:szCs w:val="20"/>
        </w:rPr>
        <w:t xml:space="preserve"> that resulted in</w:t>
      </w:r>
      <w:r w:rsidR="003D6FDE">
        <w:rPr>
          <w:rFonts w:ascii="Arial" w:hAnsi="Arial" w:cs="Arial"/>
          <w:color w:val="000000" w:themeColor="text1"/>
          <w:sz w:val="20"/>
          <w:szCs w:val="20"/>
        </w:rPr>
        <w:t xml:space="preserve"> the</w:t>
      </w:r>
      <w:r w:rsidR="000330FD" w:rsidRPr="00874D0D">
        <w:rPr>
          <w:rFonts w:ascii="Arial" w:hAnsi="Arial" w:cs="Arial"/>
          <w:color w:val="000000" w:themeColor="text1"/>
          <w:sz w:val="20"/>
          <w:szCs w:val="20"/>
        </w:rPr>
        <w:t xml:space="preserve"> temporary </w:t>
      </w:r>
      <w:r w:rsidR="00B11DCF" w:rsidRPr="00874D0D">
        <w:rPr>
          <w:rFonts w:ascii="Arial" w:hAnsi="Arial" w:cs="Arial"/>
          <w:color w:val="000000" w:themeColor="text1"/>
          <w:sz w:val="20"/>
          <w:szCs w:val="20"/>
        </w:rPr>
        <w:t xml:space="preserve">suspension </w:t>
      </w:r>
      <w:r w:rsidR="000330FD" w:rsidRPr="00874D0D">
        <w:rPr>
          <w:rFonts w:ascii="Arial" w:hAnsi="Arial" w:cs="Arial"/>
          <w:color w:val="000000" w:themeColor="text1"/>
          <w:sz w:val="20"/>
          <w:szCs w:val="20"/>
        </w:rPr>
        <w:t xml:space="preserve">of production facilities </w:t>
      </w:r>
      <w:r w:rsidR="003D6FDE">
        <w:rPr>
          <w:rFonts w:ascii="Arial" w:hAnsi="Arial" w:cs="Arial"/>
          <w:color w:val="000000" w:themeColor="text1"/>
          <w:sz w:val="20"/>
          <w:szCs w:val="20"/>
        </w:rPr>
        <w:t>at</w:t>
      </w:r>
      <w:r w:rsidR="000330FD" w:rsidRPr="00874D0D">
        <w:rPr>
          <w:rFonts w:ascii="Arial" w:hAnsi="Arial" w:cs="Arial"/>
          <w:color w:val="000000" w:themeColor="text1"/>
          <w:sz w:val="20"/>
          <w:szCs w:val="20"/>
        </w:rPr>
        <w:t xml:space="preserve"> “Ukrainian Bacon” in</w:t>
      </w:r>
      <w:r w:rsidR="00B11DCF" w:rsidRPr="00874D0D">
        <w:rPr>
          <w:rFonts w:ascii="Arial" w:hAnsi="Arial" w:cs="Arial"/>
          <w:color w:val="000000" w:themeColor="text1"/>
          <w:sz w:val="20"/>
          <w:szCs w:val="20"/>
        </w:rPr>
        <w:t xml:space="preserve"> the</w:t>
      </w:r>
      <w:r w:rsidR="000330FD" w:rsidRPr="00874D0D">
        <w:rPr>
          <w:rFonts w:ascii="Arial" w:hAnsi="Arial" w:cs="Arial"/>
          <w:color w:val="000000" w:themeColor="text1"/>
          <w:sz w:val="20"/>
          <w:szCs w:val="20"/>
        </w:rPr>
        <w:t xml:space="preserve"> Donetsk region and</w:t>
      </w:r>
      <w:r w:rsidR="003D6FDE">
        <w:rPr>
          <w:rFonts w:ascii="Arial" w:hAnsi="Arial" w:cs="Arial"/>
          <w:color w:val="000000" w:themeColor="text1"/>
          <w:sz w:val="20"/>
          <w:szCs w:val="20"/>
        </w:rPr>
        <w:t xml:space="preserve"> the</w:t>
      </w:r>
      <w:r w:rsidR="000330FD" w:rsidRPr="00874D0D">
        <w:rPr>
          <w:rFonts w:ascii="Arial" w:hAnsi="Arial" w:cs="Arial"/>
          <w:color w:val="000000" w:themeColor="text1"/>
          <w:sz w:val="20"/>
          <w:szCs w:val="20"/>
        </w:rPr>
        <w:t xml:space="preserve"> subsequent partial redeployment of its operations </w:t>
      </w:r>
      <w:r w:rsidR="003D6FDE">
        <w:rPr>
          <w:rFonts w:ascii="Arial" w:hAnsi="Arial" w:cs="Arial"/>
          <w:color w:val="000000" w:themeColor="text1"/>
          <w:sz w:val="20"/>
          <w:szCs w:val="20"/>
        </w:rPr>
        <w:t>to</w:t>
      </w:r>
      <w:r w:rsidR="003D6FDE" w:rsidRPr="00874D0D">
        <w:rPr>
          <w:rFonts w:ascii="Arial" w:hAnsi="Arial" w:cs="Arial"/>
          <w:color w:val="000000" w:themeColor="text1"/>
          <w:sz w:val="20"/>
          <w:szCs w:val="20"/>
        </w:rPr>
        <w:t xml:space="preserve"> </w:t>
      </w:r>
      <w:r w:rsidR="000330FD" w:rsidRPr="00874D0D">
        <w:rPr>
          <w:rFonts w:ascii="Arial" w:hAnsi="Arial" w:cs="Arial"/>
          <w:color w:val="000000" w:themeColor="text1"/>
          <w:sz w:val="20"/>
          <w:szCs w:val="20"/>
        </w:rPr>
        <w:t>Central Ukraine.</w:t>
      </w:r>
      <w:r w:rsidR="008778CF" w:rsidRPr="00874D0D">
        <w:rPr>
          <w:rFonts w:ascii="Arial" w:hAnsi="Arial" w:cs="Arial"/>
          <w:color w:val="000000" w:themeColor="text1"/>
          <w:sz w:val="20"/>
          <w:szCs w:val="20"/>
        </w:rPr>
        <w:t xml:space="preserve"> </w:t>
      </w:r>
      <w:r w:rsidR="00A32492" w:rsidRPr="00874D0D">
        <w:rPr>
          <w:rFonts w:ascii="Arial" w:hAnsi="Arial" w:cs="Arial"/>
          <w:color w:val="000000" w:themeColor="text1"/>
          <w:sz w:val="20"/>
          <w:szCs w:val="20"/>
        </w:rPr>
        <w:t xml:space="preserve">The average price </w:t>
      </w:r>
      <w:r w:rsidR="00471498" w:rsidRPr="00874D0D">
        <w:rPr>
          <w:rFonts w:ascii="Arial" w:hAnsi="Arial" w:cs="Arial"/>
          <w:color w:val="000000" w:themeColor="text1"/>
          <w:sz w:val="20"/>
          <w:szCs w:val="20"/>
        </w:rPr>
        <w:t>in</w:t>
      </w:r>
      <w:r w:rsidR="00A32492" w:rsidRPr="00874D0D">
        <w:rPr>
          <w:rFonts w:ascii="Arial" w:hAnsi="Arial" w:cs="Arial"/>
          <w:color w:val="000000" w:themeColor="text1"/>
          <w:sz w:val="20"/>
          <w:szCs w:val="20"/>
        </w:rPr>
        <w:t xml:space="preserve">creased by </w:t>
      </w:r>
      <w:r w:rsidR="00DB5AAE" w:rsidRPr="000D120B">
        <w:rPr>
          <w:rFonts w:ascii="Arial" w:hAnsi="Arial" w:cs="Arial"/>
          <w:sz w:val="20"/>
          <w:szCs w:val="20"/>
        </w:rPr>
        <w:t>21%</w:t>
      </w:r>
      <w:r w:rsidR="00E577B5" w:rsidRPr="00874D0D">
        <w:rPr>
          <w:rFonts w:ascii="Arial" w:hAnsi="Arial" w:cs="Arial"/>
          <w:color w:val="000000" w:themeColor="text1"/>
          <w:sz w:val="20"/>
          <w:szCs w:val="20"/>
        </w:rPr>
        <w:t xml:space="preserve"> </w:t>
      </w:r>
      <w:r w:rsidR="00B11DCF" w:rsidRPr="00874D0D">
        <w:rPr>
          <w:rFonts w:ascii="Arial" w:hAnsi="Arial" w:cs="Arial"/>
          <w:color w:val="000000" w:themeColor="text1"/>
          <w:sz w:val="20"/>
          <w:szCs w:val="20"/>
        </w:rPr>
        <w:t>y/y</w:t>
      </w:r>
      <w:r w:rsidR="00A32492" w:rsidRPr="00874D0D">
        <w:rPr>
          <w:rFonts w:ascii="Arial" w:hAnsi="Arial" w:cs="Arial"/>
          <w:color w:val="000000" w:themeColor="text1"/>
          <w:sz w:val="20"/>
          <w:szCs w:val="20"/>
        </w:rPr>
        <w:t xml:space="preserve"> to</w:t>
      </w:r>
      <w:r w:rsidR="008F649E" w:rsidRPr="00874D0D">
        <w:rPr>
          <w:rFonts w:ascii="Arial" w:hAnsi="Arial" w:cs="Arial"/>
          <w:color w:val="000000" w:themeColor="text1"/>
          <w:sz w:val="20"/>
          <w:szCs w:val="20"/>
        </w:rPr>
        <w:t xml:space="preserve"> UAH </w:t>
      </w:r>
      <w:r w:rsidR="00DB5AAE" w:rsidRPr="000D120B">
        <w:rPr>
          <w:rFonts w:ascii="Arial" w:hAnsi="Arial" w:cs="Arial"/>
          <w:sz w:val="20"/>
          <w:szCs w:val="20"/>
        </w:rPr>
        <w:t>99.06</w:t>
      </w:r>
      <w:r w:rsidR="00DE771E" w:rsidRPr="00874D0D">
        <w:rPr>
          <w:rFonts w:ascii="Arial" w:hAnsi="Arial" w:cs="Arial"/>
          <w:color w:val="000000" w:themeColor="text1"/>
          <w:sz w:val="20"/>
          <w:szCs w:val="20"/>
        </w:rPr>
        <w:t xml:space="preserve"> </w:t>
      </w:r>
      <w:r w:rsidR="00A32492" w:rsidRPr="00874D0D">
        <w:rPr>
          <w:rFonts w:ascii="Arial" w:hAnsi="Arial" w:cs="Arial"/>
          <w:color w:val="000000" w:themeColor="text1"/>
          <w:sz w:val="20"/>
          <w:szCs w:val="20"/>
        </w:rPr>
        <w:t xml:space="preserve">per kg in </w:t>
      </w:r>
      <w:r w:rsidR="00D2118D" w:rsidRPr="00874D0D">
        <w:rPr>
          <w:rFonts w:ascii="Arial" w:hAnsi="Arial" w:cs="Arial"/>
          <w:color w:val="000000" w:themeColor="text1"/>
          <w:sz w:val="20"/>
          <w:szCs w:val="20"/>
        </w:rPr>
        <w:t>12</w:t>
      </w:r>
      <w:r w:rsidR="002B658D" w:rsidRPr="00874D0D">
        <w:rPr>
          <w:rFonts w:ascii="Arial" w:hAnsi="Arial" w:cs="Arial"/>
          <w:color w:val="000000" w:themeColor="text1"/>
          <w:sz w:val="20"/>
          <w:szCs w:val="20"/>
        </w:rPr>
        <w:t>M</w:t>
      </w:r>
      <w:r w:rsidR="008B1D3B" w:rsidRPr="00874D0D">
        <w:rPr>
          <w:rFonts w:ascii="Arial" w:hAnsi="Arial" w:cs="Arial"/>
          <w:color w:val="000000" w:themeColor="text1"/>
          <w:sz w:val="20"/>
          <w:szCs w:val="20"/>
        </w:rPr>
        <w:t xml:space="preserve"> </w:t>
      </w:r>
      <w:r w:rsidR="00E22622" w:rsidRPr="00874D0D">
        <w:rPr>
          <w:rFonts w:ascii="Arial" w:hAnsi="Arial" w:cs="Arial"/>
          <w:color w:val="000000" w:themeColor="text1"/>
          <w:sz w:val="20"/>
          <w:szCs w:val="20"/>
        </w:rPr>
        <w:t>2022</w:t>
      </w:r>
      <w:r w:rsidR="008745B3" w:rsidRPr="003D6FDE">
        <w:rPr>
          <w:rFonts w:ascii="Arial" w:hAnsi="Arial" w:cs="Arial"/>
          <w:color w:val="000000" w:themeColor="text1"/>
          <w:sz w:val="20"/>
          <w:szCs w:val="20"/>
        </w:rPr>
        <w:t xml:space="preserve">, </w:t>
      </w:r>
      <w:r w:rsidR="00987BF1" w:rsidRPr="004343DD">
        <w:rPr>
          <w:rFonts w:ascii="Arial" w:hAnsi="Arial" w:cs="Arial"/>
          <w:color w:val="000000" w:themeColor="text1"/>
          <w:sz w:val="20"/>
          <w:szCs w:val="20"/>
        </w:rPr>
        <w:t xml:space="preserve">driven mainly by an increase in </w:t>
      </w:r>
      <w:r w:rsidR="00C66EF6" w:rsidRPr="00C66EF6">
        <w:rPr>
          <w:rFonts w:ascii="Arial" w:hAnsi="Arial" w:cs="Arial"/>
          <w:color w:val="000000" w:themeColor="text1"/>
          <w:sz w:val="20"/>
          <w:szCs w:val="20"/>
        </w:rPr>
        <w:t>raw material prices (spices, packaging and other components)</w:t>
      </w:r>
      <w:r w:rsidR="00A32492" w:rsidRPr="00874D0D">
        <w:rPr>
          <w:rFonts w:ascii="Arial" w:hAnsi="Arial" w:cs="Arial"/>
          <w:color w:val="000000" w:themeColor="text1"/>
          <w:sz w:val="20"/>
          <w:szCs w:val="20"/>
        </w:rPr>
        <w:t>.</w:t>
      </w:r>
    </w:p>
    <w:tbl>
      <w:tblPr>
        <w:tblW w:w="5000" w:type="pct"/>
        <w:tblLook w:val="04A0" w:firstRow="1" w:lastRow="0" w:firstColumn="1" w:lastColumn="0" w:noHBand="0" w:noVBand="1"/>
      </w:tblPr>
      <w:tblGrid>
        <w:gridCol w:w="3226"/>
        <w:gridCol w:w="222"/>
        <w:gridCol w:w="859"/>
        <w:gridCol w:w="859"/>
        <w:gridCol w:w="873"/>
        <w:gridCol w:w="849"/>
        <w:gridCol w:w="873"/>
        <w:gridCol w:w="851"/>
        <w:gridCol w:w="862"/>
        <w:gridCol w:w="873"/>
      </w:tblGrid>
      <w:tr w:rsidR="00E77274" w:rsidRPr="00EB0E56" w14:paraId="0958269E" w14:textId="4A44AB54" w:rsidTr="00E77274">
        <w:trPr>
          <w:trHeight w:val="231"/>
        </w:trPr>
        <w:tc>
          <w:tcPr>
            <w:tcW w:w="1560" w:type="pct"/>
            <w:tcBorders>
              <w:top w:val="single" w:sz="12" w:space="0" w:color="auto"/>
              <w:bottom w:val="single" w:sz="12" w:space="0" w:color="auto"/>
            </w:tcBorders>
            <w:shd w:val="clear" w:color="auto" w:fill="auto"/>
            <w:noWrap/>
            <w:vAlign w:val="center"/>
            <w:hideMark/>
          </w:tcPr>
          <w:p w14:paraId="6933B75C" w14:textId="030EA95D" w:rsidR="00E77274" w:rsidRPr="00EB0E56" w:rsidRDefault="00E77274" w:rsidP="00E77274">
            <w:pPr>
              <w:spacing w:after="0" w:line="240" w:lineRule="auto"/>
              <w:jc w:val="both"/>
              <w:rPr>
                <w:rFonts w:ascii="Arial" w:eastAsia="Times New Roman" w:hAnsi="Arial" w:cs="Arial"/>
                <w:b/>
                <w:bCs/>
                <w:color w:val="000000"/>
                <w:sz w:val="20"/>
                <w:szCs w:val="20"/>
                <w:lang w:eastAsia="ru-RU"/>
              </w:rPr>
            </w:pPr>
            <w:r w:rsidRPr="00EB0E56">
              <w:rPr>
                <w:rFonts w:ascii="Arial" w:hAnsi="Arial" w:cs="Arial"/>
                <w:b/>
                <w:color w:val="000000" w:themeColor="text1"/>
                <w:sz w:val="20"/>
                <w:szCs w:val="20"/>
                <w:lang w:val="nl-NL"/>
              </w:rPr>
              <w:t>Convenience food</w:t>
            </w:r>
          </w:p>
        </w:tc>
        <w:tc>
          <w:tcPr>
            <w:tcW w:w="107" w:type="pct"/>
          </w:tcPr>
          <w:p w14:paraId="000E398A" w14:textId="77777777" w:rsidR="00E77274" w:rsidRPr="00EB0E56" w:rsidRDefault="00E77274" w:rsidP="00E77274">
            <w:pPr>
              <w:spacing w:after="0" w:line="240" w:lineRule="auto"/>
              <w:jc w:val="right"/>
              <w:rPr>
                <w:rFonts w:ascii="Arial" w:eastAsia="Times New Roman" w:hAnsi="Arial" w:cs="Arial"/>
                <w:b/>
                <w:bCs/>
                <w:color w:val="000000"/>
                <w:sz w:val="20"/>
                <w:szCs w:val="20"/>
                <w:lang w:eastAsia="ru-RU"/>
              </w:rPr>
            </w:pPr>
          </w:p>
        </w:tc>
        <w:tc>
          <w:tcPr>
            <w:tcW w:w="416" w:type="pct"/>
            <w:tcBorders>
              <w:top w:val="single" w:sz="12" w:space="0" w:color="auto"/>
              <w:bottom w:val="single" w:sz="12" w:space="0" w:color="auto"/>
            </w:tcBorders>
            <w:shd w:val="clear" w:color="auto" w:fill="auto"/>
            <w:vAlign w:val="center"/>
            <w:hideMark/>
          </w:tcPr>
          <w:p w14:paraId="3CC212F0" w14:textId="0DC781B7" w:rsidR="00E77274" w:rsidRPr="00EB0E56" w:rsidRDefault="00E77274" w:rsidP="00E77274">
            <w:pPr>
              <w:spacing w:after="0" w:line="240" w:lineRule="auto"/>
              <w:jc w:val="right"/>
              <w:rPr>
                <w:rFonts w:ascii="Arial" w:eastAsia="Times New Roman" w:hAnsi="Arial" w:cs="Arial"/>
                <w:b/>
                <w:bCs/>
                <w:color w:val="000000"/>
                <w:sz w:val="20"/>
                <w:szCs w:val="20"/>
                <w:lang w:eastAsia="ru-RU"/>
              </w:rPr>
            </w:pPr>
            <w:r w:rsidRPr="00EB0E56">
              <w:rPr>
                <w:rFonts w:ascii="Arial" w:eastAsia="Times New Roman" w:hAnsi="Arial" w:cs="Arial"/>
                <w:b/>
                <w:bCs/>
                <w:color w:val="000000"/>
                <w:sz w:val="20"/>
                <w:szCs w:val="20"/>
                <w:lang w:eastAsia="ru-RU"/>
              </w:rPr>
              <w:t>Q</w:t>
            </w:r>
            <w:r w:rsidR="00D2118D" w:rsidRPr="00EB0E56">
              <w:rPr>
                <w:rFonts w:ascii="Arial" w:eastAsia="Times New Roman" w:hAnsi="Arial" w:cs="Arial"/>
                <w:b/>
                <w:bCs/>
                <w:color w:val="000000"/>
                <w:sz w:val="20"/>
                <w:szCs w:val="20"/>
                <w:lang w:eastAsia="ru-RU"/>
              </w:rPr>
              <w:t>4</w:t>
            </w:r>
            <w:r w:rsidRPr="00EB0E56">
              <w:rPr>
                <w:rFonts w:ascii="Arial" w:eastAsia="Times New Roman" w:hAnsi="Arial" w:cs="Arial"/>
                <w:b/>
                <w:bCs/>
                <w:color w:val="000000"/>
                <w:sz w:val="20"/>
                <w:szCs w:val="20"/>
                <w:lang w:eastAsia="ru-RU"/>
              </w:rPr>
              <w:t xml:space="preserve"> 2022</w:t>
            </w:r>
          </w:p>
        </w:tc>
        <w:tc>
          <w:tcPr>
            <w:tcW w:w="416" w:type="pct"/>
            <w:tcBorders>
              <w:top w:val="single" w:sz="12" w:space="0" w:color="auto"/>
              <w:bottom w:val="single" w:sz="12" w:space="0" w:color="auto"/>
            </w:tcBorders>
            <w:shd w:val="clear" w:color="auto" w:fill="auto"/>
            <w:vAlign w:val="center"/>
            <w:hideMark/>
          </w:tcPr>
          <w:p w14:paraId="7C5D56AE" w14:textId="49AA4461" w:rsidR="00E77274" w:rsidRPr="00EB0E56" w:rsidRDefault="00E77274" w:rsidP="00E77274">
            <w:pPr>
              <w:spacing w:after="0" w:line="240" w:lineRule="auto"/>
              <w:jc w:val="right"/>
              <w:rPr>
                <w:rFonts w:ascii="Arial" w:eastAsia="Times New Roman" w:hAnsi="Arial" w:cs="Arial"/>
                <w:b/>
                <w:bCs/>
                <w:color w:val="000000"/>
                <w:sz w:val="20"/>
                <w:szCs w:val="20"/>
                <w:lang w:eastAsia="ru-RU"/>
              </w:rPr>
            </w:pPr>
            <w:r w:rsidRPr="00EB0E56">
              <w:rPr>
                <w:rFonts w:ascii="Arial" w:eastAsia="Times New Roman" w:hAnsi="Arial" w:cs="Arial"/>
                <w:b/>
                <w:bCs/>
                <w:color w:val="000000"/>
                <w:sz w:val="20"/>
                <w:szCs w:val="20"/>
                <w:lang w:eastAsia="ru-RU"/>
              </w:rPr>
              <w:t>Q</w:t>
            </w:r>
            <w:r w:rsidR="00D2118D" w:rsidRPr="00EB0E56">
              <w:rPr>
                <w:rFonts w:ascii="Arial" w:eastAsia="Times New Roman" w:hAnsi="Arial" w:cs="Arial"/>
                <w:b/>
                <w:bCs/>
                <w:color w:val="000000"/>
                <w:sz w:val="20"/>
                <w:szCs w:val="20"/>
                <w:lang w:eastAsia="ru-RU"/>
              </w:rPr>
              <w:t>4</w:t>
            </w:r>
            <w:r w:rsidRPr="00EB0E56">
              <w:rPr>
                <w:rFonts w:ascii="Arial" w:eastAsia="Times New Roman" w:hAnsi="Arial" w:cs="Arial"/>
                <w:b/>
                <w:bCs/>
                <w:color w:val="000000"/>
                <w:sz w:val="20"/>
                <w:szCs w:val="20"/>
                <w:lang w:eastAsia="ru-RU"/>
              </w:rPr>
              <w:t xml:space="preserve"> 2021</w:t>
            </w:r>
          </w:p>
        </w:tc>
        <w:tc>
          <w:tcPr>
            <w:tcW w:w="422" w:type="pct"/>
            <w:tcBorders>
              <w:top w:val="single" w:sz="12" w:space="0" w:color="auto"/>
              <w:bottom w:val="single" w:sz="12" w:space="0" w:color="auto"/>
            </w:tcBorders>
            <w:shd w:val="clear" w:color="auto" w:fill="auto"/>
            <w:vAlign w:val="center"/>
            <w:hideMark/>
          </w:tcPr>
          <w:p w14:paraId="23D3425B" w14:textId="3D9B827E" w:rsidR="00E77274" w:rsidRPr="00EB0E56" w:rsidRDefault="00E77274" w:rsidP="00E77274">
            <w:pPr>
              <w:spacing w:after="0" w:line="240" w:lineRule="auto"/>
              <w:jc w:val="right"/>
              <w:rPr>
                <w:rFonts w:ascii="Arial" w:eastAsia="Times New Roman" w:hAnsi="Arial" w:cs="Arial"/>
                <w:i/>
                <w:color w:val="000000"/>
                <w:sz w:val="20"/>
                <w:szCs w:val="20"/>
                <w:lang w:eastAsia="ru-RU"/>
              </w:rPr>
            </w:pPr>
            <w:r w:rsidRPr="00EB0E56">
              <w:rPr>
                <w:rFonts w:ascii="Arial" w:eastAsia="Times New Roman" w:hAnsi="Arial" w:cs="Arial"/>
                <w:i/>
                <w:color w:val="000000"/>
                <w:sz w:val="20"/>
                <w:szCs w:val="20"/>
                <w:lang w:eastAsia="ru-RU"/>
              </w:rPr>
              <w:t>% change y/y</w:t>
            </w:r>
          </w:p>
        </w:tc>
        <w:tc>
          <w:tcPr>
            <w:tcW w:w="411" w:type="pct"/>
            <w:tcBorders>
              <w:top w:val="single" w:sz="12" w:space="0" w:color="auto"/>
              <w:bottom w:val="single" w:sz="12" w:space="0" w:color="auto"/>
            </w:tcBorders>
            <w:vAlign w:val="center"/>
          </w:tcPr>
          <w:p w14:paraId="348AF0D8" w14:textId="4E330DEF" w:rsidR="00E77274" w:rsidRPr="00EB0E56" w:rsidRDefault="00E77274" w:rsidP="00E77274">
            <w:pPr>
              <w:spacing w:after="0" w:line="240" w:lineRule="auto"/>
              <w:jc w:val="right"/>
              <w:rPr>
                <w:rFonts w:ascii="Arial" w:eastAsia="Times New Roman" w:hAnsi="Arial" w:cs="Arial"/>
                <w:i/>
                <w:color w:val="000000"/>
                <w:sz w:val="20"/>
                <w:szCs w:val="20"/>
                <w:lang w:eastAsia="ru-RU"/>
              </w:rPr>
            </w:pPr>
            <w:r w:rsidRPr="00EB0E56">
              <w:rPr>
                <w:rFonts w:ascii="Arial" w:eastAsia="Times New Roman" w:hAnsi="Arial" w:cs="Arial"/>
                <w:b/>
                <w:color w:val="000000"/>
                <w:sz w:val="20"/>
                <w:szCs w:val="20"/>
                <w:lang w:eastAsia="ru-RU"/>
              </w:rPr>
              <w:t>Q</w:t>
            </w:r>
            <w:r w:rsidR="00D2118D" w:rsidRPr="00EB0E56">
              <w:rPr>
                <w:rFonts w:ascii="Arial" w:eastAsia="Times New Roman" w:hAnsi="Arial" w:cs="Arial"/>
                <w:b/>
                <w:color w:val="000000"/>
                <w:sz w:val="20"/>
                <w:szCs w:val="20"/>
                <w:lang w:eastAsia="ru-RU"/>
              </w:rPr>
              <w:t>3</w:t>
            </w:r>
            <w:r w:rsidRPr="00EB0E56">
              <w:rPr>
                <w:rFonts w:ascii="Arial" w:eastAsia="Times New Roman" w:hAnsi="Arial" w:cs="Arial"/>
                <w:b/>
                <w:color w:val="000000"/>
                <w:sz w:val="20"/>
                <w:szCs w:val="20"/>
                <w:lang w:eastAsia="ru-RU"/>
              </w:rPr>
              <w:t xml:space="preserve"> 2022</w:t>
            </w:r>
          </w:p>
        </w:tc>
        <w:tc>
          <w:tcPr>
            <w:tcW w:w="422" w:type="pct"/>
            <w:tcBorders>
              <w:top w:val="single" w:sz="12" w:space="0" w:color="auto"/>
              <w:bottom w:val="single" w:sz="12" w:space="0" w:color="auto"/>
            </w:tcBorders>
            <w:vAlign w:val="center"/>
          </w:tcPr>
          <w:p w14:paraId="33C29B68" w14:textId="572FDD54" w:rsidR="00E77274" w:rsidRPr="00EB0E56" w:rsidRDefault="00E77274" w:rsidP="00E77274">
            <w:pPr>
              <w:spacing w:after="0" w:line="240" w:lineRule="auto"/>
              <w:jc w:val="right"/>
              <w:rPr>
                <w:rFonts w:ascii="Arial" w:eastAsia="Times New Roman" w:hAnsi="Arial" w:cs="Arial"/>
                <w:i/>
                <w:color w:val="000000"/>
                <w:sz w:val="20"/>
                <w:szCs w:val="20"/>
                <w:lang w:eastAsia="ru-RU"/>
              </w:rPr>
            </w:pPr>
            <w:r w:rsidRPr="00EB0E56">
              <w:rPr>
                <w:rFonts w:ascii="Arial" w:eastAsia="Times New Roman" w:hAnsi="Arial" w:cs="Arial"/>
                <w:i/>
                <w:color w:val="000000"/>
                <w:sz w:val="20"/>
                <w:szCs w:val="20"/>
                <w:lang w:eastAsia="ru-RU"/>
              </w:rPr>
              <w:t>% change q/q</w:t>
            </w:r>
          </w:p>
        </w:tc>
        <w:tc>
          <w:tcPr>
            <w:tcW w:w="412" w:type="pct"/>
            <w:tcBorders>
              <w:top w:val="single" w:sz="12" w:space="0" w:color="auto"/>
              <w:bottom w:val="single" w:sz="12" w:space="0" w:color="auto"/>
            </w:tcBorders>
            <w:vAlign w:val="center"/>
          </w:tcPr>
          <w:p w14:paraId="54E0CB4C" w14:textId="09615FA3" w:rsidR="00E77274" w:rsidRPr="00EB0E56" w:rsidRDefault="00D2118D" w:rsidP="00E77274">
            <w:pPr>
              <w:spacing w:after="0" w:line="240" w:lineRule="auto"/>
              <w:jc w:val="right"/>
              <w:rPr>
                <w:rFonts w:ascii="Arial" w:eastAsia="Times New Roman" w:hAnsi="Arial" w:cs="Arial"/>
                <w:i/>
                <w:color w:val="000000"/>
                <w:sz w:val="20"/>
                <w:szCs w:val="20"/>
                <w:lang w:eastAsia="ru-RU"/>
              </w:rPr>
            </w:pPr>
            <w:r w:rsidRPr="00EB0E56">
              <w:rPr>
                <w:rFonts w:ascii="Arial" w:eastAsia="Times New Roman" w:hAnsi="Arial" w:cs="Arial"/>
                <w:b/>
                <w:bCs/>
                <w:color w:val="000000"/>
                <w:sz w:val="20"/>
                <w:szCs w:val="20"/>
                <w:lang w:eastAsia="ru-RU"/>
              </w:rPr>
              <w:t>12</w:t>
            </w:r>
            <w:r w:rsidR="002B658D" w:rsidRPr="00EB0E56">
              <w:rPr>
                <w:rFonts w:ascii="Arial" w:eastAsia="Times New Roman" w:hAnsi="Arial" w:cs="Arial"/>
                <w:b/>
                <w:bCs/>
                <w:color w:val="000000"/>
                <w:sz w:val="20"/>
                <w:szCs w:val="20"/>
                <w:lang w:eastAsia="ru-RU"/>
              </w:rPr>
              <w:t>M</w:t>
            </w:r>
            <w:r w:rsidR="00E77274" w:rsidRPr="00EB0E56">
              <w:rPr>
                <w:rFonts w:ascii="Arial" w:eastAsia="Times New Roman" w:hAnsi="Arial" w:cs="Arial"/>
                <w:b/>
                <w:bCs/>
                <w:color w:val="000000"/>
                <w:sz w:val="20"/>
                <w:szCs w:val="20"/>
                <w:lang w:eastAsia="ru-RU"/>
              </w:rPr>
              <w:t xml:space="preserve"> 2022</w:t>
            </w:r>
          </w:p>
        </w:tc>
        <w:tc>
          <w:tcPr>
            <w:tcW w:w="417" w:type="pct"/>
            <w:tcBorders>
              <w:top w:val="single" w:sz="12" w:space="0" w:color="auto"/>
              <w:bottom w:val="single" w:sz="12" w:space="0" w:color="auto"/>
            </w:tcBorders>
            <w:vAlign w:val="center"/>
          </w:tcPr>
          <w:p w14:paraId="1D85F5AC" w14:textId="5AB25E3F" w:rsidR="00E77274" w:rsidRPr="00EB0E56" w:rsidRDefault="00D2118D" w:rsidP="00E77274">
            <w:pPr>
              <w:spacing w:after="0" w:line="240" w:lineRule="auto"/>
              <w:jc w:val="right"/>
              <w:rPr>
                <w:rFonts w:ascii="Arial" w:eastAsia="Times New Roman" w:hAnsi="Arial" w:cs="Arial"/>
                <w:i/>
                <w:color w:val="000000"/>
                <w:sz w:val="20"/>
                <w:szCs w:val="20"/>
                <w:lang w:eastAsia="ru-RU"/>
              </w:rPr>
            </w:pPr>
            <w:r w:rsidRPr="00EB0E56">
              <w:rPr>
                <w:rFonts w:ascii="Arial" w:eastAsia="Times New Roman" w:hAnsi="Arial" w:cs="Arial"/>
                <w:b/>
                <w:bCs/>
                <w:color w:val="000000"/>
                <w:sz w:val="20"/>
                <w:szCs w:val="20"/>
                <w:lang w:eastAsia="ru-RU"/>
              </w:rPr>
              <w:t>12</w:t>
            </w:r>
            <w:r w:rsidR="002B658D" w:rsidRPr="00EB0E56">
              <w:rPr>
                <w:rFonts w:ascii="Arial" w:eastAsia="Times New Roman" w:hAnsi="Arial" w:cs="Arial"/>
                <w:b/>
                <w:bCs/>
                <w:color w:val="000000"/>
                <w:sz w:val="20"/>
                <w:szCs w:val="20"/>
                <w:lang w:eastAsia="ru-RU"/>
              </w:rPr>
              <w:t>M</w:t>
            </w:r>
            <w:r w:rsidR="00E77274" w:rsidRPr="00EB0E56">
              <w:rPr>
                <w:rFonts w:ascii="Arial" w:eastAsia="Times New Roman" w:hAnsi="Arial" w:cs="Arial"/>
                <w:b/>
                <w:bCs/>
                <w:color w:val="000000"/>
                <w:sz w:val="20"/>
                <w:szCs w:val="20"/>
                <w:lang w:eastAsia="ru-RU"/>
              </w:rPr>
              <w:t xml:space="preserve"> 2021</w:t>
            </w:r>
          </w:p>
        </w:tc>
        <w:tc>
          <w:tcPr>
            <w:tcW w:w="417" w:type="pct"/>
            <w:tcBorders>
              <w:top w:val="single" w:sz="12" w:space="0" w:color="auto"/>
              <w:bottom w:val="single" w:sz="12" w:space="0" w:color="auto"/>
            </w:tcBorders>
            <w:vAlign w:val="center"/>
          </w:tcPr>
          <w:p w14:paraId="476D86D0" w14:textId="45154CE9" w:rsidR="00E77274" w:rsidRPr="00EB0E56" w:rsidRDefault="00E77274" w:rsidP="00E77274">
            <w:pPr>
              <w:spacing w:after="0" w:line="240" w:lineRule="auto"/>
              <w:jc w:val="right"/>
              <w:rPr>
                <w:rFonts w:ascii="Arial" w:eastAsia="Times New Roman" w:hAnsi="Arial" w:cs="Arial"/>
                <w:i/>
                <w:color w:val="000000"/>
                <w:sz w:val="20"/>
                <w:szCs w:val="20"/>
                <w:lang w:eastAsia="ru-RU"/>
              </w:rPr>
            </w:pPr>
            <w:r w:rsidRPr="00EB0E56">
              <w:rPr>
                <w:rFonts w:ascii="Arial" w:eastAsia="Times New Roman" w:hAnsi="Arial" w:cs="Arial"/>
                <w:bCs/>
                <w:color w:val="000000"/>
                <w:sz w:val="20"/>
                <w:szCs w:val="20"/>
                <w:lang w:eastAsia="ru-RU"/>
              </w:rPr>
              <w:t>% change</w:t>
            </w:r>
          </w:p>
        </w:tc>
      </w:tr>
      <w:tr w:rsidR="00E77274" w:rsidRPr="00EB0E56" w14:paraId="1AF8E971" w14:textId="4FD9B679" w:rsidTr="00E77274">
        <w:trPr>
          <w:trHeight w:hRule="exact" w:val="104"/>
        </w:trPr>
        <w:tc>
          <w:tcPr>
            <w:tcW w:w="1560" w:type="pct"/>
            <w:shd w:val="clear" w:color="auto" w:fill="auto"/>
            <w:noWrap/>
            <w:vAlign w:val="center"/>
          </w:tcPr>
          <w:p w14:paraId="76FBB083" w14:textId="77777777" w:rsidR="00E77274" w:rsidRPr="00EB0E56" w:rsidRDefault="00E77274" w:rsidP="00E77274">
            <w:pPr>
              <w:spacing w:after="0" w:line="240" w:lineRule="auto"/>
              <w:jc w:val="both"/>
              <w:rPr>
                <w:rFonts w:ascii="Arial" w:eastAsia="Times New Roman" w:hAnsi="Arial" w:cs="Arial"/>
                <w:color w:val="000000"/>
                <w:sz w:val="20"/>
                <w:szCs w:val="20"/>
                <w:lang w:eastAsia="ru-RU"/>
              </w:rPr>
            </w:pPr>
          </w:p>
        </w:tc>
        <w:tc>
          <w:tcPr>
            <w:tcW w:w="107" w:type="pct"/>
          </w:tcPr>
          <w:p w14:paraId="30AF86DB" w14:textId="77777777" w:rsidR="00E77274" w:rsidRPr="00EB0E56" w:rsidRDefault="00E77274" w:rsidP="00E77274">
            <w:pPr>
              <w:spacing w:after="0" w:line="240" w:lineRule="auto"/>
              <w:jc w:val="right"/>
              <w:rPr>
                <w:rFonts w:ascii="Arial" w:eastAsia="Times New Roman" w:hAnsi="Arial" w:cs="Arial"/>
                <w:color w:val="000000"/>
                <w:sz w:val="20"/>
                <w:szCs w:val="20"/>
                <w:lang w:eastAsia="ru-RU"/>
              </w:rPr>
            </w:pPr>
          </w:p>
        </w:tc>
        <w:tc>
          <w:tcPr>
            <w:tcW w:w="416" w:type="pct"/>
            <w:shd w:val="clear" w:color="auto" w:fill="auto"/>
            <w:vAlign w:val="center"/>
          </w:tcPr>
          <w:p w14:paraId="58D53D60" w14:textId="77777777" w:rsidR="00E77274" w:rsidRPr="00EB0E56" w:rsidRDefault="00E77274" w:rsidP="00E77274">
            <w:pPr>
              <w:spacing w:after="0" w:line="240" w:lineRule="auto"/>
              <w:jc w:val="right"/>
              <w:rPr>
                <w:rFonts w:ascii="Arial" w:eastAsia="Times New Roman" w:hAnsi="Arial" w:cs="Arial"/>
                <w:color w:val="000000"/>
                <w:sz w:val="20"/>
                <w:szCs w:val="20"/>
                <w:lang w:eastAsia="ru-RU"/>
              </w:rPr>
            </w:pPr>
          </w:p>
        </w:tc>
        <w:tc>
          <w:tcPr>
            <w:tcW w:w="416" w:type="pct"/>
            <w:shd w:val="clear" w:color="auto" w:fill="auto"/>
            <w:noWrap/>
            <w:vAlign w:val="center"/>
          </w:tcPr>
          <w:p w14:paraId="07A06019" w14:textId="2E6BE61A" w:rsidR="00E77274" w:rsidRPr="00EB0E56" w:rsidRDefault="00E77274" w:rsidP="00E77274">
            <w:pPr>
              <w:spacing w:after="0" w:line="240" w:lineRule="auto"/>
              <w:jc w:val="right"/>
              <w:rPr>
                <w:rFonts w:ascii="Arial" w:eastAsia="Times New Roman" w:hAnsi="Arial" w:cs="Arial"/>
                <w:color w:val="000000"/>
                <w:sz w:val="20"/>
                <w:szCs w:val="20"/>
                <w:lang w:eastAsia="ru-RU"/>
              </w:rPr>
            </w:pPr>
          </w:p>
        </w:tc>
        <w:tc>
          <w:tcPr>
            <w:tcW w:w="422" w:type="pct"/>
            <w:shd w:val="clear" w:color="auto" w:fill="auto"/>
            <w:noWrap/>
            <w:vAlign w:val="center"/>
          </w:tcPr>
          <w:p w14:paraId="2E9358DA" w14:textId="55663E96" w:rsidR="00E77274" w:rsidRPr="00EB0E56" w:rsidRDefault="00E77274" w:rsidP="00E77274">
            <w:pPr>
              <w:spacing w:after="0" w:line="240" w:lineRule="auto"/>
              <w:jc w:val="right"/>
              <w:rPr>
                <w:rFonts w:ascii="Arial" w:eastAsia="Times New Roman" w:hAnsi="Arial" w:cs="Arial"/>
                <w:iCs/>
                <w:color w:val="000000"/>
                <w:sz w:val="20"/>
                <w:szCs w:val="20"/>
                <w:lang w:eastAsia="ru-RU"/>
              </w:rPr>
            </w:pPr>
          </w:p>
        </w:tc>
        <w:tc>
          <w:tcPr>
            <w:tcW w:w="411" w:type="pct"/>
          </w:tcPr>
          <w:p w14:paraId="138CE25A" w14:textId="77777777" w:rsidR="00E77274" w:rsidRPr="00EB0E56" w:rsidRDefault="00E77274" w:rsidP="00E77274">
            <w:pPr>
              <w:spacing w:after="0" w:line="240" w:lineRule="auto"/>
              <w:jc w:val="right"/>
              <w:rPr>
                <w:rFonts w:ascii="Arial" w:eastAsia="Times New Roman" w:hAnsi="Arial" w:cs="Arial"/>
                <w:iCs/>
                <w:color w:val="000000"/>
                <w:sz w:val="20"/>
                <w:szCs w:val="20"/>
                <w:lang w:eastAsia="ru-RU"/>
              </w:rPr>
            </w:pPr>
          </w:p>
        </w:tc>
        <w:tc>
          <w:tcPr>
            <w:tcW w:w="422" w:type="pct"/>
          </w:tcPr>
          <w:p w14:paraId="224D4A03" w14:textId="77777777" w:rsidR="00E77274" w:rsidRPr="00EB0E56" w:rsidRDefault="00E77274" w:rsidP="00E77274">
            <w:pPr>
              <w:spacing w:after="0" w:line="240" w:lineRule="auto"/>
              <w:jc w:val="right"/>
              <w:rPr>
                <w:rFonts w:ascii="Arial" w:eastAsia="Times New Roman" w:hAnsi="Arial" w:cs="Arial"/>
                <w:iCs/>
                <w:color w:val="000000"/>
                <w:sz w:val="20"/>
                <w:szCs w:val="20"/>
                <w:lang w:eastAsia="ru-RU"/>
              </w:rPr>
            </w:pPr>
          </w:p>
        </w:tc>
        <w:tc>
          <w:tcPr>
            <w:tcW w:w="412" w:type="pct"/>
          </w:tcPr>
          <w:p w14:paraId="1A50255A" w14:textId="77777777" w:rsidR="00E77274" w:rsidRPr="00EB0E56" w:rsidRDefault="00E77274" w:rsidP="00E77274">
            <w:pPr>
              <w:spacing w:after="0" w:line="240" w:lineRule="auto"/>
              <w:jc w:val="right"/>
              <w:rPr>
                <w:rFonts w:ascii="Arial" w:eastAsia="Times New Roman" w:hAnsi="Arial" w:cs="Arial"/>
                <w:iCs/>
                <w:color w:val="000000"/>
                <w:sz w:val="20"/>
                <w:szCs w:val="20"/>
                <w:lang w:eastAsia="ru-RU"/>
              </w:rPr>
            </w:pPr>
          </w:p>
        </w:tc>
        <w:tc>
          <w:tcPr>
            <w:tcW w:w="417" w:type="pct"/>
          </w:tcPr>
          <w:p w14:paraId="117CEF83" w14:textId="77777777" w:rsidR="00E77274" w:rsidRPr="00EB0E56" w:rsidRDefault="00E77274" w:rsidP="00E77274">
            <w:pPr>
              <w:spacing w:after="0" w:line="240" w:lineRule="auto"/>
              <w:jc w:val="right"/>
              <w:rPr>
                <w:rFonts w:ascii="Arial" w:eastAsia="Times New Roman" w:hAnsi="Arial" w:cs="Arial"/>
                <w:iCs/>
                <w:color w:val="000000"/>
                <w:sz w:val="20"/>
                <w:szCs w:val="20"/>
                <w:lang w:eastAsia="ru-RU"/>
              </w:rPr>
            </w:pPr>
          </w:p>
        </w:tc>
        <w:tc>
          <w:tcPr>
            <w:tcW w:w="417" w:type="pct"/>
          </w:tcPr>
          <w:p w14:paraId="6E3A22C9" w14:textId="77777777" w:rsidR="00E77274" w:rsidRPr="00EB0E56" w:rsidRDefault="00E77274" w:rsidP="00E77274">
            <w:pPr>
              <w:spacing w:after="0" w:line="240" w:lineRule="auto"/>
              <w:jc w:val="right"/>
              <w:rPr>
                <w:rFonts w:ascii="Arial" w:eastAsia="Times New Roman" w:hAnsi="Arial" w:cs="Arial"/>
                <w:iCs/>
                <w:color w:val="000000"/>
                <w:sz w:val="20"/>
                <w:szCs w:val="20"/>
                <w:lang w:eastAsia="ru-RU"/>
              </w:rPr>
            </w:pPr>
          </w:p>
        </w:tc>
      </w:tr>
      <w:tr w:rsidR="00E77274" w:rsidRPr="00EB0E56" w14:paraId="5BB1FF7F" w14:textId="47556943" w:rsidTr="000D120B">
        <w:trPr>
          <w:trHeight w:val="265"/>
        </w:trPr>
        <w:tc>
          <w:tcPr>
            <w:tcW w:w="1560" w:type="pct"/>
            <w:shd w:val="clear" w:color="auto" w:fill="auto"/>
            <w:noWrap/>
            <w:vAlign w:val="center"/>
            <w:hideMark/>
          </w:tcPr>
          <w:p w14:paraId="5A205B88" w14:textId="71E8F2C6" w:rsidR="00E77274" w:rsidRPr="00EB0E56" w:rsidRDefault="00E77274" w:rsidP="00E77274">
            <w:pPr>
              <w:spacing w:after="0" w:line="240" w:lineRule="auto"/>
              <w:jc w:val="both"/>
              <w:rPr>
                <w:rFonts w:ascii="Arial" w:eastAsia="Times New Roman" w:hAnsi="Arial" w:cs="Arial"/>
                <w:color w:val="000000"/>
                <w:sz w:val="20"/>
                <w:szCs w:val="20"/>
                <w:lang w:eastAsia="ru-RU"/>
              </w:rPr>
            </w:pPr>
            <w:r w:rsidRPr="00EB0E56">
              <w:rPr>
                <w:rFonts w:ascii="Arial" w:eastAsia="Times New Roman" w:hAnsi="Arial" w:cs="Arial"/>
                <w:color w:val="000000"/>
                <w:sz w:val="20"/>
                <w:szCs w:val="20"/>
                <w:lang w:eastAsia="ru-RU"/>
              </w:rPr>
              <w:t>Sales volume, third part</w:t>
            </w:r>
            <w:r w:rsidR="00AF118E">
              <w:rPr>
                <w:rFonts w:ascii="Arial" w:eastAsia="Times New Roman" w:hAnsi="Arial" w:cs="Arial"/>
                <w:color w:val="000000"/>
                <w:sz w:val="20"/>
                <w:szCs w:val="20"/>
                <w:lang w:eastAsia="ru-RU"/>
              </w:rPr>
              <w:t>y</w:t>
            </w:r>
            <w:r w:rsidRPr="00EB0E56">
              <w:rPr>
                <w:rFonts w:ascii="Arial" w:eastAsia="Times New Roman" w:hAnsi="Arial" w:cs="Arial"/>
                <w:color w:val="000000"/>
                <w:sz w:val="20"/>
                <w:szCs w:val="20"/>
                <w:lang w:eastAsia="ru-RU"/>
              </w:rPr>
              <w:t xml:space="preserve"> </w:t>
            </w:r>
            <w:proofErr w:type="spellStart"/>
            <w:r w:rsidRPr="00EB0E56">
              <w:rPr>
                <w:rFonts w:ascii="Arial" w:eastAsia="Times New Roman" w:hAnsi="Arial" w:cs="Arial"/>
                <w:color w:val="000000"/>
                <w:sz w:val="20"/>
                <w:szCs w:val="20"/>
                <w:lang w:eastAsia="ru-RU"/>
              </w:rPr>
              <w:t>tonnes</w:t>
            </w:r>
            <w:proofErr w:type="spellEnd"/>
          </w:p>
        </w:tc>
        <w:tc>
          <w:tcPr>
            <w:tcW w:w="107" w:type="pct"/>
          </w:tcPr>
          <w:p w14:paraId="26645530" w14:textId="77777777" w:rsidR="00E77274" w:rsidRPr="00EB0E56" w:rsidRDefault="00E77274" w:rsidP="00E77274">
            <w:pPr>
              <w:spacing w:after="0" w:line="240" w:lineRule="auto"/>
              <w:jc w:val="right"/>
              <w:rPr>
                <w:rFonts w:ascii="Arial" w:eastAsia="Times New Roman" w:hAnsi="Arial" w:cs="Arial"/>
                <w:color w:val="000000"/>
                <w:sz w:val="20"/>
                <w:szCs w:val="20"/>
                <w:lang w:eastAsia="ru-RU"/>
              </w:rPr>
            </w:pPr>
          </w:p>
        </w:tc>
        <w:tc>
          <w:tcPr>
            <w:tcW w:w="416" w:type="pct"/>
            <w:shd w:val="clear" w:color="auto" w:fill="auto"/>
            <w:vAlign w:val="center"/>
          </w:tcPr>
          <w:p w14:paraId="7224D1AD" w14:textId="29E54DF1" w:rsidR="00E77274" w:rsidRPr="00EB0E56" w:rsidRDefault="0028639F" w:rsidP="00E77274">
            <w:pPr>
              <w:spacing w:after="0" w:line="240" w:lineRule="auto"/>
              <w:jc w:val="right"/>
              <w:rPr>
                <w:rFonts w:ascii="Arial" w:eastAsia="Times New Roman" w:hAnsi="Arial" w:cs="Arial"/>
                <w:color w:val="000000"/>
                <w:sz w:val="20"/>
                <w:szCs w:val="20"/>
                <w:lang w:eastAsia="ru-RU"/>
              </w:rPr>
            </w:pPr>
            <w:r w:rsidRPr="00EB0E56">
              <w:rPr>
                <w:rFonts w:ascii="Arial" w:hAnsi="Arial" w:cs="Arial"/>
                <w:sz w:val="20"/>
                <w:szCs w:val="20"/>
              </w:rPr>
              <w:t xml:space="preserve"> </w:t>
            </w:r>
            <w:r w:rsidR="00DB5AAE" w:rsidRPr="000D120B">
              <w:rPr>
                <w:rFonts w:ascii="Arial" w:hAnsi="Arial" w:cs="Arial"/>
                <w:sz w:val="20"/>
                <w:szCs w:val="20"/>
              </w:rPr>
              <w:t>5,327</w:t>
            </w:r>
          </w:p>
        </w:tc>
        <w:tc>
          <w:tcPr>
            <w:tcW w:w="416" w:type="pct"/>
            <w:shd w:val="clear" w:color="auto" w:fill="auto"/>
            <w:noWrap/>
            <w:vAlign w:val="center"/>
          </w:tcPr>
          <w:p w14:paraId="098CBF61" w14:textId="43682355" w:rsidR="00E77274" w:rsidRPr="00EB0E56" w:rsidRDefault="0042772E" w:rsidP="00E77274">
            <w:pPr>
              <w:spacing w:after="0" w:line="240" w:lineRule="auto"/>
              <w:jc w:val="right"/>
              <w:rPr>
                <w:rFonts w:ascii="Arial" w:eastAsia="Times New Roman" w:hAnsi="Arial" w:cs="Arial"/>
                <w:color w:val="000000"/>
                <w:sz w:val="20"/>
                <w:szCs w:val="20"/>
                <w:lang w:eastAsia="ru-RU"/>
              </w:rPr>
            </w:pPr>
            <w:r w:rsidRPr="00EB0E56">
              <w:rPr>
                <w:rFonts w:ascii="Arial" w:hAnsi="Arial" w:cs="Arial"/>
                <w:sz w:val="20"/>
                <w:szCs w:val="20"/>
              </w:rPr>
              <w:t xml:space="preserve"> </w:t>
            </w:r>
            <w:r w:rsidR="00DB5AAE" w:rsidRPr="000D120B">
              <w:rPr>
                <w:rFonts w:ascii="Arial" w:hAnsi="Arial" w:cs="Arial"/>
                <w:sz w:val="20"/>
                <w:szCs w:val="20"/>
              </w:rPr>
              <w:t>4,750</w:t>
            </w:r>
          </w:p>
        </w:tc>
        <w:tc>
          <w:tcPr>
            <w:tcW w:w="422" w:type="pct"/>
            <w:shd w:val="clear" w:color="auto" w:fill="auto"/>
            <w:noWrap/>
            <w:vAlign w:val="center"/>
          </w:tcPr>
          <w:p w14:paraId="7796A482" w14:textId="3F3B723C" w:rsidR="00E77274" w:rsidRPr="00EB0E56" w:rsidRDefault="00DB5AAE" w:rsidP="00E77274">
            <w:pPr>
              <w:spacing w:after="0" w:line="240" w:lineRule="auto"/>
              <w:jc w:val="right"/>
              <w:rPr>
                <w:rFonts w:ascii="Arial" w:hAnsi="Arial" w:cs="Arial"/>
                <w:sz w:val="20"/>
                <w:szCs w:val="20"/>
              </w:rPr>
            </w:pPr>
            <w:r w:rsidRPr="000D120B">
              <w:rPr>
                <w:rFonts w:ascii="Arial" w:hAnsi="Arial" w:cs="Arial"/>
                <w:sz w:val="20"/>
                <w:szCs w:val="20"/>
              </w:rPr>
              <w:t>12%</w:t>
            </w:r>
          </w:p>
        </w:tc>
        <w:tc>
          <w:tcPr>
            <w:tcW w:w="411" w:type="pct"/>
            <w:vAlign w:val="center"/>
          </w:tcPr>
          <w:p w14:paraId="50B870F5" w14:textId="6BC27356" w:rsidR="00E77274" w:rsidRPr="00EB0E56" w:rsidRDefault="0028639F" w:rsidP="00E77274">
            <w:pPr>
              <w:spacing w:after="0" w:line="240" w:lineRule="auto"/>
              <w:jc w:val="right"/>
              <w:rPr>
                <w:rFonts w:ascii="Arial" w:hAnsi="Arial" w:cs="Arial"/>
                <w:i/>
                <w:iCs/>
                <w:color w:val="000000" w:themeColor="text1"/>
                <w:sz w:val="20"/>
                <w:szCs w:val="20"/>
              </w:rPr>
            </w:pPr>
            <w:r w:rsidRPr="00EB0E56">
              <w:rPr>
                <w:rFonts w:ascii="Arial" w:hAnsi="Arial" w:cs="Arial"/>
                <w:sz w:val="20"/>
                <w:szCs w:val="20"/>
              </w:rPr>
              <w:t xml:space="preserve"> </w:t>
            </w:r>
            <w:r w:rsidR="00DB5AAE" w:rsidRPr="000D120B">
              <w:rPr>
                <w:rFonts w:ascii="Arial" w:hAnsi="Arial" w:cs="Arial"/>
                <w:sz w:val="20"/>
                <w:szCs w:val="20"/>
              </w:rPr>
              <w:t>5,421</w:t>
            </w:r>
          </w:p>
        </w:tc>
        <w:tc>
          <w:tcPr>
            <w:tcW w:w="422" w:type="pct"/>
            <w:vAlign w:val="center"/>
          </w:tcPr>
          <w:p w14:paraId="1B819EF0" w14:textId="27FE1D6D" w:rsidR="00E77274" w:rsidRPr="00EB0E56" w:rsidRDefault="00DB5AAE" w:rsidP="00E77274">
            <w:pPr>
              <w:spacing w:after="0" w:line="240" w:lineRule="auto"/>
              <w:jc w:val="right"/>
              <w:rPr>
                <w:rFonts w:ascii="Arial" w:hAnsi="Arial" w:cs="Arial"/>
                <w:i/>
                <w:iCs/>
                <w:color w:val="000000" w:themeColor="text1"/>
                <w:sz w:val="20"/>
                <w:szCs w:val="20"/>
              </w:rPr>
            </w:pPr>
            <w:r w:rsidRPr="000D120B">
              <w:rPr>
                <w:rFonts w:ascii="Arial" w:hAnsi="Arial" w:cs="Arial"/>
                <w:sz w:val="20"/>
                <w:szCs w:val="20"/>
              </w:rPr>
              <w:t>-2%</w:t>
            </w:r>
          </w:p>
        </w:tc>
        <w:tc>
          <w:tcPr>
            <w:tcW w:w="412" w:type="pct"/>
            <w:vAlign w:val="center"/>
          </w:tcPr>
          <w:p w14:paraId="45372F31" w14:textId="69560C75" w:rsidR="00E77274" w:rsidRPr="00EB0E56" w:rsidRDefault="00DB5AAE" w:rsidP="008605A5">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18,159</w:t>
            </w:r>
          </w:p>
        </w:tc>
        <w:tc>
          <w:tcPr>
            <w:tcW w:w="417" w:type="pct"/>
            <w:vAlign w:val="center"/>
          </w:tcPr>
          <w:p w14:paraId="0A13D011" w14:textId="2CF3F780" w:rsidR="00E77274" w:rsidRPr="00EB0E56" w:rsidRDefault="00DB5AAE" w:rsidP="008605A5">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18,857</w:t>
            </w:r>
          </w:p>
        </w:tc>
        <w:tc>
          <w:tcPr>
            <w:tcW w:w="417" w:type="pct"/>
            <w:vAlign w:val="center"/>
          </w:tcPr>
          <w:p w14:paraId="32B40D14" w14:textId="662B69FF" w:rsidR="00E77274" w:rsidRPr="00EB0E56" w:rsidRDefault="00DB5AAE" w:rsidP="008605A5">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-4%</w:t>
            </w:r>
          </w:p>
        </w:tc>
      </w:tr>
      <w:tr w:rsidR="00E77274" w:rsidRPr="00EB0E56" w14:paraId="1EE2E83B" w14:textId="406674A8" w:rsidTr="000D120B">
        <w:trPr>
          <w:trHeight w:val="265"/>
        </w:trPr>
        <w:tc>
          <w:tcPr>
            <w:tcW w:w="1560" w:type="pct"/>
            <w:tcBorders>
              <w:bottom w:val="single" w:sz="2" w:space="0" w:color="auto"/>
            </w:tcBorders>
            <w:shd w:val="clear" w:color="auto" w:fill="auto"/>
            <w:noWrap/>
            <w:vAlign w:val="center"/>
            <w:hideMark/>
          </w:tcPr>
          <w:p w14:paraId="56A38FD7" w14:textId="77777777" w:rsidR="00E77274" w:rsidRPr="00EB0E56" w:rsidRDefault="00E77274" w:rsidP="00E77274">
            <w:pPr>
              <w:spacing w:after="0" w:line="240" w:lineRule="auto"/>
              <w:jc w:val="both"/>
              <w:rPr>
                <w:rFonts w:ascii="Arial" w:eastAsia="Times New Roman" w:hAnsi="Arial" w:cs="Arial"/>
                <w:color w:val="000000"/>
                <w:sz w:val="20"/>
                <w:szCs w:val="20"/>
                <w:lang w:val="nl-NL" w:eastAsia="ru-RU"/>
              </w:rPr>
            </w:pPr>
            <w:r w:rsidRPr="00EB0E56">
              <w:rPr>
                <w:rFonts w:ascii="Arial" w:eastAsia="Times New Roman" w:hAnsi="Arial" w:cs="Arial"/>
                <w:color w:val="000000"/>
                <w:sz w:val="20"/>
                <w:szCs w:val="20"/>
                <w:lang w:val="nl-NL" w:eastAsia="ru-RU"/>
              </w:rPr>
              <w:t>Price per 1 kg net VAT, UAH</w:t>
            </w:r>
          </w:p>
        </w:tc>
        <w:tc>
          <w:tcPr>
            <w:tcW w:w="107" w:type="pct"/>
          </w:tcPr>
          <w:p w14:paraId="5BD209BD" w14:textId="77777777" w:rsidR="00E77274" w:rsidRPr="00EB0E56" w:rsidRDefault="00E77274" w:rsidP="00E77274">
            <w:pPr>
              <w:spacing w:after="0" w:line="240" w:lineRule="auto"/>
              <w:jc w:val="right"/>
              <w:rPr>
                <w:rFonts w:ascii="Arial" w:eastAsia="Times New Roman" w:hAnsi="Arial" w:cs="Arial"/>
                <w:color w:val="000000"/>
                <w:sz w:val="20"/>
                <w:szCs w:val="20"/>
                <w:lang w:val="nl-NL" w:eastAsia="ru-RU"/>
              </w:rPr>
            </w:pPr>
          </w:p>
        </w:tc>
        <w:tc>
          <w:tcPr>
            <w:tcW w:w="416" w:type="pct"/>
            <w:tcBorders>
              <w:bottom w:val="single" w:sz="2" w:space="0" w:color="auto"/>
            </w:tcBorders>
            <w:shd w:val="clear" w:color="auto" w:fill="auto"/>
            <w:vAlign w:val="center"/>
          </w:tcPr>
          <w:p w14:paraId="23CC8150" w14:textId="6B7FC7D7" w:rsidR="00E77274" w:rsidRPr="00EB0E56" w:rsidRDefault="00DB5AAE" w:rsidP="00E77274">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70.05</w:t>
            </w:r>
          </w:p>
        </w:tc>
        <w:tc>
          <w:tcPr>
            <w:tcW w:w="416" w:type="pct"/>
            <w:tcBorders>
              <w:bottom w:val="single" w:sz="2" w:space="0" w:color="auto"/>
            </w:tcBorders>
            <w:shd w:val="clear" w:color="auto" w:fill="auto"/>
            <w:noWrap/>
            <w:vAlign w:val="center"/>
          </w:tcPr>
          <w:p w14:paraId="778991E2" w14:textId="6A426365" w:rsidR="00E77274" w:rsidRPr="00EB0E56" w:rsidRDefault="00DB5AAE" w:rsidP="00E77274">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52.58</w:t>
            </w:r>
          </w:p>
        </w:tc>
        <w:tc>
          <w:tcPr>
            <w:tcW w:w="422" w:type="pct"/>
            <w:tcBorders>
              <w:bottom w:val="single" w:sz="2" w:space="0" w:color="auto"/>
            </w:tcBorders>
            <w:shd w:val="clear" w:color="auto" w:fill="auto"/>
            <w:noWrap/>
            <w:vAlign w:val="center"/>
          </w:tcPr>
          <w:p w14:paraId="73AE714D" w14:textId="494A9193" w:rsidR="00E77274" w:rsidRPr="00EB0E56" w:rsidRDefault="00DB5AAE" w:rsidP="00E77274">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33%</w:t>
            </w:r>
          </w:p>
        </w:tc>
        <w:tc>
          <w:tcPr>
            <w:tcW w:w="411" w:type="pct"/>
            <w:tcBorders>
              <w:bottom w:val="single" w:sz="2" w:space="0" w:color="auto"/>
            </w:tcBorders>
            <w:vAlign w:val="center"/>
          </w:tcPr>
          <w:p w14:paraId="75503625" w14:textId="73AF73D4" w:rsidR="00E77274" w:rsidRPr="00EB0E56" w:rsidRDefault="00DB5AAE" w:rsidP="00E77274">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61.91</w:t>
            </w:r>
          </w:p>
        </w:tc>
        <w:tc>
          <w:tcPr>
            <w:tcW w:w="422" w:type="pct"/>
            <w:tcBorders>
              <w:bottom w:val="single" w:sz="2" w:space="0" w:color="auto"/>
            </w:tcBorders>
            <w:vAlign w:val="center"/>
          </w:tcPr>
          <w:p w14:paraId="6510122C" w14:textId="4BCBF3A6" w:rsidR="00E77274" w:rsidRPr="00EB0E56" w:rsidRDefault="00DB5AAE" w:rsidP="00E77274">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13%</w:t>
            </w:r>
          </w:p>
        </w:tc>
        <w:tc>
          <w:tcPr>
            <w:tcW w:w="412" w:type="pct"/>
            <w:tcBorders>
              <w:bottom w:val="single" w:sz="2" w:space="0" w:color="auto"/>
            </w:tcBorders>
            <w:vAlign w:val="center"/>
          </w:tcPr>
          <w:p w14:paraId="183B1414" w14:textId="72E62779" w:rsidR="00E77274" w:rsidRPr="00EB0E56" w:rsidRDefault="00DB5AAE" w:rsidP="008605A5">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61.90</w:t>
            </w:r>
          </w:p>
        </w:tc>
        <w:tc>
          <w:tcPr>
            <w:tcW w:w="417" w:type="pct"/>
            <w:tcBorders>
              <w:bottom w:val="single" w:sz="2" w:space="0" w:color="auto"/>
            </w:tcBorders>
            <w:vAlign w:val="center"/>
          </w:tcPr>
          <w:p w14:paraId="6FE2976A" w14:textId="11438585" w:rsidR="00E77274" w:rsidRPr="00EB0E56" w:rsidRDefault="00DB5AAE" w:rsidP="008605A5">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48.62</w:t>
            </w:r>
          </w:p>
        </w:tc>
        <w:tc>
          <w:tcPr>
            <w:tcW w:w="417" w:type="pct"/>
            <w:tcBorders>
              <w:bottom w:val="single" w:sz="2" w:space="0" w:color="auto"/>
            </w:tcBorders>
            <w:vAlign w:val="center"/>
          </w:tcPr>
          <w:p w14:paraId="35963A4E" w14:textId="6DA6D92E" w:rsidR="00E77274" w:rsidRPr="00EB0E56" w:rsidRDefault="00DB5AAE" w:rsidP="008605A5">
            <w:pPr>
              <w:spacing w:after="0" w:line="240" w:lineRule="auto"/>
              <w:jc w:val="right"/>
              <w:rPr>
                <w:rFonts w:ascii="Arial" w:eastAsia="Times New Roman" w:hAnsi="Arial" w:cs="Arial"/>
                <w:color w:val="000000"/>
                <w:sz w:val="20"/>
                <w:szCs w:val="20"/>
                <w:lang w:val="nl-NL" w:eastAsia="ru-RU"/>
              </w:rPr>
            </w:pPr>
            <w:r w:rsidRPr="000D120B">
              <w:rPr>
                <w:rFonts w:ascii="Arial" w:hAnsi="Arial" w:cs="Arial"/>
                <w:sz w:val="20"/>
                <w:szCs w:val="20"/>
              </w:rPr>
              <w:t>27%</w:t>
            </w:r>
          </w:p>
        </w:tc>
      </w:tr>
    </w:tbl>
    <w:p w14:paraId="5C3B158D" w14:textId="6FAD61B7" w:rsidR="00E41DEF" w:rsidRPr="00EB0E56" w:rsidRDefault="009F26CA" w:rsidP="00B85106">
      <w:pPr>
        <w:spacing w:before="240" w:after="120"/>
        <w:jc w:val="both"/>
        <w:rPr>
          <w:rFonts w:ascii="Arial" w:hAnsi="Arial" w:cs="Arial"/>
          <w:color w:val="000000" w:themeColor="text1"/>
          <w:sz w:val="20"/>
          <w:szCs w:val="20"/>
        </w:rPr>
      </w:pPr>
      <w:r w:rsidRPr="00EB0E56">
        <w:rPr>
          <w:rFonts w:ascii="Arial" w:hAnsi="Arial" w:cs="Arial"/>
          <w:color w:val="000000" w:themeColor="text1"/>
          <w:sz w:val="20"/>
          <w:szCs w:val="20"/>
        </w:rPr>
        <w:t xml:space="preserve">Sales volumes of convenience food in </w:t>
      </w:r>
      <w:r w:rsidR="00D2118D" w:rsidRPr="00EB0E56">
        <w:rPr>
          <w:rFonts w:ascii="Arial" w:hAnsi="Arial" w:cs="Arial"/>
          <w:color w:val="000000" w:themeColor="text1"/>
          <w:sz w:val="20"/>
          <w:szCs w:val="20"/>
        </w:rPr>
        <w:t>12</w:t>
      </w:r>
      <w:r w:rsidR="002B658D" w:rsidRPr="00EB0E56">
        <w:rPr>
          <w:rFonts w:ascii="Arial" w:hAnsi="Arial" w:cs="Arial"/>
          <w:color w:val="000000" w:themeColor="text1"/>
          <w:sz w:val="20"/>
          <w:szCs w:val="20"/>
        </w:rPr>
        <w:t>M</w:t>
      </w:r>
      <w:r w:rsidRPr="00EB0E56">
        <w:rPr>
          <w:rFonts w:ascii="Arial" w:hAnsi="Arial" w:cs="Arial"/>
          <w:color w:val="000000" w:themeColor="text1"/>
          <w:sz w:val="20"/>
          <w:szCs w:val="20"/>
        </w:rPr>
        <w:t xml:space="preserve"> </w:t>
      </w:r>
      <w:r w:rsidR="00E22622" w:rsidRPr="00EB0E56">
        <w:rPr>
          <w:rFonts w:ascii="Arial" w:hAnsi="Arial" w:cs="Arial"/>
          <w:color w:val="000000" w:themeColor="text1"/>
          <w:sz w:val="20"/>
          <w:szCs w:val="20"/>
        </w:rPr>
        <w:t>2022</w:t>
      </w:r>
      <w:r w:rsidRPr="00EB0E56">
        <w:rPr>
          <w:rFonts w:ascii="Arial" w:hAnsi="Arial" w:cs="Arial"/>
          <w:color w:val="000000" w:themeColor="text1"/>
          <w:sz w:val="20"/>
          <w:szCs w:val="20"/>
        </w:rPr>
        <w:t xml:space="preserve"> </w:t>
      </w:r>
      <w:r w:rsidR="00ED2939" w:rsidRPr="00EB0E56">
        <w:rPr>
          <w:rFonts w:ascii="Arial" w:hAnsi="Arial" w:cs="Arial"/>
          <w:color w:val="000000" w:themeColor="text1"/>
          <w:sz w:val="20"/>
          <w:szCs w:val="20"/>
        </w:rPr>
        <w:t>decreased</w:t>
      </w:r>
      <w:r w:rsidR="0099073A" w:rsidRPr="00EB0E56">
        <w:rPr>
          <w:rFonts w:ascii="Arial" w:hAnsi="Arial" w:cs="Arial"/>
          <w:color w:val="000000" w:themeColor="text1"/>
          <w:sz w:val="20"/>
          <w:szCs w:val="20"/>
        </w:rPr>
        <w:t xml:space="preserve"> by </w:t>
      </w:r>
      <w:r w:rsidR="00DB5AAE" w:rsidRPr="000D120B">
        <w:rPr>
          <w:rFonts w:ascii="Arial" w:hAnsi="Arial" w:cs="Arial"/>
          <w:sz w:val="20"/>
          <w:szCs w:val="20"/>
        </w:rPr>
        <w:t>4%</w:t>
      </w:r>
      <w:r w:rsidR="00E87AC9" w:rsidRPr="00EB0E56">
        <w:rPr>
          <w:rFonts w:ascii="Arial" w:hAnsi="Arial" w:cs="Arial"/>
          <w:color w:val="000000" w:themeColor="text1"/>
          <w:sz w:val="20"/>
          <w:szCs w:val="20"/>
        </w:rPr>
        <w:t xml:space="preserve"> </w:t>
      </w:r>
      <w:r w:rsidR="00A25694" w:rsidRPr="00EB0E56">
        <w:rPr>
          <w:rFonts w:ascii="Arial" w:hAnsi="Arial" w:cs="Arial"/>
          <w:color w:val="000000" w:themeColor="text1"/>
          <w:sz w:val="20"/>
          <w:szCs w:val="20"/>
        </w:rPr>
        <w:t>to</w:t>
      </w:r>
      <w:r w:rsidR="0028639F" w:rsidRPr="00EB0E56">
        <w:rPr>
          <w:rFonts w:ascii="Arial" w:hAnsi="Arial" w:cs="Arial"/>
          <w:color w:val="000000" w:themeColor="text1"/>
          <w:sz w:val="20"/>
          <w:szCs w:val="20"/>
        </w:rPr>
        <w:t xml:space="preserve"> </w:t>
      </w:r>
      <w:r w:rsidR="00DB5AAE" w:rsidRPr="000D120B">
        <w:rPr>
          <w:rFonts w:ascii="Arial" w:hAnsi="Arial" w:cs="Arial"/>
          <w:sz w:val="20"/>
          <w:szCs w:val="20"/>
        </w:rPr>
        <w:t>18,159</w:t>
      </w:r>
      <w:r w:rsidR="007E4DE6" w:rsidRPr="00EB0E56">
        <w:rPr>
          <w:rFonts w:ascii="Arial" w:hAnsi="Arial" w:cs="Arial"/>
          <w:color w:val="000000" w:themeColor="text1"/>
          <w:sz w:val="20"/>
          <w:szCs w:val="20"/>
        </w:rPr>
        <w:t xml:space="preserve"> </w:t>
      </w:r>
      <w:proofErr w:type="spellStart"/>
      <w:r w:rsidRPr="00EB0E56">
        <w:rPr>
          <w:rFonts w:ascii="Arial" w:hAnsi="Arial" w:cs="Arial"/>
          <w:color w:val="000000" w:themeColor="text1"/>
          <w:sz w:val="20"/>
          <w:szCs w:val="20"/>
        </w:rPr>
        <w:t>tonnes</w:t>
      </w:r>
      <w:proofErr w:type="spellEnd"/>
      <w:r w:rsidR="00AF118E">
        <w:rPr>
          <w:rFonts w:ascii="Arial" w:hAnsi="Arial" w:cs="Arial"/>
          <w:color w:val="000000" w:themeColor="text1"/>
          <w:sz w:val="20"/>
          <w:szCs w:val="20"/>
        </w:rPr>
        <w:t xml:space="preserve"> (</w:t>
      </w:r>
      <w:r w:rsidR="00AF118E" w:rsidRPr="00AF118E">
        <w:rPr>
          <w:rFonts w:ascii="Arial" w:hAnsi="Arial" w:cs="Arial"/>
          <w:color w:val="000000" w:themeColor="text1"/>
          <w:sz w:val="20"/>
          <w:szCs w:val="20"/>
        </w:rPr>
        <w:t>12M</w:t>
      </w:r>
      <w:r w:rsidR="00AF118E">
        <w:rPr>
          <w:rFonts w:ascii="Arial" w:hAnsi="Arial" w:cs="Arial"/>
          <w:color w:val="000000" w:themeColor="text1"/>
          <w:sz w:val="20"/>
          <w:szCs w:val="20"/>
        </w:rPr>
        <w:t xml:space="preserve"> </w:t>
      </w:r>
      <w:r w:rsidR="00AF118E" w:rsidRPr="00AF118E">
        <w:rPr>
          <w:rFonts w:ascii="Arial" w:hAnsi="Arial" w:cs="Arial"/>
          <w:color w:val="000000" w:themeColor="text1"/>
          <w:sz w:val="20"/>
          <w:szCs w:val="20"/>
        </w:rPr>
        <w:t xml:space="preserve">2021: </w:t>
      </w:r>
      <w:r w:rsidR="00DB5AAE" w:rsidRPr="000D120B">
        <w:rPr>
          <w:rFonts w:ascii="Arial" w:hAnsi="Arial" w:cs="Arial"/>
          <w:sz w:val="20"/>
          <w:szCs w:val="20"/>
        </w:rPr>
        <w:t>18,857</w:t>
      </w:r>
      <w:r w:rsidR="00AF118E" w:rsidRPr="00AF118E">
        <w:rPr>
          <w:rFonts w:ascii="Arial" w:hAnsi="Arial" w:cs="Arial"/>
          <w:color w:val="000000" w:themeColor="text1"/>
          <w:sz w:val="20"/>
          <w:szCs w:val="20"/>
        </w:rPr>
        <w:t xml:space="preserve"> </w:t>
      </w:r>
      <w:proofErr w:type="spellStart"/>
      <w:r w:rsidR="00AF118E" w:rsidRPr="00AF118E">
        <w:rPr>
          <w:rFonts w:ascii="Arial" w:hAnsi="Arial" w:cs="Arial"/>
          <w:color w:val="000000" w:themeColor="text1"/>
          <w:sz w:val="20"/>
          <w:szCs w:val="20"/>
        </w:rPr>
        <w:t>tonnes</w:t>
      </w:r>
      <w:proofErr w:type="spellEnd"/>
      <w:r w:rsidR="00AF118E">
        <w:rPr>
          <w:rFonts w:ascii="Arial" w:hAnsi="Arial" w:cs="Arial"/>
          <w:color w:val="000000" w:themeColor="text1"/>
          <w:sz w:val="20"/>
          <w:szCs w:val="20"/>
        </w:rPr>
        <w:t>)</w:t>
      </w:r>
      <w:r w:rsidR="00B85106" w:rsidRPr="00EB0E56">
        <w:rPr>
          <w:rFonts w:ascii="Arial" w:hAnsi="Arial" w:cs="Arial"/>
          <w:color w:val="000000" w:themeColor="text1"/>
          <w:sz w:val="20"/>
          <w:szCs w:val="20"/>
        </w:rPr>
        <w:t xml:space="preserve">, mainly driven by significant disruptions in </w:t>
      </w:r>
      <w:proofErr w:type="spellStart"/>
      <w:r w:rsidR="00B85106" w:rsidRPr="00EB0E56">
        <w:rPr>
          <w:rFonts w:ascii="Arial" w:hAnsi="Arial" w:cs="Arial"/>
          <w:color w:val="000000" w:themeColor="text1"/>
          <w:sz w:val="20"/>
          <w:szCs w:val="20"/>
        </w:rPr>
        <w:t>HoReCa</w:t>
      </w:r>
      <w:proofErr w:type="spellEnd"/>
      <w:r w:rsidR="00B85106" w:rsidRPr="00EB0E56">
        <w:rPr>
          <w:rFonts w:ascii="Arial" w:hAnsi="Arial" w:cs="Arial"/>
          <w:color w:val="000000" w:themeColor="text1"/>
          <w:sz w:val="20"/>
          <w:szCs w:val="20"/>
        </w:rPr>
        <w:t xml:space="preserve"> (both KFC and McDonalds </w:t>
      </w:r>
      <w:r w:rsidR="002C4AA6">
        <w:rPr>
          <w:rFonts w:ascii="Arial" w:hAnsi="Arial" w:cs="Arial"/>
          <w:color w:val="000000" w:themeColor="text1"/>
          <w:sz w:val="20"/>
          <w:szCs w:val="20"/>
        </w:rPr>
        <w:t xml:space="preserve">temporarily </w:t>
      </w:r>
      <w:r w:rsidR="00B85106" w:rsidRPr="00EB0E56">
        <w:rPr>
          <w:rFonts w:ascii="Arial" w:hAnsi="Arial" w:cs="Arial"/>
          <w:color w:val="000000" w:themeColor="text1"/>
          <w:sz w:val="20"/>
          <w:szCs w:val="20"/>
        </w:rPr>
        <w:t>cease</w:t>
      </w:r>
      <w:r w:rsidR="00AF118E">
        <w:rPr>
          <w:rFonts w:ascii="Arial" w:hAnsi="Arial" w:cs="Arial"/>
          <w:color w:val="000000" w:themeColor="text1"/>
          <w:sz w:val="20"/>
          <w:szCs w:val="20"/>
        </w:rPr>
        <w:t>d</w:t>
      </w:r>
      <w:r w:rsidR="00B85106" w:rsidRPr="00EB0E56">
        <w:rPr>
          <w:rFonts w:ascii="Arial" w:hAnsi="Arial" w:cs="Arial"/>
          <w:color w:val="000000" w:themeColor="text1"/>
          <w:sz w:val="20"/>
          <w:szCs w:val="20"/>
        </w:rPr>
        <w:t xml:space="preserve"> its operations in Ukraine</w:t>
      </w:r>
      <w:r w:rsidR="00AF118E">
        <w:rPr>
          <w:rFonts w:ascii="Arial" w:hAnsi="Arial" w:cs="Arial"/>
          <w:color w:val="000000" w:themeColor="text1"/>
          <w:sz w:val="20"/>
          <w:szCs w:val="20"/>
        </w:rPr>
        <w:t xml:space="preserve"> in Q2 2022</w:t>
      </w:r>
      <w:r w:rsidR="00B85106" w:rsidRPr="00EB0E56">
        <w:rPr>
          <w:rFonts w:ascii="Arial" w:hAnsi="Arial" w:cs="Arial"/>
          <w:color w:val="000000" w:themeColor="text1"/>
          <w:sz w:val="20"/>
          <w:szCs w:val="20"/>
        </w:rPr>
        <w:t xml:space="preserve"> because of the </w:t>
      </w:r>
      <w:r w:rsidR="00AF118E">
        <w:rPr>
          <w:rFonts w:ascii="Arial" w:hAnsi="Arial" w:cs="Arial"/>
          <w:color w:val="000000" w:themeColor="text1"/>
          <w:sz w:val="20"/>
          <w:szCs w:val="20"/>
        </w:rPr>
        <w:t>W</w:t>
      </w:r>
      <w:r w:rsidR="00B85106" w:rsidRPr="00EB0E56">
        <w:rPr>
          <w:rFonts w:ascii="Arial" w:hAnsi="Arial" w:cs="Arial"/>
          <w:color w:val="000000" w:themeColor="text1"/>
          <w:sz w:val="20"/>
          <w:szCs w:val="20"/>
        </w:rPr>
        <w:t>ar).</w:t>
      </w:r>
      <w:r w:rsidRPr="00EB0E56">
        <w:rPr>
          <w:rFonts w:ascii="Arial" w:hAnsi="Arial" w:cs="Arial"/>
          <w:color w:val="000000" w:themeColor="text1"/>
          <w:sz w:val="20"/>
          <w:szCs w:val="20"/>
        </w:rPr>
        <w:t xml:space="preserve"> The average price in </w:t>
      </w:r>
      <w:r w:rsidR="00D2118D" w:rsidRPr="00EB0E56">
        <w:rPr>
          <w:rFonts w:ascii="Arial" w:hAnsi="Arial" w:cs="Arial"/>
          <w:color w:val="000000" w:themeColor="text1"/>
          <w:sz w:val="20"/>
          <w:szCs w:val="20"/>
        </w:rPr>
        <w:t>12</w:t>
      </w:r>
      <w:r w:rsidR="002B658D" w:rsidRPr="00EB0E56">
        <w:rPr>
          <w:rFonts w:ascii="Arial" w:hAnsi="Arial" w:cs="Arial"/>
          <w:color w:val="000000" w:themeColor="text1"/>
          <w:sz w:val="20"/>
          <w:szCs w:val="20"/>
        </w:rPr>
        <w:t>M</w:t>
      </w:r>
      <w:r w:rsidR="00D120F8" w:rsidRPr="00EB0E56">
        <w:rPr>
          <w:rFonts w:ascii="Arial" w:hAnsi="Arial" w:cs="Arial"/>
          <w:color w:val="000000" w:themeColor="text1"/>
          <w:sz w:val="20"/>
          <w:szCs w:val="20"/>
        </w:rPr>
        <w:t xml:space="preserve"> </w:t>
      </w:r>
      <w:r w:rsidR="00E22622" w:rsidRPr="00EB0E56">
        <w:rPr>
          <w:rFonts w:ascii="Arial" w:hAnsi="Arial" w:cs="Arial"/>
          <w:color w:val="000000" w:themeColor="text1"/>
          <w:sz w:val="20"/>
          <w:szCs w:val="20"/>
        </w:rPr>
        <w:t>2022</w:t>
      </w:r>
      <w:r w:rsidRPr="00EB0E56">
        <w:rPr>
          <w:rFonts w:ascii="Arial" w:hAnsi="Arial" w:cs="Arial"/>
          <w:color w:val="000000" w:themeColor="text1"/>
          <w:sz w:val="20"/>
          <w:szCs w:val="20"/>
        </w:rPr>
        <w:t xml:space="preserve"> </w:t>
      </w:r>
      <w:r w:rsidR="008F649E" w:rsidRPr="00EB0E56">
        <w:rPr>
          <w:rFonts w:ascii="Arial" w:hAnsi="Arial" w:cs="Arial"/>
          <w:color w:val="000000" w:themeColor="text1"/>
          <w:sz w:val="20"/>
          <w:szCs w:val="20"/>
        </w:rPr>
        <w:t>in</w:t>
      </w:r>
      <w:r w:rsidR="00D120F8" w:rsidRPr="00EB0E56">
        <w:rPr>
          <w:rFonts w:ascii="Arial" w:hAnsi="Arial" w:cs="Arial"/>
          <w:color w:val="000000" w:themeColor="text1"/>
          <w:sz w:val="20"/>
          <w:szCs w:val="20"/>
        </w:rPr>
        <w:t xml:space="preserve">creased </w:t>
      </w:r>
      <w:r w:rsidRPr="00EB0E56">
        <w:rPr>
          <w:rFonts w:ascii="Arial" w:hAnsi="Arial" w:cs="Arial"/>
          <w:color w:val="000000" w:themeColor="text1"/>
          <w:sz w:val="20"/>
          <w:szCs w:val="20"/>
        </w:rPr>
        <w:t xml:space="preserve">by </w:t>
      </w:r>
      <w:r w:rsidR="00DB5AAE" w:rsidRPr="000D120B">
        <w:rPr>
          <w:rFonts w:ascii="Arial" w:hAnsi="Arial" w:cs="Arial"/>
          <w:sz w:val="20"/>
          <w:szCs w:val="20"/>
        </w:rPr>
        <w:t>27%</w:t>
      </w:r>
      <w:r w:rsidR="00812181" w:rsidRPr="00EB0E56">
        <w:rPr>
          <w:rFonts w:ascii="Arial" w:hAnsi="Arial" w:cs="Arial"/>
          <w:color w:val="000000" w:themeColor="text1"/>
          <w:sz w:val="20"/>
          <w:szCs w:val="20"/>
        </w:rPr>
        <w:t xml:space="preserve"> </w:t>
      </w:r>
      <w:r w:rsidRPr="00EB0E56">
        <w:rPr>
          <w:rFonts w:ascii="Arial" w:hAnsi="Arial" w:cs="Arial"/>
          <w:color w:val="000000" w:themeColor="text1"/>
          <w:sz w:val="20"/>
          <w:szCs w:val="20"/>
        </w:rPr>
        <w:t>to</w:t>
      </w:r>
      <w:r w:rsidR="00B11DCF" w:rsidRPr="00EB0E56">
        <w:rPr>
          <w:rFonts w:ascii="Arial" w:hAnsi="Arial" w:cs="Arial"/>
          <w:color w:val="000000" w:themeColor="text1"/>
          <w:sz w:val="20"/>
          <w:szCs w:val="20"/>
        </w:rPr>
        <w:t xml:space="preserve"> UAH</w:t>
      </w:r>
      <w:r w:rsidRPr="00EB0E56">
        <w:rPr>
          <w:rFonts w:ascii="Arial" w:hAnsi="Arial" w:cs="Arial"/>
          <w:color w:val="000000" w:themeColor="text1"/>
          <w:sz w:val="20"/>
          <w:szCs w:val="20"/>
        </w:rPr>
        <w:t xml:space="preserve"> </w:t>
      </w:r>
      <w:r w:rsidR="00DB5AAE" w:rsidRPr="000D120B">
        <w:rPr>
          <w:rFonts w:ascii="Arial" w:hAnsi="Arial" w:cs="Arial"/>
          <w:sz w:val="20"/>
          <w:szCs w:val="20"/>
        </w:rPr>
        <w:t>61.90</w:t>
      </w:r>
      <w:r w:rsidR="00ED2939" w:rsidRPr="00EB0E56">
        <w:rPr>
          <w:rFonts w:ascii="Arial" w:hAnsi="Arial" w:cs="Arial"/>
          <w:color w:val="000000" w:themeColor="text1"/>
          <w:sz w:val="20"/>
          <w:szCs w:val="20"/>
        </w:rPr>
        <w:t xml:space="preserve"> </w:t>
      </w:r>
      <w:r w:rsidRPr="00EB0E56">
        <w:rPr>
          <w:rFonts w:ascii="Arial" w:hAnsi="Arial" w:cs="Arial"/>
          <w:color w:val="000000" w:themeColor="text1"/>
          <w:sz w:val="20"/>
          <w:szCs w:val="20"/>
        </w:rPr>
        <w:t>per kg (excluding VAT)</w:t>
      </w:r>
      <w:r w:rsidR="00ED5B1F" w:rsidRPr="00EB0E56">
        <w:rPr>
          <w:rFonts w:ascii="Arial" w:hAnsi="Arial" w:cs="Arial"/>
          <w:color w:val="000000" w:themeColor="text1"/>
          <w:sz w:val="20"/>
          <w:szCs w:val="20"/>
        </w:rPr>
        <w:t xml:space="preserve"> mainly driven by raw material price increase</w:t>
      </w:r>
      <w:r w:rsidR="00AF118E">
        <w:rPr>
          <w:rFonts w:ascii="Arial" w:hAnsi="Arial" w:cs="Arial"/>
          <w:color w:val="000000" w:themeColor="text1"/>
          <w:sz w:val="20"/>
          <w:szCs w:val="20"/>
        </w:rPr>
        <w:t>s</w:t>
      </w:r>
      <w:r w:rsidR="00ED5B1F" w:rsidRPr="00EB0E56">
        <w:rPr>
          <w:rFonts w:ascii="Arial" w:hAnsi="Arial" w:cs="Arial"/>
          <w:color w:val="000000" w:themeColor="text1"/>
          <w:sz w:val="20"/>
          <w:szCs w:val="20"/>
        </w:rPr>
        <w:t xml:space="preserve"> as well as</w:t>
      </w:r>
      <w:r w:rsidR="00AF118E">
        <w:rPr>
          <w:rFonts w:ascii="Arial" w:hAnsi="Arial" w:cs="Arial"/>
          <w:color w:val="000000" w:themeColor="text1"/>
          <w:sz w:val="20"/>
          <w:szCs w:val="20"/>
        </w:rPr>
        <w:t xml:space="preserve"> a</w:t>
      </w:r>
      <w:r w:rsidR="00ED5B1F" w:rsidRPr="00EB0E56">
        <w:rPr>
          <w:rFonts w:ascii="Arial" w:hAnsi="Arial" w:cs="Arial"/>
          <w:color w:val="000000" w:themeColor="text1"/>
          <w:sz w:val="20"/>
          <w:szCs w:val="20"/>
        </w:rPr>
        <w:t xml:space="preserve"> focus on</w:t>
      </w:r>
      <w:r w:rsidR="00AF118E">
        <w:rPr>
          <w:rFonts w:ascii="Arial" w:hAnsi="Arial" w:cs="Arial"/>
          <w:color w:val="000000" w:themeColor="text1"/>
          <w:sz w:val="20"/>
          <w:szCs w:val="20"/>
        </w:rPr>
        <w:t xml:space="preserve"> increased sales</w:t>
      </w:r>
      <w:r w:rsidR="00ED5B1F" w:rsidRPr="00EB0E56">
        <w:rPr>
          <w:rFonts w:ascii="Arial" w:hAnsi="Arial" w:cs="Arial"/>
          <w:color w:val="000000" w:themeColor="text1"/>
          <w:sz w:val="20"/>
          <w:szCs w:val="20"/>
        </w:rPr>
        <w:t xml:space="preserve"> </w:t>
      </w:r>
      <w:r w:rsidR="008C0DEE">
        <w:rPr>
          <w:rFonts w:ascii="Arial" w:hAnsi="Arial" w:cs="Arial"/>
          <w:color w:val="000000" w:themeColor="text1"/>
          <w:sz w:val="20"/>
          <w:szCs w:val="20"/>
        </w:rPr>
        <w:t xml:space="preserve">of higher-margin </w:t>
      </w:r>
      <w:r w:rsidR="00ED5B1F" w:rsidRPr="00EB0E56">
        <w:rPr>
          <w:rFonts w:ascii="Arial" w:hAnsi="Arial" w:cs="Arial"/>
          <w:color w:val="000000" w:themeColor="text1"/>
          <w:sz w:val="20"/>
          <w:szCs w:val="20"/>
        </w:rPr>
        <w:t>products</w:t>
      </w:r>
      <w:r w:rsidR="00B85106" w:rsidRPr="00EB0E56">
        <w:rPr>
          <w:rFonts w:ascii="Arial" w:hAnsi="Arial" w:cs="Arial"/>
          <w:color w:val="000000" w:themeColor="text1"/>
          <w:sz w:val="20"/>
          <w:szCs w:val="20"/>
        </w:rPr>
        <w:t>.</w:t>
      </w:r>
    </w:p>
    <w:p w14:paraId="59EFAA29" w14:textId="77777777" w:rsidR="00B11DCF" w:rsidRPr="00594661" w:rsidRDefault="00B11DCF" w:rsidP="00B11DCF">
      <w:pPr>
        <w:spacing w:before="120" w:after="120"/>
        <w:jc w:val="both"/>
        <w:rPr>
          <w:rFonts w:ascii="Arial" w:eastAsia="Calibri" w:hAnsi="Arial" w:cs="Arial"/>
          <w:b/>
          <w:bCs/>
          <w:sz w:val="20"/>
          <w:szCs w:val="20"/>
        </w:rPr>
      </w:pPr>
      <w:r w:rsidRPr="00594661">
        <w:rPr>
          <w:rFonts w:ascii="Arial" w:eastAsia="Calibri" w:hAnsi="Arial" w:cs="Arial"/>
          <w:b/>
          <w:bCs/>
          <w:sz w:val="20"/>
          <w:szCs w:val="20"/>
        </w:rPr>
        <w:t>Financial result and trends</w:t>
      </w:r>
    </w:p>
    <w:tbl>
      <w:tblPr>
        <w:tblW w:w="5000" w:type="pct"/>
        <w:tblLayout w:type="fixed"/>
        <w:tblLook w:val="04A0" w:firstRow="1" w:lastRow="0" w:firstColumn="1" w:lastColumn="0" w:noHBand="0" w:noVBand="1"/>
      </w:tblPr>
      <w:tblGrid>
        <w:gridCol w:w="3341"/>
        <w:gridCol w:w="238"/>
        <w:gridCol w:w="879"/>
        <w:gridCol w:w="788"/>
        <w:gridCol w:w="991"/>
        <w:gridCol w:w="708"/>
        <w:gridCol w:w="853"/>
        <w:gridCol w:w="848"/>
        <w:gridCol w:w="710"/>
        <w:gridCol w:w="991"/>
      </w:tblGrid>
      <w:tr w:rsidR="008B13B5" w:rsidRPr="00C155D0" w14:paraId="31649897" w14:textId="7A0BAC23" w:rsidTr="008B503C">
        <w:trPr>
          <w:trHeight w:val="266"/>
        </w:trPr>
        <w:tc>
          <w:tcPr>
            <w:tcW w:w="1614" w:type="pct"/>
            <w:tcBorders>
              <w:top w:val="single" w:sz="12" w:space="0" w:color="auto"/>
              <w:bottom w:val="single" w:sz="12" w:space="0" w:color="auto"/>
            </w:tcBorders>
            <w:shd w:val="clear" w:color="auto" w:fill="auto"/>
            <w:noWrap/>
            <w:vAlign w:val="center"/>
            <w:hideMark/>
          </w:tcPr>
          <w:p w14:paraId="39F11666" w14:textId="77777777" w:rsidR="008B13B5" w:rsidRPr="00C155D0" w:rsidRDefault="008B13B5" w:rsidP="000C1D3E">
            <w:pPr>
              <w:spacing w:after="0" w:line="240" w:lineRule="auto"/>
              <w:jc w:val="both"/>
              <w:rPr>
                <w:rFonts w:ascii="Arial" w:eastAsia="Times New Roman" w:hAnsi="Arial" w:cs="Arial"/>
                <w:color w:val="000000"/>
                <w:sz w:val="20"/>
                <w:szCs w:val="20"/>
                <w:lang w:eastAsia="ru-RU"/>
              </w:rPr>
            </w:pPr>
            <w:r w:rsidRPr="00C155D0">
              <w:rPr>
                <w:rFonts w:ascii="Arial" w:eastAsia="Times New Roman" w:hAnsi="Arial" w:cs="Arial"/>
                <w:i/>
                <w:color w:val="000000"/>
                <w:sz w:val="20"/>
                <w:szCs w:val="20"/>
                <w:lang w:eastAsia="ru-RU"/>
              </w:rPr>
              <w:t xml:space="preserve">(in </w:t>
            </w:r>
            <w:proofErr w:type="spellStart"/>
            <w:r w:rsidRPr="00C155D0">
              <w:rPr>
                <w:rFonts w:ascii="Arial" w:eastAsia="Times New Roman" w:hAnsi="Arial" w:cs="Arial"/>
                <w:i/>
                <w:color w:val="000000"/>
                <w:sz w:val="20"/>
                <w:szCs w:val="20"/>
                <w:lang w:eastAsia="ru-RU"/>
              </w:rPr>
              <w:t>mln</w:t>
            </w:r>
            <w:proofErr w:type="spellEnd"/>
            <w:r w:rsidRPr="00C155D0">
              <w:rPr>
                <w:rFonts w:ascii="Arial" w:eastAsia="Times New Roman" w:hAnsi="Arial" w:cs="Arial"/>
                <w:i/>
                <w:color w:val="000000"/>
                <w:sz w:val="20"/>
                <w:szCs w:val="20"/>
                <w:lang w:eastAsia="ru-RU"/>
              </w:rPr>
              <w:t>. US$, except margin data)</w:t>
            </w:r>
            <w:r w:rsidRPr="00C155D0">
              <w:rPr>
                <w:rFonts w:ascii="Arial" w:eastAsia="Times New Roman" w:hAnsi="Arial" w:cs="Arial"/>
                <w:color w:val="000000"/>
                <w:sz w:val="20"/>
                <w:szCs w:val="20"/>
                <w:lang w:eastAsia="ru-RU"/>
              </w:rPr>
              <w:t xml:space="preserve"> </w:t>
            </w:r>
          </w:p>
        </w:tc>
        <w:tc>
          <w:tcPr>
            <w:tcW w:w="115" w:type="pct"/>
          </w:tcPr>
          <w:p w14:paraId="70F529BC" w14:textId="77777777" w:rsidR="008B13B5" w:rsidRPr="00C155D0" w:rsidRDefault="008B13B5" w:rsidP="000C1D3E">
            <w:pPr>
              <w:spacing w:after="0" w:line="240" w:lineRule="auto"/>
              <w:jc w:val="right"/>
              <w:rPr>
                <w:rFonts w:ascii="Arial" w:eastAsia="Times New Roman" w:hAnsi="Arial" w:cs="Arial"/>
                <w:b/>
                <w:bCs/>
                <w:color w:val="000000"/>
                <w:sz w:val="20"/>
                <w:szCs w:val="20"/>
                <w:lang w:eastAsia="ru-RU"/>
              </w:rPr>
            </w:pPr>
          </w:p>
        </w:tc>
        <w:tc>
          <w:tcPr>
            <w:tcW w:w="425" w:type="pct"/>
            <w:tcBorders>
              <w:top w:val="single" w:sz="12" w:space="0" w:color="auto"/>
              <w:bottom w:val="single" w:sz="12" w:space="0" w:color="auto"/>
            </w:tcBorders>
            <w:shd w:val="clear" w:color="auto" w:fill="auto"/>
            <w:noWrap/>
            <w:vAlign w:val="center"/>
            <w:hideMark/>
          </w:tcPr>
          <w:p w14:paraId="084EF39B" w14:textId="5E1CCD20" w:rsidR="008B13B5" w:rsidRPr="00C155D0" w:rsidRDefault="008B13B5" w:rsidP="008B503C">
            <w:pPr>
              <w:spacing w:after="0" w:line="240" w:lineRule="auto"/>
              <w:jc w:val="right"/>
              <w:rPr>
                <w:rFonts w:ascii="Arial" w:eastAsia="Times New Roman" w:hAnsi="Arial" w:cs="Arial"/>
                <w:b/>
                <w:bCs/>
                <w:color w:val="000000"/>
                <w:sz w:val="20"/>
                <w:szCs w:val="20"/>
                <w:lang w:eastAsia="ru-RU"/>
              </w:rPr>
            </w:pPr>
            <w:r w:rsidRPr="00C155D0">
              <w:rPr>
                <w:rFonts w:ascii="Arial" w:eastAsia="Times New Roman" w:hAnsi="Arial" w:cs="Arial"/>
                <w:b/>
                <w:bCs/>
                <w:color w:val="000000"/>
                <w:sz w:val="20"/>
                <w:szCs w:val="20"/>
                <w:lang w:eastAsia="ru-RU"/>
              </w:rPr>
              <w:t>Q</w:t>
            </w:r>
            <w:r w:rsidR="00D2118D" w:rsidRPr="00C155D0">
              <w:rPr>
                <w:rFonts w:ascii="Arial" w:eastAsia="Times New Roman" w:hAnsi="Arial" w:cs="Arial"/>
                <w:b/>
                <w:bCs/>
                <w:color w:val="000000"/>
                <w:sz w:val="20"/>
                <w:szCs w:val="20"/>
                <w:lang w:eastAsia="ru-RU"/>
              </w:rPr>
              <w:t>4</w:t>
            </w:r>
            <w:r w:rsidRPr="00C155D0">
              <w:rPr>
                <w:rFonts w:ascii="Arial" w:eastAsia="Times New Roman" w:hAnsi="Arial" w:cs="Arial"/>
                <w:b/>
                <w:bCs/>
                <w:color w:val="000000"/>
                <w:sz w:val="20"/>
                <w:szCs w:val="20"/>
                <w:lang w:eastAsia="ru-RU"/>
              </w:rPr>
              <w:t xml:space="preserve"> 2022</w:t>
            </w:r>
          </w:p>
        </w:tc>
        <w:tc>
          <w:tcPr>
            <w:tcW w:w="381" w:type="pct"/>
            <w:tcBorders>
              <w:top w:val="single" w:sz="12" w:space="0" w:color="auto"/>
              <w:bottom w:val="single" w:sz="12" w:space="0" w:color="auto"/>
            </w:tcBorders>
            <w:shd w:val="clear" w:color="auto" w:fill="auto"/>
            <w:noWrap/>
            <w:vAlign w:val="center"/>
            <w:hideMark/>
          </w:tcPr>
          <w:p w14:paraId="57E440C6" w14:textId="2E8D7845" w:rsidR="008B13B5" w:rsidRPr="00C155D0" w:rsidRDefault="008B13B5" w:rsidP="008B503C">
            <w:pPr>
              <w:spacing w:after="0" w:line="240" w:lineRule="auto"/>
              <w:jc w:val="right"/>
              <w:rPr>
                <w:rFonts w:ascii="Arial" w:eastAsia="Times New Roman" w:hAnsi="Arial" w:cs="Arial"/>
                <w:b/>
                <w:bCs/>
                <w:color w:val="000000"/>
                <w:sz w:val="20"/>
                <w:szCs w:val="20"/>
                <w:lang w:eastAsia="ru-RU"/>
              </w:rPr>
            </w:pPr>
            <w:r w:rsidRPr="00C155D0">
              <w:rPr>
                <w:rFonts w:ascii="Arial" w:eastAsia="Times New Roman" w:hAnsi="Arial" w:cs="Arial"/>
                <w:b/>
                <w:bCs/>
                <w:color w:val="000000"/>
                <w:sz w:val="20"/>
                <w:szCs w:val="20"/>
                <w:lang w:eastAsia="ru-RU"/>
              </w:rPr>
              <w:t>Q</w:t>
            </w:r>
            <w:r w:rsidR="00D2118D" w:rsidRPr="00C155D0">
              <w:rPr>
                <w:rFonts w:ascii="Arial" w:eastAsia="Times New Roman" w:hAnsi="Arial" w:cs="Arial"/>
                <w:b/>
                <w:bCs/>
                <w:color w:val="000000"/>
                <w:sz w:val="20"/>
                <w:szCs w:val="20"/>
                <w:lang w:eastAsia="ru-RU"/>
              </w:rPr>
              <w:t>4</w:t>
            </w:r>
            <w:r w:rsidRPr="00C155D0">
              <w:rPr>
                <w:rFonts w:ascii="Arial" w:eastAsia="Times New Roman" w:hAnsi="Arial" w:cs="Arial"/>
                <w:b/>
                <w:bCs/>
                <w:color w:val="000000"/>
                <w:sz w:val="20"/>
                <w:szCs w:val="20"/>
                <w:lang w:eastAsia="ru-RU"/>
              </w:rPr>
              <w:t xml:space="preserve"> 2021</w:t>
            </w:r>
          </w:p>
        </w:tc>
        <w:tc>
          <w:tcPr>
            <w:tcW w:w="479" w:type="pct"/>
            <w:tcBorders>
              <w:top w:val="single" w:sz="12" w:space="0" w:color="auto"/>
              <w:bottom w:val="single" w:sz="12" w:space="0" w:color="auto"/>
            </w:tcBorders>
            <w:shd w:val="clear" w:color="auto" w:fill="auto"/>
            <w:noWrap/>
            <w:vAlign w:val="center"/>
            <w:hideMark/>
          </w:tcPr>
          <w:p w14:paraId="6A95BFFF" w14:textId="3D860596" w:rsidR="008B13B5" w:rsidRPr="00C155D0" w:rsidRDefault="008B13B5" w:rsidP="008B503C">
            <w:pPr>
              <w:spacing w:after="0" w:line="240" w:lineRule="auto"/>
              <w:jc w:val="right"/>
              <w:rPr>
                <w:rFonts w:ascii="Arial" w:eastAsia="Times New Roman" w:hAnsi="Arial" w:cs="Arial"/>
                <w:i/>
                <w:iCs/>
                <w:color w:val="000000"/>
                <w:sz w:val="20"/>
                <w:szCs w:val="20"/>
                <w:lang w:eastAsia="ru-RU"/>
              </w:rPr>
            </w:pPr>
            <w:r w:rsidRPr="00C155D0">
              <w:rPr>
                <w:rFonts w:ascii="Arial" w:eastAsia="Times New Roman" w:hAnsi="Arial" w:cs="Arial"/>
                <w:i/>
                <w:color w:val="000000"/>
                <w:sz w:val="20"/>
                <w:szCs w:val="20"/>
                <w:lang w:eastAsia="ru-RU"/>
              </w:rPr>
              <w:t>% change y/y</w:t>
            </w:r>
            <w:r w:rsidRPr="00C155D0">
              <w:rPr>
                <w:rFonts w:ascii="Arial" w:eastAsia="Times New Roman" w:hAnsi="Arial" w:cs="Arial"/>
                <w:i/>
                <w:color w:val="000000"/>
                <w:sz w:val="20"/>
                <w:szCs w:val="20"/>
                <w:vertAlign w:val="superscript"/>
                <w:lang w:eastAsia="ru-RU"/>
              </w:rPr>
              <w:t>1)</w:t>
            </w:r>
          </w:p>
        </w:tc>
        <w:tc>
          <w:tcPr>
            <w:tcW w:w="342" w:type="pct"/>
            <w:tcBorders>
              <w:top w:val="single" w:sz="12" w:space="0" w:color="auto"/>
              <w:bottom w:val="single" w:sz="12" w:space="0" w:color="auto"/>
            </w:tcBorders>
            <w:vAlign w:val="center"/>
          </w:tcPr>
          <w:p w14:paraId="150E3077" w14:textId="66314E73" w:rsidR="008B13B5" w:rsidRPr="00C155D0" w:rsidRDefault="008B13B5" w:rsidP="008B503C">
            <w:pPr>
              <w:spacing w:after="0" w:line="240" w:lineRule="auto"/>
              <w:jc w:val="right"/>
              <w:rPr>
                <w:rFonts w:ascii="Arial" w:eastAsia="Times New Roman" w:hAnsi="Arial" w:cs="Arial"/>
                <w:i/>
                <w:iCs/>
                <w:color w:val="000000"/>
                <w:sz w:val="20"/>
                <w:szCs w:val="20"/>
                <w:lang w:eastAsia="ru-RU"/>
              </w:rPr>
            </w:pPr>
            <w:r w:rsidRPr="00C155D0">
              <w:rPr>
                <w:rFonts w:ascii="Arial" w:eastAsia="Times New Roman" w:hAnsi="Arial" w:cs="Arial"/>
                <w:b/>
                <w:color w:val="000000"/>
                <w:sz w:val="20"/>
                <w:szCs w:val="20"/>
                <w:lang w:eastAsia="ru-RU"/>
              </w:rPr>
              <w:t>Q</w:t>
            </w:r>
            <w:r w:rsidR="00D2118D" w:rsidRPr="00C155D0">
              <w:rPr>
                <w:rFonts w:ascii="Arial" w:eastAsia="Times New Roman" w:hAnsi="Arial" w:cs="Arial"/>
                <w:b/>
                <w:color w:val="000000"/>
                <w:sz w:val="20"/>
                <w:szCs w:val="20"/>
                <w:lang w:eastAsia="ru-RU"/>
              </w:rPr>
              <w:t>3</w:t>
            </w:r>
            <w:r w:rsidRPr="00C155D0">
              <w:rPr>
                <w:rFonts w:ascii="Arial" w:eastAsia="Times New Roman" w:hAnsi="Arial" w:cs="Arial"/>
                <w:b/>
                <w:color w:val="000000"/>
                <w:sz w:val="20"/>
                <w:szCs w:val="20"/>
                <w:lang w:eastAsia="ru-RU"/>
              </w:rPr>
              <w:t xml:space="preserve"> 2022</w:t>
            </w:r>
          </w:p>
        </w:tc>
        <w:tc>
          <w:tcPr>
            <w:tcW w:w="412" w:type="pct"/>
            <w:tcBorders>
              <w:top w:val="single" w:sz="12" w:space="0" w:color="auto"/>
              <w:bottom w:val="single" w:sz="12" w:space="0" w:color="auto"/>
            </w:tcBorders>
            <w:vAlign w:val="center"/>
          </w:tcPr>
          <w:p w14:paraId="063D4BFF" w14:textId="2EF06F76" w:rsidR="008B13B5" w:rsidRPr="00C155D0" w:rsidRDefault="008B13B5" w:rsidP="008B503C">
            <w:pPr>
              <w:spacing w:after="0" w:line="240" w:lineRule="auto"/>
              <w:jc w:val="right"/>
              <w:rPr>
                <w:rFonts w:ascii="Arial" w:eastAsia="Times New Roman" w:hAnsi="Arial" w:cs="Arial"/>
                <w:i/>
                <w:iCs/>
                <w:color w:val="000000"/>
                <w:sz w:val="20"/>
                <w:szCs w:val="20"/>
                <w:lang w:eastAsia="ru-RU"/>
              </w:rPr>
            </w:pPr>
            <w:r w:rsidRPr="00C155D0">
              <w:rPr>
                <w:rFonts w:ascii="Arial" w:eastAsia="Times New Roman" w:hAnsi="Arial" w:cs="Arial"/>
                <w:i/>
                <w:color w:val="000000"/>
                <w:sz w:val="20"/>
                <w:szCs w:val="20"/>
                <w:lang w:eastAsia="ru-RU"/>
              </w:rPr>
              <w:t>% change q/q</w:t>
            </w:r>
            <w:r w:rsidRPr="00C155D0">
              <w:rPr>
                <w:rFonts w:ascii="Arial" w:eastAsia="Times New Roman" w:hAnsi="Arial" w:cs="Arial"/>
                <w:i/>
                <w:color w:val="000000"/>
                <w:sz w:val="20"/>
                <w:szCs w:val="20"/>
                <w:vertAlign w:val="superscript"/>
                <w:lang w:eastAsia="ru-RU"/>
              </w:rPr>
              <w:t>1)</w:t>
            </w:r>
          </w:p>
        </w:tc>
        <w:tc>
          <w:tcPr>
            <w:tcW w:w="410" w:type="pct"/>
            <w:tcBorders>
              <w:top w:val="single" w:sz="12" w:space="0" w:color="auto"/>
              <w:bottom w:val="single" w:sz="12" w:space="0" w:color="auto"/>
            </w:tcBorders>
            <w:vAlign w:val="center"/>
          </w:tcPr>
          <w:p w14:paraId="41C71015" w14:textId="3B6D30BB" w:rsidR="008B13B5" w:rsidRPr="00C155D0" w:rsidRDefault="00D2118D" w:rsidP="008B503C">
            <w:pPr>
              <w:spacing w:after="0" w:line="240" w:lineRule="auto"/>
              <w:jc w:val="right"/>
              <w:rPr>
                <w:rFonts w:ascii="Arial" w:eastAsia="Times New Roman" w:hAnsi="Arial" w:cs="Arial"/>
                <w:i/>
                <w:color w:val="000000"/>
                <w:sz w:val="20"/>
                <w:szCs w:val="20"/>
                <w:lang w:eastAsia="ru-RU"/>
              </w:rPr>
            </w:pPr>
            <w:r w:rsidRPr="00C155D0">
              <w:rPr>
                <w:rFonts w:ascii="Arial" w:eastAsia="Times New Roman" w:hAnsi="Arial" w:cs="Arial"/>
                <w:b/>
                <w:bCs/>
                <w:color w:val="000000"/>
                <w:sz w:val="20"/>
                <w:szCs w:val="20"/>
                <w:lang w:eastAsia="ru-RU"/>
              </w:rPr>
              <w:t>12</w:t>
            </w:r>
            <w:r w:rsidR="002B658D" w:rsidRPr="00C155D0">
              <w:rPr>
                <w:rFonts w:ascii="Arial" w:eastAsia="Times New Roman" w:hAnsi="Arial" w:cs="Arial"/>
                <w:b/>
                <w:bCs/>
                <w:color w:val="000000"/>
                <w:sz w:val="20"/>
                <w:szCs w:val="20"/>
                <w:lang w:eastAsia="ru-RU"/>
              </w:rPr>
              <w:t>M</w:t>
            </w:r>
            <w:r w:rsidR="008B13B5" w:rsidRPr="00C155D0">
              <w:rPr>
                <w:rFonts w:ascii="Arial" w:eastAsia="Times New Roman" w:hAnsi="Arial" w:cs="Arial"/>
                <w:b/>
                <w:bCs/>
                <w:color w:val="000000"/>
                <w:sz w:val="20"/>
                <w:szCs w:val="20"/>
                <w:lang w:eastAsia="ru-RU"/>
              </w:rPr>
              <w:t xml:space="preserve"> 2022</w:t>
            </w:r>
          </w:p>
        </w:tc>
        <w:tc>
          <w:tcPr>
            <w:tcW w:w="343" w:type="pct"/>
            <w:tcBorders>
              <w:top w:val="single" w:sz="12" w:space="0" w:color="auto"/>
              <w:bottom w:val="single" w:sz="12" w:space="0" w:color="auto"/>
            </w:tcBorders>
            <w:vAlign w:val="center"/>
          </w:tcPr>
          <w:p w14:paraId="646BFF67" w14:textId="3F30F246" w:rsidR="008B13B5" w:rsidRPr="00C155D0" w:rsidRDefault="00D2118D" w:rsidP="008B503C">
            <w:pPr>
              <w:spacing w:after="0" w:line="240" w:lineRule="auto"/>
              <w:jc w:val="right"/>
              <w:rPr>
                <w:rFonts w:ascii="Arial" w:eastAsia="Times New Roman" w:hAnsi="Arial" w:cs="Arial"/>
                <w:i/>
                <w:color w:val="000000"/>
                <w:sz w:val="20"/>
                <w:szCs w:val="20"/>
                <w:lang w:eastAsia="ru-RU"/>
              </w:rPr>
            </w:pPr>
            <w:r w:rsidRPr="00C155D0">
              <w:rPr>
                <w:rFonts w:ascii="Arial" w:eastAsia="Times New Roman" w:hAnsi="Arial" w:cs="Arial"/>
                <w:b/>
                <w:bCs/>
                <w:color w:val="000000"/>
                <w:sz w:val="20"/>
                <w:szCs w:val="20"/>
                <w:lang w:eastAsia="ru-RU"/>
              </w:rPr>
              <w:t>12</w:t>
            </w:r>
            <w:r w:rsidR="002B658D" w:rsidRPr="00C155D0">
              <w:rPr>
                <w:rFonts w:ascii="Arial" w:eastAsia="Times New Roman" w:hAnsi="Arial" w:cs="Arial"/>
                <w:b/>
                <w:bCs/>
                <w:color w:val="000000"/>
                <w:sz w:val="20"/>
                <w:szCs w:val="20"/>
                <w:lang w:eastAsia="ru-RU"/>
              </w:rPr>
              <w:t>M</w:t>
            </w:r>
            <w:r w:rsidR="008B13B5" w:rsidRPr="00C155D0">
              <w:rPr>
                <w:rFonts w:ascii="Arial" w:eastAsia="Times New Roman" w:hAnsi="Arial" w:cs="Arial"/>
                <w:b/>
                <w:bCs/>
                <w:color w:val="000000"/>
                <w:sz w:val="20"/>
                <w:szCs w:val="20"/>
                <w:lang w:eastAsia="ru-RU"/>
              </w:rPr>
              <w:t xml:space="preserve"> 2021</w:t>
            </w:r>
          </w:p>
        </w:tc>
        <w:tc>
          <w:tcPr>
            <w:tcW w:w="479" w:type="pct"/>
            <w:tcBorders>
              <w:top w:val="single" w:sz="12" w:space="0" w:color="auto"/>
              <w:bottom w:val="single" w:sz="12" w:space="0" w:color="auto"/>
            </w:tcBorders>
            <w:vAlign w:val="center"/>
          </w:tcPr>
          <w:p w14:paraId="2CD7C6FB" w14:textId="5B1FF9B8" w:rsidR="008B13B5" w:rsidRPr="00C155D0" w:rsidRDefault="008B13B5" w:rsidP="008B503C">
            <w:pPr>
              <w:spacing w:after="0" w:line="240" w:lineRule="auto"/>
              <w:jc w:val="right"/>
              <w:rPr>
                <w:rFonts w:ascii="Arial" w:eastAsia="Times New Roman" w:hAnsi="Arial" w:cs="Arial"/>
                <w:i/>
                <w:color w:val="000000"/>
                <w:sz w:val="20"/>
                <w:szCs w:val="20"/>
                <w:lang w:eastAsia="ru-RU"/>
              </w:rPr>
            </w:pPr>
            <w:r w:rsidRPr="00C155D0">
              <w:rPr>
                <w:rFonts w:ascii="Arial" w:eastAsia="Times New Roman" w:hAnsi="Arial" w:cs="Arial"/>
                <w:bCs/>
                <w:color w:val="000000"/>
                <w:sz w:val="20"/>
                <w:szCs w:val="20"/>
                <w:lang w:eastAsia="ru-RU"/>
              </w:rPr>
              <w:t>% change</w:t>
            </w:r>
          </w:p>
        </w:tc>
      </w:tr>
      <w:tr w:rsidR="008B13B5" w:rsidRPr="00C155D0" w14:paraId="696D762B" w14:textId="6CF96638" w:rsidTr="008B13B5">
        <w:trPr>
          <w:trHeight w:hRule="exact" w:val="141"/>
        </w:trPr>
        <w:tc>
          <w:tcPr>
            <w:tcW w:w="1614" w:type="pct"/>
            <w:tcBorders>
              <w:top w:val="single" w:sz="12" w:space="0" w:color="auto"/>
            </w:tcBorders>
            <w:shd w:val="clear" w:color="auto" w:fill="auto"/>
            <w:noWrap/>
            <w:vAlign w:val="center"/>
          </w:tcPr>
          <w:p w14:paraId="6C6B9A3B" w14:textId="77777777" w:rsidR="008B13B5" w:rsidRPr="00C155D0" w:rsidRDefault="008B13B5" w:rsidP="000C1D3E">
            <w:pPr>
              <w:spacing w:after="0" w:line="240" w:lineRule="auto"/>
              <w:jc w:val="both"/>
              <w:rPr>
                <w:rFonts w:ascii="Arial" w:eastAsia="Times New Roman" w:hAnsi="Arial" w:cs="Arial"/>
                <w:b/>
                <w:bCs/>
                <w:color w:val="000000"/>
                <w:sz w:val="20"/>
                <w:szCs w:val="20"/>
                <w:lang w:eastAsia="ru-RU"/>
              </w:rPr>
            </w:pPr>
          </w:p>
        </w:tc>
        <w:tc>
          <w:tcPr>
            <w:tcW w:w="115" w:type="pct"/>
          </w:tcPr>
          <w:p w14:paraId="7708C224" w14:textId="77777777" w:rsidR="008B13B5" w:rsidRPr="00C155D0" w:rsidRDefault="008B13B5" w:rsidP="000C1D3E">
            <w:pPr>
              <w:spacing w:after="0" w:line="240" w:lineRule="auto"/>
              <w:jc w:val="right"/>
              <w:rPr>
                <w:rFonts w:ascii="Arial" w:eastAsia="Times New Roman" w:hAnsi="Arial" w:cs="Arial"/>
                <w:b/>
                <w:bCs/>
                <w:color w:val="000000"/>
                <w:sz w:val="20"/>
                <w:szCs w:val="20"/>
                <w:lang w:eastAsia="ru-RU"/>
              </w:rPr>
            </w:pPr>
          </w:p>
        </w:tc>
        <w:tc>
          <w:tcPr>
            <w:tcW w:w="425" w:type="pct"/>
            <w:tcBorders>
              <w:top w:val="single" w:sz="12" w:space="0" w:color="auto"/>
            </w:tcBorders>
            <w:shd w:val="clear" w:color="auto" w:fill="auto"/>
            <w:noWrap/>
            <w:vAlign w:val="center"/>
          </w:tcPr>
          <w:p w14:paraId="260CD0E5" w14:textId="77777777" w:rsidR="008B13B5" w:rsidRPr="00C155D0" w:rsidRDefault="008B13B5" w:rsidP="000C1D3E">
            <w:pPr>
              <w:spacing w:after="0" w:line="240" w:lineRule="auto"/>
              <w:jc w:val="right"/>
              <w:rPr>
                <w:rFonts w:ascii="Arial" w:eastAsia="Times New Roman" w:hAnsi="Arial" w:cs="Arial"/>
                <w:b/>
                <w:bCs/>
                <w:color w:val="000000"/>
                <w:sz w:val="20"/>
                <w:szCs w:val="20"/>
                <w:lang w:eastAsia="ru-RU"/>
              </w:rPr>
            </w:pPr>
          </w:p>
        </w:tc>
        <w:tc>
          <w:tcPr>
            <w:tcW w:w="381" w:type="pct"/>
            <w:tcBorders>
              <w:top w:val="single" w:sz="12" w:space="0" w:color="auto"/>
            </w:tcBorders>
            <w:shd w:val="clear" w:color="auto" w:fill="auto"/>
            <w:noWrap/>
            <w:vAlign w:val="center"/>
          </w:tcPr>
          <w:p w14:paraId="54B6B7BC" w14:textId="0B30B10F" w:rsidR="008B13B5" w:rsidRPr="00C155D0" w:rsidRDefault="008B13B5" w:rsidP="000C1D3E">
            <w:pPr>
              <w:spacing w:after="0" w:line="240" w:lineRule="auto"/>
              <w:jc w:val="right"/>
              <w:rPr>
                <w:rFonts w:ascii="Arial" w:eastAsia="Times New Roman" w:hAnsi="Arial" w:cs="Arial"/>
                <w:b/>
                <w:bCs/>
                <w:color w:val="000000"/>
                <w:sz w:val="20"/>
                <w:szCs w:val="20"/>
                <w:lang w:eastAsia="ru-RU"/>
              </w:rPr>
            </w:pPr>
          </w:p>
        </w:tc>
        <w:tc>
          <w:tcPr>
            <w:tcW w:w="479" w:type="pct"/>
            <w:tcBorders>
              <w:top w:val="single" w:sz="12" w:space="0" w:color="auto"/>
            </w:tcBorders>
            <w:shd w:val="clear" w:color="auto" w:fill="auto"/>
            <w:noWrap/>
            <w:vAlign w:val="center"/>
          </w:tcPr>
          <w:p w14:paraId="00B37946" w14:textId="6CB8C9D6" w:rsidR="008B13B5" w:rsidRPr="00C155D0" w:rsidRDefault="008B13B5" w:rsidP="000C1D3E">
            <w:pPr>
              <w:spacing w:after="0" w:line="240" w:lineRule="auto"/>
              <w:jc w:val="right"/>
              <w:rPr>
                <w:rFonts w:ascii="Arial" w:eastAsia="Times New Roman" w:hAnsi="Arial" w:cs="Arial"/>
                <w:b/>
                <w:bCs/>
                <w:i/>
                <w:iCs/>
                <w:color w:val="000000"/>
                <w:sz w:val="20"/>
                <w:szCs w:val="20"/>
                <w:lang w:eastAsia="ru-RU"/>
              </w:rPr>
            </w:pPr>
          </w:p>
        </w:tc>
        <w:tc>
          <w:tcPr>
            <w:tcW w:w="342" w:type="pct"/>
            <w:tcBorders>
              <w:top w:val="single" w:sz="12" w:space="0" w:color="auto"/>
            </w:tcBorders>
          </w:tcPr>
          <w:p w14:paraId="51F4278B" w14:textId="77777777" w:rsidR="008B13B5" w:rsidRPr="00C155D0" w:rsidRDefault="008B13B5" w:rsidP="000C1D3E">
            <w:pPr>
              <w:spacing w:after="0" w:line="240" w:lineRule="auto"/>
              <w:jc w:val="right"/>
              <w:rPr>
                <w:rFonts w:ascii="Arial" w:eastAsia="Times New Roman" w:hAnsi="Arial" w:cs="Arial"/>
                <w:b/>
                <w:bCs/>
                <w:i/>
                <w:iCs/>
                <w:color w:val="000000"/>
                <w:sz w:val="20"/>
                <w:szCs w:val="20"/>
                <w:lang w:eastAsia="ru-RU"/>
              </w:rPr>
            </w:pPr>
          </w:p>
        </w:tc>
        <w:tc>
          <w:tcPr>
            <w:tcW w:w="412" w:type="pct"/>
            <w:tcBorders>
              <w:top w:val="single" w:sz="12" w:space="0" w:color="auto"/>
            </w:tcBorders>
          </w:tcPr>
          <w:p w14:paraId="24558B88" w14:textId="77777777" w:rsidR="008B13B5" w:rsidRPr="00C155D0" w:rsidRDefault="008B13B5" w:rsidP="000C1D3E">
            <w:pPr>
              <w:spacing w:after="0" w:line="240" w:lineRule="auto"/>
              <w:jc w:val="right"/>
              <w:rPr>
                <w:rFonts w:ascii="Arial" w:eastAsia="Times New Roman" w:hAnsi="Arial" w:cs="Arial"/>
                <w:b/>
                <w:bCs/>
                <w:i/>
                <w:iCs/>
                <w:color w:val="000000"/>
                <w:sz w:val="20"/>
                <w:szCs w:val="20"/>
                <w:lang w:eastAsia="ru-RU"/>
              </w:rPr>
            </w:pPr>
          </w:p>
        </w:tc>
        <w:tc>
          <w:tcPr>
            <w:tcW w:w="410" w:type="pct"/>
            <w:tcBorders>
              <w:top w:val="single" w:sz="12" w:space="0" w:color="auto"/>
            </w:tcBorders>
          </w:tcPr>
          <w:p w14:paraId="591B2056" w14:textId="77777777" w:rsidR="008B13B5" w:rsidRPr="00C155D0" w:rsidRDefault="008B13B5" w:rsidP="000C1D3E">
            <w:pPr>
              <w:spacing w:after="0" w:line="240" w:lineRule="auto"/>
              <w:jc w:val="right"/>
              <w:rPr>
                <w:rFonts w:ascii="Arial" w:eastAsia="Times New Roman" w:hAnsi="Arial" w:cs="Arial"/>
                <w:b/>
                <w:bCs/>
                <w:i/>
                <w:iCs/>
                <w:color w:val="000000"/>
                <w:sz w:val="20"/>
                <w:szCs w:val="20"/>
                <w:lang w:eastAsia="ru-RU"/>
              </w:rPr>
            </w:pPr>
          </w:p>
        </w:tc>
        <w:tc>
          <w:tcPr>
            <w:tcW w:w="343" w:type="pct"/>
            <w:tcBorders>
              <w:top w:val="single" w:sz="12" w:space="0" w:color="auto"/>
            </w:tcBorders>
          </w:tcPr>
          <w:p w14:paraId="0099DF9A" w14:textId="77777777" w:rsidR="008B13B5" w:rsidRPr="00C155D0" w:rsidRDefault="008B13B5" w:rsidP="000C1D3E">
            <w:pPr>
              <w:spacing w:after="0" w:line="240" w:lineRule="auto"/>
              <w:jc w:val="right"/>
              <w:rPr>
                <w:rFonts w:ascii="Arial" w:eastAsia="Times New Roman" w:hAnsi="Arial" w:cs="Arial"/>
                <w:b/>
                <w:bCs/>
                <w:i/>
                <w:iCs/>
                <w:color w:val="000000"/>
                <w:sz w:val="20"/>
                <w:szCs w:val="20"/>
                <w:lang w:eastAsia="ru-RU"/>
              </w:rPr>
            </w:pPr>
          </w:p>
        </w:tc>
        <w:tc>
          <w:tcPr>
            <w:tcW w:w="479" w:type="pct"/>
            <w:tcBorders>
              <w:top w:val="single" w:sz="12" w:space="0" w:color="auto"/>
            </w:tcBorders>
          </w:tcPr>
          <w:p w14:paraId="36D366C9" w14:textId="77777777" w:rsidR="008B13B5" w:rsidRPr="00C155D0" w:rsidRDefault="008B13B5" w:rsidP="000C1D3E">
            <w:pPr>
              <w:spacing w:after="0" w:line="240" w:lineRule="auto"/>
              <w:jc w:val="right"/>
              <w:rPr>
                <w:rFonts w:ascii="Arial" w:eastAsia="Times New Roman" w:hAnsi="Arial" w:cs="Arial"/>
                <w:b/>
                <w:bCs/>
                <w:i/>
                <w:iCs/>
                <w:color w:val="000000"/>
                <w:sz w:val="20"/>
                <w:szCs w:val="20"/>
                <w:lang w:eastAsia="ru-RU"/>
              </w:rPr>
            </w:pPr>
          </w:p>
        </w:tc>
      </w:tr>
      <w:tr w:rsidR="008B13B5" w:rsidRPr="00C155D0" w14:paraId="65E0E869" w14:textId="671AEAFC" w:rsidTr="008B503C">
        <w:trPr>
          <w:trHeight w:val="146"/>
        </w:trPr>
        <w:tc>
          <w:tcPr>
            <w:tcW w:w="1614" w:type="pct"/>
            <w:shd w:val="clear" w:color="auto" w:fill="auto"/>
            <w:noWrap/>
            <w:vAlign w:val="center"/>
            <w:hideMark/>
          </w:tcPr>
          <w:p w14:paraId="275B4BEE" w14:textId="77777777" w:rsidR="008B13B5" w:rsidRPr="00C155D0" w:rsidRDefault="008B13B5" w:rsidP="00BC1629">
            <w:pPr>
              <w:spacing w:after="0" w:line="240" w:lineRule="auto"/>
              <w:jc w:val="both"/>
              <w:rPr>
                <w:rFonts w:ascii="Arial" w:eastAsia="Times New Roman" w:hAnsi="Arial" w:cs="Arial"/>
                <w:b/>
                <w:bCs/>
                <w:color w:val="000000"/>
                <w:sz w:val="20"/>
                <w:szCs w:val="20"/>
                <w:lang w:eastAsia="ru-RU"/>
              </w:rPr>
            </w:pPr>
            <w:r w:rsidRPr="00C155D0">
              <w:rPr>
                <w:rFonts w:ascii="Arial" w:eastAsia="Times New Roman" w:hAnsi="Arial" w:cs="Arial"/>
                <w:b/>
                <w:bCs/>
                <w:color w:val="000000"/>
                <w:sz w:val="20"/>
                <w:szCs w:val="20"/>
                <w:lang w:eastAsia="ru-RU"/>
              </w:rPr>
              <w:t xml:space="preserve">Revenue </w:t>
            </w:r>
          </w:p>
        </w:tc>
        <w:tc>
          <w:tcPr>
            <w:tcW w:w="115" w:type="pct"/>
          </w:tcPr>
          <w:p w14:paraId="747CAA0C" w14:textId="77777777" w:rsidR="008B13B5" w:rsidRPr="00C155D0" w:rsidRDefault="008B13B5" w:rsidP="00BC1629">
            <w:pPr>
              <w:spacing w:after="0" w:line="240" w:lineRule="auto"/>
              <w:jc w:val="right"/>
              <w:rPr>
                <w:rFonts w:ascii="Arial" w:eastAsia="Times New Roman" w:hAnsi="Arial" w:cs="Arial"/>
                <w:b/>
                <w:bCs/>
                <w:color w:val="000000"/>
                <w:sz w:val="20"/>
                <w:szCs w:val="20"/>
                <w:lang w:eastAsia="ru-RU"/>
              </w:rPr>
            </w:pPr>
          </w:p>
        </w:tc>
        <w:tc>
          <w:tcPr>
            <w:tcW w:w="425" w:type="pct"/>
            <w:shd w:val="clear" w:color="auto" w:fill="auto"/>
            <w:noWrap/>
            <w:vAlign w:val="center"/>
          </w:tcPr>
          <w:p w14:paraId="6D947E3A" w14:textId="34B427F5" w:rsidR="008B13B5" w:rsidRPr="00C155D0" w:rsidRDefault="00D11CA6" w:rsidP="008B503C">
            <w:pPr>
              <w:spacing w:after="0" w:line="240" w:lineRule="auto"/>
              <w:jc w:val="right"/>
              <w:rPr>
                <w:rFonts w:ascii="Arial" w:eastAsiaTheme="minorEastAsia" w:hAnsi="Arial" w:cs="Arial"/>
                <w:b/>
                <w:bCs/>
                <w:color w:val="000000"/>
                <w:sz w:val="20"/>
                <w:szCs w:val="20"/>
                <w:lang w:eastAsia="ru-RU"/>
              </w:rPr>
            </w:pPr>
            <w:r w:rsidRPr="00C155D0">
              <w:rPr>
                <w:rFonts w:ascii="Arial" w:hAnsi="Arial" w:cs="Arial"/>
                <w:b/>
                <w:bCs/>
                <w:sz w:val="20"/>
                <w:szCs w:val="20"/>
              </w:rPr>
              <w:t xml:space="preserve"> </w:t>
            </w:r>
            <w:r w:rsidR="00DB5AAE" w:rsidRPr="000D120B">
              <w:rPr>
                <w:rFonts w:ascii="Arial" w:hAnsi="Arial" w:cs="Arial"/>
                <w:b/>
                <w:bCs/>
                <w:sz w:val="20"/>
                <w:szCs w:val="20"/>
              </w:rPr>
              <w:t>39</w:t>
            </w:r>
            <w:r w:rsidRPr="00C155D0">
              <w:rPr>
                <w:rFonts w:ascii="Arial" w:hAnsi="Arial" w:cs="Arial"/>
                <w:b/>
                <w:bCs/>
                <w:sz w:val="20"/>
                <w:szCs w:val="20"/>
              </w:rPr>
              <w:t xml:space="preserve"> </w:t>
            </w:r>
          </w:p>
        </w:tc>
        <w:tc>
          <w:tcPr>
            <w:tcW w:w="381" w:type="pct"/>
            <w:shd w:val="clear" w:color="auto" w:fill="auto"/>
            <w:noWrap/>
            <w:vAlign w:val="center"/>
          </w:tcPr>
          <w:p w14:paraId="74BB5840" w14:textId="08E5A722" w:rsidR="008B13B5" w:rsidRPr="00C155D0" w:rsidRDefault="00D11CA6" w:rsidP="008B503C">
            <w:pPr>
              <w:spacing w:after="0" w:line="240" w:lineRule="auto"/>
              <w:jc w:val="right"/>
              <w:rPr>
                <w:rFonts w:ascii="Arial" w:hAnsi="Arial" w:cs="Arial"/>
                <w:b/>
                <w:bCs/>
                <w:sz w:val="20"/>
                <w:szCs w:val="20"/>
              </w:rPr>
            </w:pPr>
            <w:r w:rsidRPr="00C155D0">
              <w:rPr>
                <w:rFonts w:ascii="Arial" w:hAnsi="Arial" w:cs="Arial"/>
                <w:b/>
                <w:bCs/>
                <w:sz w:val="20"/>
                <w:szCs w:val="20"/>
              </w:rPr>
              <w:t xml:space="preserve"> </w:t>
            </w:r>
            <w:r w:rsidR="00DB5AAE" w:rsidRPr="000D120B">
              <w:rPr>
                <w:rFonts w:ascii="Arial" w:hAnsi="Arial" w:cs="Arial"/>
                <w:b/>
                <w:bCs/>
                <w:sz w:val="20"/>
                <w:szCs w:val="20"/>
              </w:rPr>
              <w:t>49</w:t>
            </w:r>
            <w:r w:rsidRPr="00C155D0">
              <w:rPr>
                <w:rFonts w:ascii="Arial" w:hAnsi="Arial" w:cs="Arial"/>
                <w:b/>
                <w:bCs/>
                <w:sz w:val="20"/>
                <w:szCs w:val="20"/>
              </w:rPr>
              <w:t xml:space="preserve"> </w:t>
            </w:r>
          </w:p>
        </w:tc>
        <w:tc>
          <w:tcPr>
            <w:tcW w:w="479" w:type="pct"/>
            <w:shd w:val="clear" w:color="auto" w:fill="auto"/>
            <w:noWrap/>
            <w:vAlign w:val="center"/>
          </w:tcPr>
          <w:p w14:paraId="52357FB7" w14:textId="2B38A57F" w:rsidR="008B13B5" w:rsidRPr="00C155D0" w:rsidRDefault="00DB5AAE" w:rsidP="008B503C">
            <w:pPr>
              <w:spacing w:after="0" w:line="240" w:lineRule="auto"/>
              <w:jc w:val="right"/>
              <w:rPr>
                <w:rFonts w:ascii="Arial" w:hAnsi="Arial" w:cs="Arial"/>
                <w:b/>
                <w:bCs/>
                <w:sz w:val="20"/>
                <w:szCs w:val="20"/>
              </w:rPr>
            </w:pPr>
            <w:r w:rsidRPr="000D120B">
              <w:rPr>
                <w:rFonts w:ascii="Arial" w:hAnsi="Arial" w:cs="Arial"/>
                <w:b/>
                <w:bCs/>
                <w:sz w:val="20"/>
                <w:szCs w:val="20"/>
              </w:rPr>
              <w:t>-20%</w:t>
            </w:r>
          </w:p>
        </w:tc>
        <w:tc>
          <w:tcPr>
            <w:tcW w:w="342" w:type="pct"/>
            <w:vAlign w:val="center"/>
          </w:tcPr>
          <w:p w14:paraId="27C19443" w14:textId="3A28F6C3" w:rsidR="008B13B5" w:rsidRPr="00C155D0" w:rsidRDefault="00DB5AAE" w:rsidP="008B503C">
            <w:pPr>
              <w:spacing w:after="0" w:line="240" w:lineRule="auto"/>
              <w:jc w:val="right"/>
              <w:rPr>
                <w:rFonts w:ascii="Arial" w:hAnsi="Arial" w:cs="Arial"/>
                <w:b/>
                <w:bCs/>
                <w:sz w:val="20"/>
                <w:szCs w:val="20"/>
              </w:rPr>
            </w:pPr>
            <w:r w:rsidRPr="000D120B">
              <w:rPr>
                <w:rFonts w:ascii="Arial" w:hAnsi="Arial" w:cs="Arial"/>
                <w:b/>
                <w:bCs/>
                <w:sz w:val="20"/>
                <w:szCs w:val="20"/>
              </w:rPr>
              <w:t xml:space="preserve"> 32 </w:t>
            </w:r>
          </w:p>
        </w:tc>
        <w:tc>
          <w:tcPr>
            <w:tcW w:w="412" w:type="pct"/>
            <w:vAlign w:val="center"/>
          </w:tcPr>
          <w:p w14:paraId="45EAF4A2" w14:textId="0E1EB8D8" w:rsidR="008B13B5" w:rsidRPr="00C155D0" w:rsidRDefault="00DB5AAE" w:rsidP="008B503C">
            <w:pPr>
              <w:spacing w:after="0" w:line="240" w:lineRule="auto"/>
              <w:jc w:val="right"/>
              <w:rPr>
                <w:rFonts w:ascii="Arial" w:hAnsi="Arial" w:cs="Arial"/>
                <w:b/>
                <w:bCs/>
                <w:sz w:val="20"/>
                <w:szCs w:val="20"/>
              </w:rPr>
            </w:pPr>
            <w:r w:rsidRPr="000D120B">
              <w:rPr>
                <w:rFonts w:ascii="Arial" w:hAnsi="Arial" w:cs="Arial"/>
                <w:b/>
                <w:bCs/>
                <w:sz w:val="20"/>
                <w:szCs w:val="20"/>
              </w:rPr>
              <w:t>22%</w:t>
            </w:r>
          </w:p>
        </w:tc>
        <w:tc>
          <w:tcPr>
            <w:tcW w:w="410" w:type="pct"/>
            <w:vAlign w:val="center"/>
          </w:tcPr>
          <w:p w14:paraId="260156A9" w14:textId="1BAB3346" w:rsidR="008B13B5" w:rsidRPr="00C155D0" w:rsidRDefault="00DB5AAE" w:rsidP="008B503C">
            <w:pPr>
              <w:spacing w:after="0" w:line="240" w:lineRule="auto"/>
              <w:jc w:val="right"/>
              <w:rPr>
                <w:rFonts w:ascii="Arial" w:hAnsi="Arial" w:cs="Arial"/>
                <w:b/>
                <w:bCs/>
                <w:sz w:val="20"/>
                <w:szCs w:val="20"/>
              </w:rPr>
            </w:pPr>
            <w:r w:rsidRPr="000D120B">
              <w:rPr>
                <w:rFonts w:ascii="Arial" w:hAnsi="Arial" w:cs="Arial"/>
                <w:b/>
                <w:bCs/>
                <w:sz w:val="20"/>
                <w:szCs w:val="20"/>
              </w:rPr>
              <w:t xml:space="preserve"> 134   </w:t>
            </w:r>
          </w:p>
        </w:tc>
        <w:tc>
          <w:tcPr>
            <w:tcW w:w="343" w:type="pct"/>
            <w:vAlign w:val="center"/>
          </w:tcPr>
          <w:p w14:paraId="3C7DA75D" w14:textId="41A9B327" w:rsidR="008B13B5" w:rsidRPr="00C155D0" w:rsidRDefault="00DB5AAE" w:rsidP="008B503C">
            <w:pPr>
              <w:spacing w:after="0" w:line="240" w:lineRule="auto"/>
              <w:jc w:val="right"/>
              <w:rPr>
                <w:rFonts w:ascii="Arial" w:hAnsi="Arial" w:cs="Arial"/>
                <w:b/>
                <w:bCs/>
                <w:sz w:val="20"/>
                <w:szCs w:val="20"/>
              </w:rPr>
            </w:pPr>
            <w:r w:rsidRPr="000D120B">
              <w:rPr>
                <w:rFonts w:ascii="Arial" w:hAnsi="Arial" w:cs="Arial"/>
                <w:b/>
                <w:bCs/>
                <w:sz w:val="20"/>
                <w:szCs w:val="20"/>
              </w:rPr>
              <w:t>176</w:t>
            </w:r>
          </w:p>
        </w:tc>
        <w:tc>
          <w:tcPr>
            <w:tcW w:w="479" w:type="pct"/>
            <w:vAlign w:val="center"/>
          </w:tcPr>
          <w:p w14:paraId="0EB5A7B5" w14:textId="67E8BF9B" w:rsidR="008B13B5" w:rsidRPr="00C155D0" w:rsidRDefault="00DB5AAE" w:rsidP="008B503C">
            <w:pPr>
              <w:spacing w:after="0" w:line="240" w:lineRule="auto"/>
              <w:jc w:val="right"/>
              <w:rPr>
                <w:rFonts w:ascii="Arial" w:hAnsi="Arial" w:cs="Arial"/>
                <w:b/>
                <w:bCs/>
                <w:sz w:val="20"/>
                <w:szCs w:val="20"/>
              </w:rPr>
            </w:pPr>
            <w:r w:rsidRPr="000D120B">
              <w:rPr>
                <w:rFonts w:ascii="Arial" w:hAnsi="Arial" w:cs="Arial"/>
                <w:b/>
                <w:bCs/>
                <w:sz w:val="20"/>
                <w:szCs w:val="20"/>
              </w:rPr>
              <w:t>-24%</w:t>
            </w:r>
          </w:p>
        </w:tc>
      </w:tr>
      <w:tr w:rsidR="008B13B5" w:rsidRPr="00C155D0" w14:paraId="2A00FE5F" w14:textId="69EF7C47" w:rsidTr="008B503C">
        <w:trPr>
          <w:trHeight w:val="147"/>
        </w:trPr>
        <w:tc>
          <w:tcPr>
            <w:tcW w:w="1614" w:type="pct"/>
            <w:shd w:val="clear" w:color="auto" w:fill="auto"/>
            <w:noWrap/>
            <w:vAlign w:val="center"/>
            <w:hideMark/>
          </w:tcPr>
          <w:p w14:paraId="0040ED0C" w14:textId="4803E06B" w:rsidR="008B13B5" w:rsidRPr="00C155D0" w:rsidRDefault="008B13B5" w:rsidP="00BC1629">
            <w:pPr>
              <w:spacing w:after="0" w:line="240" w:lineRule="auto"/>
              <w:jc w:val="both"/>
              <w:rPr>
                <w:rFonts w:ascii="Arial" w:eastAsia="Times New Roman" w:hAnsi="Arial" w:cs="Arial"/>
                <w:i/>
                <w:iCs/>
                <w:color w:val="000000"/>
                <w:sz w:val="20"/>
                <w:szCs w:val="20"/>
                <w:lang w:eastAsia="ru-RU"/>
              </w:rPr>
            </w:pPr>
            <w:r w:rsidRPr="00C155D0">
              <w:rPr>
                <w:rFonts w:ascii="Arial" w:eastAsia="Times New Roman" w:hAnsi="Arial" w:cs="Arial"/>
                <w:i/>
                <w:iCs/>
                <w:color w:val="000000"/>
                <w:sz w:val="20"/>
                <w:szCs w:val="20"/>
                <w:lang w:eastAsia="ru-RU"/>
              </w:rPr>
              <w:t>- Meat processing and convenience food</w:t>
            </w:r>
          </w:p>
        </w:tc>
        <w:tc>
          <w:tcPr>
            <w:tcW w:w="115" w:type="pct"/>
          </w:tcPr>
          <w:p w14:paraId="55D2A439" w14:textId="77777777" w:rsidR="008B13B5" w:rsidRPr="00C155D0" w:rsidRDefault="008B13B5" w:rsidP="00BC1629">
            <w:pPr>
              <w:spacing w:after="0" w:line="240" w:lineRule="auto"/>
              <w:jc w:val="right"/>
              <w:rPr>
                <w:rFonts w:ascii="Arial" w:eastAsia="Times New Roman" w:hAnsi="Arial" w:cs="Arial"/>
                <w:i/>
                <w:iCs/>
                <w:color w:val="000000"/>
                <w:sz w:val="20"/>
                <w:szCs w:val="20"/>
                <w:lang w:eastAsia="ru-RU"/>
              </w:rPr>
            </w:pPr>
          </w:p>
        </w:tc>
        <w:tc>
          <w:tcPr>
            <w:tcW w:w="425" w:type="pct"/>
            <w:shd w:val="clear" w:color="auto" w:fill="auto"/>
            <w:noWrap/>
            <w:vAlign w:val="center"/>
          </w:tcPr>
          <w:p w14:paraId="0CF307C3" w14:textId="5CDB22B2" w:rsidR="008B13B5" w:rsidRPr="00C155D0" w:rsidRDefault="00D11CA6" w:rsidP="008B503C">
            <w:pPr>
              <w:spacing w:after="0" w:line="240" w:lineRule="auto"/>
              <w:jc w:val="right"/>
              <w:rPr>
                <w:rFonts w:ascii="Arial" w:eastAsiaTheme="minorEastAsia" w:hAnsi="Arial" w:cs="Arial"/>
                <w:i/>
                <w:iCs/>
                <w:color w:val="000000"/>
                <w:sz w:val="20"/>
                <w:szCs w:val="20"/>
                <w:lang w:eastAsia="ru-RU"/>
              </w:rPr>
            </w:pPr>
            <w:r w:rsidRPr="00C155D0">
              <w:rPr>
                <w:rFonts w:ascii="Arial" w:hAnsi="Arial" w:cs="Arial"/>
                <w:i/>
                <w:iCs/>
                <w:sz w:val="20"/>
                <w:szCs w:val="20"/>
              </w:rPr>
              <w:t xml:space="preserve"> </w:t>
            </w:r>
            <w:r w:rsidR="00DB5AAE" w:rsidRPr="000D120B">
              <w:rPr>
                <w:rFonts w:ascii="Arial" w:hAnsi="Arial" w:cs="Arial"/>
                <w:i/>
                <w:iCs/>
                <w:sz w:val="20"/>
                <w:szCs w:val="20"/>
              </w:rPr>
              <w:t xml:space="preserve"> 30</w:t>
            </w:r>
            <w:r w:rsidRPr="00C155D0">
              <w:rPr>
                <w:rFonts w:ascii="Arial" w:hAnsi="Arial" w:cs="Arial"/>
                <w:i/>
                <w:iCs/>
                <w:sz w:val="20"/>
                <w:szCs w:val="20"/>
              </w:rPr>
              <w:t xml:space="preserve"> </w:t>
            </w:r>
          </w:p>
        </w:tc>
        <w:tc>
          <w:tcPr>
            <w:tcW w:w="381" w:type="pct"/>
            <w:shd w:val="clear" w:color="auto" w:fill="auto"/>
            <w:noWrap/>
            <w:vAlign w:val="center"/>
          </w:tcPr>
          <w:p w14:paraId="627D78AA" w14:textId="4AE262DD" w:rsidR="008B13B5" w:rsidRPr="00C155D0" w:rsidRDefault="00D11CA6" w:rsidP="008B503C">
            <w:pPr>
              <w:spacing w:after="0" w:line="240" w:lineRule="auto"/>
              <w:jc w:val="right"/>
              <w:rPr>
                <w:rFonts w:ascii="Arial" w:hAnsi="Arial" w:cs="Arial"/>
                <w:i/>
                <w:iCs/>
                <w:sz w:val="20"/>
                <w:szCs w:val="20"/>
              </w:rPr>
            </w:pPr>
            <w:r w:rsidRPr="00C155D0">
              <w:rPr>
                <w:rFonts w:ascii="Arial" w:hAnsi="Arial" w:cs="Arial"/>
                <w:i/>
                <w:iCs/>
                <w:sz w:val="20"/>
                <w:szCs w:val="20"/>
              </w:rPr>
              <w:t xml:space="preserve"> </w:t>
            </w:r>
            <w:r w:rsidR="00DB5AAE" w:rsidRPr="000D120B">
              <w:rPr>
                <w:rFonts w:ascii="Arial" w:hAnsi="Arial" w:cs="Arial"/>
                <w:i/>
                <w:iCs/>
                <w:sz w:val="20"/>
                <w:szCs w:val="20"/>
              </w:rPr>
              <w:t xml:space="preserve"> 40</w:t>
            </w:r>
            <w:r w:rsidRPr="00C155D0">
              <w:rPr>
                <w:rFonts w:ascii="Arial" w:hAnsi="Arial" w:cs="Arial"/>
                <w:i/>
                <w:iCs/>
                <w:sz w:val="20"/>
                <w:szCs w:val="20"/>
              </w:rPr>
              <w:t xml:space="preserve"> </w:t>
            </w:r>
          </w:p>
        </w:tc>
        <w:tc>
          <w:tcPr>
            <w:tcW w:w="479" w:type="pct"/>
            <w:shd w:val="clear" w:color="auto" w:fill="auto"/>
            <w:noWrap/>
            <w:vAlign w:val="center"/>
          </w:tcPr>
          <w:p w14:paraId="028AEDC6" w14:textId="35D568E1"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-25%</w:t>
            </w:r>
          </w:p>
        </w:tc>
        <w:tc>
          <w:tcPr>
            <w:tcW w:w="342" w:type="pct"/>
            <w:vAlign w:val="center"/>
          </w:tcPr>
          <w:p w14:paraId="63169A0F" w14:textId="2FB23FAB" w:rsidR="008B13B5" w:rsidRPr="00C155D0" w:rsidRDefault="00D11CA6" w:rsidP="008B503C">
            <w:pPr>
              <w:spacing w:after="0" w:line="240" w:lineRule="auto"/>
              <w:jc w:val="right"/>
              <w:rPr>
                <w:rFonts w:ascii="Arial" w:hAnsi="Arial" w:cs="Arial"/>
                <w:i/>
                <w:iCs/>
                <w:sz w:val="20"/>
                <w:szCs w:val="20"/>
              </w:rPr>
            </w:pPr>
            <w:r w:rsidRPr="00C155D0">
              <w:rPr>
                <w:rFonts w:ascii="Arial" w:hAnsi="Arial" w:cs="Arial"/>
                <w:i/>
                <w:iCs/>
                <w:sz w:val="20"/>
                <w:szCs w:val="20"/>
              </w:rPr>
              <w:t xml:space="preserve"> </w:t>
            </w:r>
            <w:r w:rsidR="00DB5AAE" w:rsidRPr="000D120B">
              <w:rPr>
                <w:rFonts w:ascii="Arial" w:hAnsi="Arial" w:cs="Arial"/>
                <w:i/>
                <w:iCs/>
                <w:sz w:val="20"/>
                <w:szCs w:val="20"/>
              </w:rPr>
              <w:t xml:space="preserve"> 24 </w:t>
            </w:r>
            <w:r w:rsidRPr="00C155D0">
              <w:rPr>
                <w:rFonts w:ascii="Arial" w:hAnsi="Arial" w:cs="Arial"/>
                <w:i/>
                <w:iCs/>
                <w:sz w:val="20"/>
                <w:szCs w:val="20"/>
              </w:rPr>
              <w:t xml:space="preserve">   </w:t>
            </w:r>
          </w:p>
        </w:tc>
        <w:tc>
          <w:tcPr>
            <w:tcW w:w="412" w:type="pct"/>
            <w:vAlign w:val="center"/>
          </w:tcPr>
          <w:p w14:paraId="5FDF7002" w14:textId="2F9F00B6"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25%</w:t>
            </w:r>
          </w:p>
        </w:tc>
        <w:tc>
          <w:tcPr>
            <w:tcW w:w="410" w:type="pct"/>
            <w:vAlign w:val="center"/>
          </w:tcPr>
          <w:p w14:paraId="1CB761CE" w14:textId="10C4FD9C" w:rsidR="008B13B5" w:rsidRPr="00C155D0" w:rsidRDefault="00D11CA6" w:rsidP="008B503C">
            <w:pPr>
              <w:spacing w:after="0" w:line="240" w:lineRule="auto"/>
              <w:jc w:val="right"/>
              <w:rPr>
                <w:rFonts w:ascii="Arial" w:hAnsi="Arial" w:cs="Arial"/>
                <w:i/>
                <w:iCs/>
                <w:sz w:val="20"/>
                <w:szCs w:val="20"/>
              </w:rPr>
            </w:pPr>
            <w:r w:rsidRPr="00C155D0">
              <w:rPr>
                <w:rFonts w:ascii="Arial" w:hAnsi="Arial" w:cs="Arial"/>
                <w:i/>
                <w:iCs/>
                <w:sz w:val="20"/>
                <w:szCs w:val="20"/>
              </w:rPr>
              <w:t xml:space="preserve"> </w:t>
            </w:r>
            <w:r w:rsidR="00DB5AAE" w:rsidRPr="000D120B">
              <w:rPr>
                <w:rFonts w:ascii="Arial" w:hAnsi="Arial" w:cs="Arial"/>
                <w:i/>
                <w:iCs/>
                <w:sz w:val="20"/>
                <w:szCs w:val="20"/>
              </w:rPr>
              <w:t xml:space="preserve"> 102</w:t>
            </w:r>
            <w:r w:rsidRPr="00C155D0">
              <w:rPr>
                <w:rFonts w:ascii="Arial" w:hAnsi="Arial" w:cs="Arial"/>
                <w:i/>
                <w:iCs/>
                <w:sz w:val="20"/>
                <w:szCs w:val="20"/>
              </w:rPr>
              <w:t xml:space="preserve">   </w:t>
            </w:r>
          </w:p>
        </w:tc>
        <w:tc>
          <w:tcPr>
            <w:tcW w:w="343" w:type="pct"/>
            <w:vAlign w:val="center"/>
          </w:tcPr>
          <w:p w14:paraId="46408702" w14:textId="7CE5BA22" w:rsidR="008B13B5" w:rsidRPr="00C155D0" w:rsidRDefault="00D11CA6" w:rsidP="008B503C">
            <w:pPr>
              <w:spacing w:after="0" w:line="240" w:lineRule="auto"/>
              <w:jc w:val="right"/>
              <w:rPr>
                <w:rFonts w:ascii="Arial" w:hAnsi="Arial" w:cs="Arial"/>
                <w:i/>
                <w:iCs/>
                <w:sz w:val="20"/>
                <w:szCs w:val="20"/>
              </w:rPr>
            </w:pPr>
            <w:r w:rsidRPr="00C155D0">
              <w:rPr>
                <w:rFonts w:ascii="Arial" w:hAnsi="Arial" w:cs="Arial"/>
                <w:i/>
                <w:iCs/>
                <w:sz w:val="20"/>
                <w:szCs w:val="20"/>
              </w:rPr>
              <w:t xml:space="preserve"> </w:t>
            </w:r>
            <w:r w:rsidR="00DB5AAE" w:rsidRPr="000D120B">
              <w:rPr>
                <w:rFonts w:ascii="Arial" w:hAnsi="Arial" w:cs="Arial"/>
                <w:i/>
                <w:iCs/>
                <w:sz w:val="20"/>
                <w:szCs w:val="20"/>
              </w:rPr>
              <w:t>143</w:t>
            </w:r>
            <w:r w:rsidRPr="00C155D0">
              <w:rPr>
                <w:rFonts w:ascii="Arial" w:hAnsi="Arial" w:cs="Arial"/>
                <w:i/>
                <w:iCs/>
                <w:sz w:val="20"/>
                <w:szCs w:val="20"/>
              </w:rPr>
              <w:t xml:space="preserve">   </w:t>
            </w:r>
          </w:p>
        </w:tc>
        <w:tc>
          <w:tcPr>
            <w:tcW w:w="479" w:type="pct"/>
            <w:vAlign w:val="center"/>
          </w:tcPr>
          <w:p w14:paraId="237FB278" w14:textId="20506A68"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-29%</w:t>
            </w:r>
          </w:p>
        </w:tc>
      </w:tr>
      <w:tr w:rsidR="008B13B5" w:rsidRPr="00C155D0" w14:paraId="527B09CB" w14:textId="74EE770A" w:rsidTr="008B503C">
        <w:trPr>
          <w:trHeight w:val="147"/>
        </w:trPr>
        <w:tc>
          <w:tcPr>
            <w:tcW w:w="1614" w:type="pct"/>
            <w:shd w:val="clear" w:color="auto" w:fill="auto"/>
            <w:noWrap/>
            <w:vAlign w:val="center"/>
            <w:hideMark/>
          </w:tcPr>
          <w:p w14:paraId="032B4D12" w14:textId="0D19C5A6" w:rsidR="008B13B5" w:rsidRPr="00C155D0" w:rsidRDefault="008B13B5" w:rsidP="000C1D3E">
            <w:pPr>
              <w:spacing w:after="0" w:line="240" w:lineRule="auto"/>
              <w:jc w:val="both"/>
              <w:rPr>
                <w:rFonts w:ascii="Arial" w:eastAsia="Times New Roman" w:hAnsi="Arial" w:cs="Arial"/>
                <w:i/>
                <w:iCs/>
                <w:color w:val="000000"/>
                <w:sz w:val="20"/>
                <w:szCs w:val="20"/>
                <w:lang w:eastAsia="ru-RU"/>
              </w:rPr>
            </w:pPr>
            <w:r w:rsidRPr="00C155D0">
              <w:rPr>
                <w:rFonts w:ascii="Arial" w:eastAsia="Times New Roman" w:hAnsi="Arial" w:cs="Arial"/>
                <w:i/>
                <w:iCs/>
                <w:color w:val="000000"/>
                <w:sz w:val="20"/>
                <w:szCs w:val="20"/>
                <w:lang w:eastAsia="ru-RU"/>
              </w:rPr>
              <w:t>- Other</w:t>
            </w:r>
            <w:r w:rsidRPr="00C155D0">
              <w:rPr>
                <w:rFonts w:ascii="Arial" w:eastAsia="Times New Roman" w:hAnsi="Arial" w:cs="Arial"/>
                <w:i/>
                <w:iCs/>
                <w:color w:val="000000"/>
                <w:sz w:val="20"/>
                <w:szCs w:val="20"/>
                <w:vertAlign w:val="superscript"/>
                <w:lang w:eastAsia="ru-RU"/>
              </w:rPr>
              <w:t>2)</w:t>
            </w:r>
          </w:p>
        </w:tc>
        <w:tc>
          <w:tcPr>
            <w:tcW w:w="115" w:type="pct"/>
          </w:tcPr>
          <w:p w14:paraId="2F3854C0" w14:textId="77777777" w:rsidR="008B13B5" w:rsidRPr="00C155D0" w:rsidRDefault="008B13B5" w:rsidP="000C1D3E">
            <w:pPr>
              <w:spacing w:after="0" w:line="240" w:lineRule="auto"/>
              <w:jc w:val="right"/>
              <w:rPr>
                <w:rFonts w:ascii="Arial" w:eastAsia="Times New Roman" w:hAnsi="Arial" w:cs="Arial"/>
                <w:i/>
                <w:iCs/>
                <w:color w:val="000000"/>
                <w:sz w:val="20"/>
                <w:szCs w:val="20"/>
                <w:lang w:eastAsia="ru-RU"/>
              </w:rPr>
            </w:pPr>
          </w:p>
        </w:tc>
        <w:tc>
          <w:tcPr>
            <w:tcW w:w="425" w:type="pct"/>
            <w:shd w:val="clear" w:color="auto" w:fill="auto"/>
            <w:noWrap/>
            <w:vAlign w:val="center"/>
          </w:tcPr>
          <w:p w14:paraId="1F181FD9" w14:textId="21791714" w:rsidR="008B13B5" w:rsidRPr="00C155D0" w:rsidRDefault="00D11CA6" w:rsidP="008B503C">
            <w:pPr>
              <w:spacing w:after="0" w:line="240" w:lineRule="auto"/>
              <w:jc w:val="right"/>
              <w:rPr>
                <w:rFonts w:ascii="Arial" w:hAnsi="Arial" w:cs="Arial"/>
                <w:i/>
                <w:iCs/>
                <w:sz w:val="20"/>
                <w:szCs w:val="20"/>
              </w:rPr>
            </w:pPr>
            <w:r w:rsidRPr="00C155D0">
              <w:rPr>
                <w:rFonts w:ascii="Arial" w:hAnsi="Arial" w:cs="Arial"/>
                <w:i/>
                <w:iCs/>
                <w:sz w:val="20"/>
                <w:szCs w:val="20"/>
              </w:rPr>
              <w:t xml:space="preserve"> </w:t>
            </w:r>
            <w:r w:rsidR="00DB5AAE" w:rsidRPr="000D120B">
              <w:rPr>
                <w:rFonts w:ascii="Arial" w:hAnsi="Arial" w:cs="Arial"/>
                <w:i/>
                <w:iCs/>
                <w:sz w:val="20"/>
                <w:szCs w:val="20"/>
              </w:rPr>
              <w:t xml:space="preserve"> 9</w:t>
            </w:r>
            <w:r w:rsidRPr="00C155D0">
              <w:rPr>
                <w:rFonts w:ascii="Arial" w:hAnsi="Arial" w:cs="Arial"/>
                <w:i/>
                <w:iCs/>
                <w:sz w:val="20"/>
                <w:szCs w:val="20"/>
              </w:rPr>
              <w:t xml:space="preserve"> </w:t>
            </w:r>
          </w:p>
        </w:tc>
        <w:tc>
          <w:tcPr>
            <w:tcW w:w="381" w:type="pct"/>
            <w:shd w:val="clear" w:color="auto" w:fill="auto"/>
            <w:noWrap/>
            <w:vAlign w:val="center"/>
          </w:tcPr>
          <w:p w14:paraId="7B8A86FE" w14:textId="73BCD75C" w:rsidR="008B13B5" w:rsidRPr="00C155D0" w:rsidRDefault="00D11CA6" w:rsidP="008B503C">
            <w:pPr>
              <w:spacing w:after="0" w:line="240" w:lineRule="auto"/>
              <w:jc w:val="right"/>
              <w:rPr>
                <w:rFonts w:ascii="Arial" w:hAnsi="Arial" w:cs="Arial"/>
                <w:i/>
                <w:iCs/>
                <w:sz w:val="20"/>
                <w:szCs w:val="20"/>
              </w:rPr>
            </w:pPr>
            <w:r w:rsidRPr="00C155D0">
              <w:rPr>
                <w:rFonts w:ascii="Arial" w:hAnsi="Arial" w:cs="Arial"/>
                <w:i/>
                <w:iCs/>
                <w:sz w:val="20"/>
                <w:szCs w:val="20"/>
              </w:rPr>
              <w:t xml:space="preserve"> </w:t>
            </w:r>
            <w:r w:rsidR="00DB5AAE" w:rsidRPr="000D120B">
              <w:rPr>
                <w:rFonts w:ascii="Arial" w:hAnsi="Arial" w:cs="Arial"/>
                <w:i/>
                <w:iCs/>
                <w:sz w:val="20"/>
                <w:szCs w:val="20"/>
              </w:rPr>
              <w:t xml:space="preserve"> 9</w:t>
            </w:r>
            <w:r w:rsidRPr="00C155D0">
              <w:rPr>
                <w:rFonts w:ascii="Arial" w:hAnsi="Arial" w:cs="Arial"/>
                <w:i/>
                <w:iCs/>
                <w:sz w:val="20"/>
                <w:szCs w:val="20"/>
              </w:rPr>
              <w:t xml:space="preserve"> </w:t>
            </w:r>
          </w:p>
        </w:tc>
        <w:tc>
          <w:tcPr>
            <w:tcW w:w="479" w:type="pct"/>
            <w:shd w:val="clear" w:color="auto" w:fill="auto"/>
            <w:noWrap/>
            <w:vAlign w:val="center"/>
          </w:tcPr>
          <w:p w14:paraId="0C69C333" w14:textId="41E0AB14"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0%</w:t>
            </w:r>
          </w:p>
        </w:tc>
        <w:tc>
          <w:tcPr>
            <w:tcW w:w="342" w:type="pct"/>
            <w:vAlign w:val="center"/>
          </w:tcPr>
          <w:p w14:paraId="0F98691C" w14:textId="093E1629" w:rsidR="008B13B5" w:rsidRPr="00C155D0" w:rsidRDefault="00D11CA6" w:rsidP="008B503C">
            <w:pPr>
              <w:spacing w:after="0" w:line="240" w:lineRule="auto"/>
              <w:jc w:val="right"/>
              <w:rPr>
                <w:rFonts w:ascii="Arial" w:hAnsi="Arial" w:cs="Arial"/>
                <w:i/>
                <w:iCs/>
                <w:sz w:val="20"/>
                <w:szCs w:val="20"/>
              </w:rPr>
            </w:pPr>
            <w:r w:rsidRPr="00C155D0">
              <w:rPr>
                <w:rFonts w:ascii="Arial" w:hAnsi="Arial" w:cs="Arial"/>
                <w:i/>
                <w:iCs/>
                <w:sz w:val="20"/>
                <w:szCs w:val="20"/>
              </w:rPr>
              <w:t xml:space="preserve"> </w:t>
            </w:r>
            <w:r w:rsidR="00DB5AAE" w:rsidRPr="000D120B">
              <w:rPr>
                <w:rFonts w:ascii="Arial" w:hAnsi="Arial" w:cs="Arial"/>
                <w:i/>
                <w:iCs/>
                <w:sz w:val="20"/>
                <w:szCs w:val="20"/>
              </w:rPr>
              <w:t xml:space="preserve"> 8 </w:t>
            </w:r>
            <w:r w:rsidRPr="00C155D0">
              <w:rPr>
                <w:rFonts w:ascii="Arial" w:hAnsi="Arial" w:cs="Arial"/>
                <w:i/>
                <w:iCs/>
                <w:sz w:val="20"/>
                <w:szCs w:val="20"/>
              </w:rPr>
              <w:t xml:space="preserve">   </w:t>
            </w:r>
          </w:p>
        </w:tc>
        <w:tc>
          <w:tcPr>
            <w:tcW w:w="412" w:type="pct"/>
            <w:vAlign w:val="center"/>
          </w:tcPr>
          <w:p w14:paraId="2FC31DCE" w14:textId="28945FDB"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13%</w:t>
            </w:r>
          </w:p>
        </w:tc>
        <w:tc>
          <w:tcPr>
            <w:tcW w:w="410" w:type="pct"/>
            <w:vAlign w:val="center"/>
          </w:tcPr>
          <w:p w14:paraId="41D03389" w14:textId="0236E90A" w:rsidR="008B13B5" w:rsidRPr="00C155D0" w:rsidRDefault="00D11CA6" w:rsidP="008B503C">
            <w:pPr>
              <w:spacing w:after="0" w:line="240" w:lineRule="auto"/>
              <w:jc w:val="right"/>
              <w:rPr>
                <w:rFonts w:ascii="Arial" w:hAnsi="Arial" w:cs="Arial"/>
                <w:i/>
                <w:iCs/>
                <w:sz w:val="20"/>
                <w:szCs w:val="20"/>
              </w:rPr>
            </w:pPr>
            <w:r w:rsidRPr="00C155D0">
              <w:rPr>
                <w:rFonts w:ascii="Arial" w:hAnsi="Arial" w:cs="Arial"/>
                <w:i/>
                <w:iCs/>
                <w:sz w:val="20"/>
                <w:szCs w:val="20"/>
              </w:rPr>
              <w:t xml:space="preserve"> </w:t>
            </w:r>
            <w:r w:rsidR="00DB5AAE" w:rsidRPr="000D120B">
              <w:rPr>
                <w:rFonts w:ascii="Arial" w:hAnsi="Arial" w:cs="Arial"/>
                <w:i/>
                <w:iCs/>
                <w:sz w:val="20"/>
                <w:szCs w:val="20"/>
              </w:rPr>
              <w:t xml:space="preserve"> 32</w:t>
            </w:r>
            <w:r w:rsidRPr="00C155D0">
              <w:rPr>
                <w:rFonts w:ascii="Arial" w:hAnsi="Arial" w:cs="Arial"/>
                <w:i/>
                <w:iCs/>
                <w:sz w:val="20"/>
                <w:szCs w:val="20"/>
              </w:rPr>
              <w:t xml:space="preserve">   </w:t>
            </w:r>
          </w:p>
        </w:tc>
        <w:tc>
          <w:tcPr>
            <w:tcW w:w="343" w:type="pct"/>
            <w:vAlign w:val="center"/>
          </w:tcPr>
          <w:p w14:paraId="6AC2383D" w14:textId="32D5E0A6" w:rsidR="008B13B5" w:rsidRPr="00C155D0" w:rsidRDefault="00D11CA6" w:rsidP="008B503C">
            <w:pPr>
              <w:spacing w:after="0" w:line="240" w:lineRule="auto"/>
              <w:jc w:val="right"/>
              <w:rPr>
                <w:rFonts w:ascii="Arial" w:hAnsi="Arial" w:cs="Arial"/>
                <w:i/>
                <w:iCs/>
                <w:sz w:val="20"/>
                <w:szCs w:val="20"/>
              </w:rPr>
            </w:pPr>
            <w:r w:rsidRPr="00C155D0">
              <w:rPr>
                <w:rFonts w:ascii="Arial" w:hAnsi="Arial" w:cs="Arial"/>
                <w:i/>
                <w:iCs/>
                <w:sz w:val="20"/>
                <w:szCs w:val="20"/>
              </w:rPr>
              <w:t xml:space="preserve"> </w:t>
            </w:r>
            <w:r w:rsidR="00DB5AAE" w:rsidRPr="000D120B">
              <w:rPr>
                <w:rFonts w:ascii="Arial" w:hAnsi="Arial" w:cs="Arial"/>
                <w:i/>
                <w:iCs/>
                <w:sz w:val="20"/>
                <w:szCs w:val="20"/>
              </w:rPr>
              <w:t>33</w:t>
            </w:r>
            <w:r w:rsidRPr="00C155D0">
              <w:rPr>
                <w:rFonts w:ascii="Arial" w:hAnsi="Arial" w:cs="Arial"/>
                <w:i/>
                <w:iCs/>
                <w:sz w:val="20"/>
                <w:szCs w:val="20"/>
              </w:rPr>
              <w:t xml:space="preserve">   </w:t>
            </w:r>
          </w:p>
        </w:tc>
        <w:tc>
          <w:tcPr>
            <w:tcW w:w="479" w:type="pct"/>
            <w:vAlign w:val="center"/>
          </w:tcPr>
          <w:p w14:paraId="7B59A57A" w14:textId="5984BFE1"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-3%</w:t>
            </w:r>
          </w:p>
        </w:tc>
      </w:tr>
      <w:tr w:rsidR="008B13B5" w:rsidRPr="00C155D0" w14:paraId="40FC96FE" w14:textId="392E3A6C" w:rsidTr="008B503C">
        <w:trPr>
          <w:trHeight w:val="147"/>
        </w:trPr>
        <w:tc>
          <w:tcPr>
            <w:tcW w:w="1614" w:type="pct"/>
            <w:tcBorders>
              <w:bottom w:val="single" w:sz="4" w:space="0" w:color="auto"/>
            </w:tcBorders>
            <w:shd w:val="clear" w:color="auto" w:fill="auto"/>
            <w:noWrap/>
            <w:vAlign w:val="center"/>
            <w:hideMark/>
          </w:tcPr>
          <w:p w14:paraId="71A4E519" w14:textId="14372B4D" w:rsidR="008B13B5" w:rsidRPr="00C155D0" w:rsidRDefault="008B13B5" w:rsidP="000C1D3E">
            <w:pPr>
              <w:spacing w:after="0" w:line="240" w:lineRule="auto"/>
              <w:rPr>
                <w:rFonts w:ascii="Arial" w:eastAsia="Times New Roman" w:hAnsi="Arial" w:cs="Arial"/>
                <w:color w:val="000000"/>
                <w:sz w:val="20"/>
                <w:szCs w:val="20"/>
                <w:lang w:eastAsia="ru-RU"/>
              </w:rPr>
            </w:pPr>
            <w:r w:rsidRPr="00C155D0">
              <w:rPr>
                <w:rFonts w:ascii="Arial" w:eastAsia="Times New Roman" w:hAnsi="Arial" w:cs="Arial"/>
                <w:color w:val="000000"/>
                <w:sz w:val="20"/>
                <w:szCs w:val="20"/>
                <w:lang w:eastAsia="ru-RU"/>
              </w:rPr>
              <w:t>IAS 41 standard losses</w:t>
            </w:r>
          </w:p>
        </w:tc>
        <w:tc>
          <w:tcPr>
            <w:tcW w:w="115" w:type="pct"/>
          </w:tcPr>
          <w:p w14:paraId="5DF5DB3A" w14:textId="77777777" w:rsidR="008B13B5" w:rsidRPr="00C155D0" w:rsidRDefault="008B13B5" w:rsidP="000C1D3E">
            <w:pPr>
              <w:spacing w:after="0" w:line="240" w:lineRule="auto"/>
              <w:jc w:val="right"/>
              <w:rPr>
                <w:rFonts w:ascii="Arial" w:eastAsia="Times New Roman" w:hAnsi="Arial" w:cs="Arial"/>
                <w:color w:val="000000"/>
                <w:sz w:val="20"/>
                <w:szCs w:val="20"/>
                <w:lang w:eastAsia="ru-RU"/>
              </w:rPr>
            </w:pPr>
          </w:p>
        </w:tc>
        <w:tc>
          <w:tcPr>
            <w:tcW w:w="425" w:type="pct"/>
            <w:tcBorders>
              <w:bottom w:val="single" w:sz="2" w:space="0" w:color="auto"/>
            </w:tcBorders>
            <w:shd w:val="clear" w:color="auto" w:fill="auto"/>
            <w:noWrap/>
            <w:vAlign w:val="center"/>
          </w:tcPr>
          <w:p w14:paraId="3BE836AF" w14:textId="0749534E" w:rsidR="008B13B5" w:rsidRPr="00C155D0" w:rsidRDefault="00D11CA6" w:rsidP="008B503C">
            <w:pPr>
              <w:spacing w:after="0" w:line="240" w:lineRule="auto"/>
              <w:jc w:val="right"/>
              <w:rPr>
                <w:rFonts w:ascii="Arial" w:eastAsia="Times New Roman" w:hAnsi="Arial" w:cs="Arial"/>
                <w:color w:val="000000"/>
                <w:sz w:val="20"/>
                <w:szCs w:val="20"/>
                <w:lang w:eastAsia="ru-RU"/>
              </w:rPr>
            </w:pPr>
            <w:r w:rsidRPr="00C155D0">
              <w:rPr>
                <w:rFonts w:ascii="Arial" w:eastAsia="Times New Roman" w:hAnsi="Arial" w:cs="Arial"/>
                <w:color w:val="000000"/>
                <w:sz w:val="20"/>
                <w:szCs w:val="20"/>
                <w:lang w:eastAsia="ru-RU"/>
              </w:rPr>
              <w:t xml:space="preserve"> </w:t>
            </w:r>
            <w:r w:rsidR="00DB5AAE" w:rsidRPr="000D120B">
              <w:rPr>
                <w:rFonts w:ascii="Arial" w:hAnsi="Arial" w:cs="Arial"/>
                <w:sz w:val="20"/>
                <w:szCs w:val="20"/>
              </w:rPr>
              <w:t>(2)</w:t>
            </w:r>
            <w:r w:rsidRPr="00C155D0">
              <w:rPr>
                <w:rFonts w:ascii="Arial" w:eastAsia="Times New Roman" w:hAnsi="Arial" w:cs="Arial"/>
                <w:color w:val="000000"/>
                <w:sz w:val="20"/>
                <w:szCs w:val="20"/>
                <w:lang w:eastAsia="ru-RU"/>
              </w:rPr>
              <w:t xml:space="preserve"> </w:t>
            </w:r>
          </w:p>
        </w:tc>
        <w:tc>
          <w:tcPr>
            <w:tcW w:w="381" w:type="pct"/>
            <w:tcBorders>
              <w:bottom w:val="single" w:sz="2" w:space="0" w:color="auto"/>
            </w:tcBorders>
            <w:shd w:val="clear" w:color="auto" w:fill="auto"/>
            <w:noWrap/>
            <w:vAlign w:val="center"/>
          </w:tcPr>
          <w:p w14:paraId="56869FA7" w14:textId="338528CD" w:rsidR="008B13B5" w:rsidRPr="00C155D0" w:rsidRDefault="00D11CA6" w:rsidP="008B503C">
            <w:pPr>
              <w:spacing w:after="0" w:line="240" w:lineRule="auto"/>
              <w:jc w:val="right"/>
              <w:rPr>
                <w:rFonts w:ascii="Arial" w:eastAsia="Times New Roman" w:hAnsi="Arial" w:cs="Arial"/>
                <w:color w:val="000000"/>
                <w:sz w:val="20"/>
                <w:szCs w:val="20"/>
                <w:lang w:eastAsia="ru-RU"/>
              </w:rPr>
            </w:pPr>
            <w:r w:rsidRPr="00C155D0">
              <w:rPr>
                <w:rFonts w:ascii="Arial" w:eastAsia="Times New Roman" w:hAnsi="Arial" w:cs="Arial"/>
                <w:color w:val="000000"/>
                <w:sz w:val="20"/>
                <w:szCs w:val="20"/>
                <w:lang w:eastAsia="ru-RU"/>
              </w:rPr>
              <w:t xml:space="preserve"> </w:t>
            </w:r>
            <w:r w:rsidR="00DB5AAE" w:rsidRPr="000D120B">
              <w:rPr>
                <w:rFonts w:ascii="Arial" w:hAnsi="Arial" w:cs="Arial"/>
                <w:sz w:val="20"/>
                <w:szCs w:val="20"/>
              </w:rPr>
              <w:t>(4)</w:t>
            </w:r>
            <w:r w:rsidRPr="00C155D0">
              <w:rPr>
                <w:rFonts w:ascii="Arial" w:eastAsia="Times New Roman" w:hAnsi="Arial" w:cs="Arial"/>
                <w:color w:val="000000"/>
                <w:sz w:val="20"/>
                <w:szCs w:val="20"/>
                <w:lang w:eastAsia="ru-RU"/>
              </w:rPr>
              <w:t xml:space="preserve"> </w:t>
            </w:r>
            <w:r w:rsidR="008B13B5" w:rsidRPr="00C155D0">
              <w:rPr>
                <w:rFonts w:ascii="Arial" w:eastAsia="Times New Roman" w:hAnsi="Arial" w:cs="Arial"/>
                <w:color w:val="000000"/>
                <w:sz w:val="20"/>
                <w:szCs w:val="20"/>
                <w:lang w:eastAsia="ru-RU"/>
              </w:rPr>
              <w:t xml:space="preserve"> </w:t>
            </w:r>
          </w:p>
        </w:tc>
        <w:tc>
          <w:tcPr>
            <w:tcW w:w="479" w:type="pct"/>
            <w:tcBorders>
              <w:bottom w:val="single" w:sz="2" w:space="0" w:color="auto"/>
            </w:tcBorders>
            <w:shd w:val="clear" w:color="auto" w:fill="auto"/>
            <w:noWrap/>
            <w:vAlign w:val="center"/>
          </w:tcPr>
          <w:p w14:paraId="05A7BFD5" w14:textId="2D83C605" w:rsidR="008B13B5" w:rsidRPr="00C155D0" w:rsidRDefault="00DB5AAE" w:rsidP="008B503C">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50%</w:t>
            </w:r>
          </w:p>
        </w:tc>
        <w:tc>
          <w:tcPr>
            <w:tcW w:w="342" w:type="pct"/>
            <w:tcBorders>
              <w:bottom w:val="single" w:sz="2" w:space="0" w:color="auto"/>
            </w:tcBorders>
            <w:vAlign w:val="center"/>
          </w:tcPr>
          <w:p w14:paraId="0F14415B" w14:textId="7A41A34E" w:rsidR="008B13B5" w:rsidRPr="00C155D0" w:rsidRDefault="00D11CA6" w:rsidP="008B503C">
            <w:pPr>
              <w:spacing w:after="0" w:line="240" w:lineRule="auto"/>
              <w:jc w:val="right"/>
              <w:rPr>
                <w:rFonts w:ascii="Arial" w:eastAsia="Times New Roman" w:hAnsi="Arial" w:cs="Arial"/>
                <w:color w:val="000000"/>
                <w:sz w:val="20"/>
                <w:szCs w:val="20"/>
                <w:lang w:eastAsia="ru-RU"/>
              </w:rPr>
            </w:pPr>
            <w:r w:rsidRPr="00C155D0">
              <w:rPr>
                <w:rFonts w:ascii="Arial" w:hAnsi="Arial" w:cs="Arial"/>
                <w:sz w:val="20"/>
                <w:szCs w:val="20"/>
              </w:rPr>
              <w:t xml:space="preserve"> </w:t>
            </w:r>
            <w:r w:rsidR="00DB5AAE" w:rsidRPr="000D120B">
              <w:rPr>
                <w:rFonts w:ascii="Arial" w:hAnsi="Arial" w:cs="Arial"/>
                <w:sz w:val="20"/>
                <w:szCs w:val="20"/>
              </w:rPr>
              <w:t xml:space="preserve"> - </w:t>
            </w:r>
            <w:r w:rsidRPr="00C155D0">
              <w:rPr>
                <w:rFonts w:ascii="Arial" w:hAnsi="Arial" w:cs="Arial"/>
                <w:sz w:val="20"/>
                <w:szCs w:val="20"/>
              </w:rPr>
              <w:t xml:space="preserve">  </w:t>
            </w:r>
          </w:p>
        </w:tc>
        <w:tc>
          <w:tcPr>
            <w:tcW w:w="412" w:type="pct"/>
            <w:tcBorders>
              <w:bottom w:val="single" w:sz="2" w:space="0" w:color="auto"/>
            </w:tcBorders>
            <w:vAlign w:val="center"/>
          </w:tcPr>
          <w:p w14:paraId="2478181A" w14:textId="232E0725" w:rsidR="008B13B5" w:rsidRPr="00C155D0" w:rsidRDefault="00DB5AAE" w:rsidP="008B503C">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-100%</w:t>
            </w:r>
          </w:p>
        </w:tc>
        <w:tc>
          <w:tcPr>
            <w:tcW w:w="410" w:type="pct"/>
            <w:tcBorders>
              <w:bottom w:val="single" w:sz="2" w:space="0" w:color="auto"/>
            </w:tcBorders>
            <w:vAlign w:val="center"/>
          </w:tcPr>
          <w:p w14:paraId="5C1C7F92" w14:textId="7F76FE0F" w:rsidR="008B13B5" w:rsidRPr="00C155D0" w:rsidRDefault="00D11CA6" w:rsidP="008B503C">
            <w:pPr>
              <w:spacing w:after="0" w:line="240" w:lineRule="auto"/>
              <w:jc w:val="right"/>
              <w:rPr>
                <w:rFonts w:ascii="Arial" w:eastAsia="Times New Roman" w:hAnsi="Arial" w:cs="Arial"/>
                <w:color w:val="000000"/>
                <w:sz w:val="20"/>
                <w:szCs w:val="20"/>
                <w:lang w:eastAsia="ru-RU"/>
              </w:rPr>
            </w:pPr>
            <w:r w:rsidRPr="00C155D0">
              <w:rPr>
                <w:rFonts w:ascii="Arial" w:hAnsi="Arial" w:cs="Arial"/>
                <w:sz w:val="20"/>
                <w:szCs w:val="20"/>
              </w:rPr>
              <w:t xml:space="preserve"> </w:t>
            </w:r>
            <w:r w:rsidR="00DB5AAE" w:rsidRPr="000D120B">
              <w:rPr>
                <w:rFonts w:ascii="Arial" w:hAnsi="Arial" w:cs="Arial"/>
                <w:sz w:val="20"/>
                <w:szCs w:val="20"/>
              </w:rPr>
              <w:t>(1)</w:t>
            </w:r>
            <w:r w:rsidRPr="00C155D0">
              <w:rPr>
                <w:rFonts w:ascii="Arial" w:hAnsi="Arial" w:cs="Arial"/>
                <w:sz w:val="20"/>
                <w:szCs w:val="20"/>
              </w:rPr>
              <w:t xml:space="preserve"> </w:t>
            </w:r>
          </w:p>
        </w:tc>
        <w:tc>
          <w:tcPr>
            <w:tcW w:w="343" w:type="pct"/>
            <w:tcBorders>
              <w:bottom w:val="single" w:sz="2" w:space="0" w:color="auto"/>
            </w:tcBorders>
            <w:vAlign w:val="center"/>
          </w:tcPr>
          <w:p w14:paraId="3662AF57" w14:textId="7CB8DA31" w:rsidR="008B13B5" w:rsidRPr="00C155D0" w:rsidRDefault="00D11CA6" w:rsidP="008B503C">
            <w:pPr>
              <w:spacing w:after="0" w:line="240" w:lineRule="auto"/>
              <w:jc w:val="right"/>
              <w:rPr>
                <w:rFonts w:ascii="Arial" w:eastAsia="Times New Roman" w:hAnsi="Arial" w:cs="Arial"/>
                <w:color w:val="000000"/>
                <w:sz w:val="20"/>
                <w:szCs w:val="20"/>
                <w:lang w:eastAsia="ru-RU"/>
              </w:rPr>
            </w:pPr>
            <w:r w:rsidRPr="00C155D0">
              <w:rPr>
                <w:rFonts w:ascii="Arial" w:hAnsi="Arial" w:cs="Arial"/>
                <w:sz w:val="20"/>
                <w:szCs w:val="20"/>
              </w:rPr>
              <w:t xml:space="preserve"> </w:t>
            </w:r>
            <w:r w:rsidR="00DB5AAE" w:rsidRPr="000D120B">
              <w:rPr>
                <w:rFonts w:ascii="Arial" w:hAnsi="Arial" w:cs="Arial"/>
                <w:sz w:val="20"/>
                <w:szCs w:val="20"/>
              </w:rPr>
              <w:t>(1)</w:t>
            </w:r>
            <w:r w:rsidRPr="00C155D0">
              <w:rPr>
                <w:rFonts w:ascii="Arial" w:hAnsi="Arial" w:cs="Arial"/>
                <w:sz w:val="20"/>
                <w:szCs w:val="20"/>
              </w:rPr>
              <w:t xml:space="preserve"> </w:t>
            </w:r>
          </w:p>
        </w:tc>
        <w:tc>
          <w:tcPr>
            <w:tcW w:w="479" w:type="pct"/>
            <w:tcBorders>
              <w:bottom w:val="single" w:sz="2" w:space="0" w:color="auto"/>
            </w:tcBorders>
            <w:vAlign w:val="center"/>
          </w:tcPr>
          <w:p w14:paraId="3D8419E0" w14:textId="214B9E7D" w:rsidR="008B13B5" w:rsidRPr="00C155D0" w:rsidRDefault="00DB5AAE" w:rsidP="008B503C">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0%</w:t>
            </w:r>
          </w:p>
        </w:tc>
      </w:tr>
      <w:tr w:rsidR="008B13B5" w:rsidRPr="00C155D0" w14:paraId="5CCBE857" w14:textId="0FE17BA6" w:rsidTr="008B503C">
        <w:trPr>
          <w:trHeight w:hRule="exact" w:val="57"/>
        </w:trPr>
        <w:tc>
          <w:tcPr>
            <w:tcW w:w="1614" w:type="pct"/>
            <w:shd w:val="clear" w:color="auto" w:fill="auto"/>
            <w:noWrap/>
            <w:vAlign w:val="center"/>
          </w:tcPr>
          <w:p w14:paraId="553FFEE4" w14:textId="77777777" w:rsidR="008B13B5" w:rsidRPr="00C155D0" w:rsidRDefault="008B13B5" w:rsidP="000C1D3E">
            <w:pPr>
              <w:spacing w:after="0" w:line="240" w:lineRule="auto"/>
              <w:rPr>
                <w:rFonts w:ascii="Arial" w:eastAsia="Times New Roman" w:hAnsi="Arial" w:cs="Arial"/>
                <w:color w:val="000000"/>
                <w:sz w:val="20"/>
                <w:szCs w:val="20"/>
                <w:lang w:eastAsia="ru-RU"/>
              </w:rPr>
            </w:pPr>
          </w:p>
        </w:tc>
        <w:tc>
          <w:tcPr>
            <w:tcW w:w="115" w:type="pct"/>
          </w:tcPr>
          <w:p w14:paraId="1322608D" w14:textId="77777777" w:rsidR="008B13B5" w:rsidRPr="00C155D0" w:rsidRDefault="008B13B5" w:rsidP="000C1D3E">
            <w:pPr>
              <w:spacing w:after="0" w:line="240" w:lineRule="auto"/>
              <w:jc w:val="right"/>
              <w:rPr>
                <w:rFonts w:ascii="Arial" w:eastAsia="Times New Roman" w:hAnsi="Arial" w:cs="Arial"/>
                <w:color w:val="000000"/>
                <w:sz w:val="20"/>
                <w:szCs w:val="20"/>
                <w:lang w:eastAsia="ru-RU"/>
              </w:rPr>
            </w:pPr>
          </w:p>
        </w:tc>
        <w:tc>
          <w:tcPr>
            <w:tcW w:w="425" w:type="pct"/>
            <w:tcBorders>
              <w:bottom w:val="single" w:sz="2" w:space="0" w:color="auto"/>
            </w:tcBorders>
            <w:shd w:val="clear" w:color="auto" w:fill="auto"/>
            <w:noWrap/>
            <w:vAlign w:val="center"/>
          </w:tcPr>
          <w:p w14:paraId="28DEAE08"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381" w:type="pct"/>
            <w:tcBorders>
              <w:bottom w:val="single" w:sz="2" w:space="0" w:color="auto"/>
            </w:tcBorders>
            <w:shd w:val="clear" w:color="auto" w:fill="auto"/>
            <w:noWrap/>
            <w:vAlign w:val="center"/>
          </w:tcPr>
          <w:p w14:paraId="01C73437"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479" w:type="pct"/>
            <w:tcBorders>
              <w:bottom w:val="single" w:sz="2" w:space="0" w:color="auto"/>
            </w:tcBorders>
            <w:shd w:val="clear" w:color="auto" w:fill="auto"/>
            <w:noWrap/>
            <w:vAlign w:val="center"/>
          </w:tcPr>
          <w:p w14:paraId="522AC426"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342" w:type="pct"/>
            <w:tcBorders>
              <w:bottom w:val="single" w:sz="2" w:space="0" w:color="auto"/>
            </w:tcBorders>
            <w:vAlign w:val="center"/>
          </w:tcPr>
          <w:p w14:paraId="4DB3B90D"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412" w:type="pct"/>
            <w:tcBorders>
              <w:bottom w:val="single" w:sz="2" w:space="0" w:color="auto"/>
            </w:tcBorders>
            <w:vAlign w:val="center"/>
          </w:tcPr>
          <w:p w14:paraId="02CF1100"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410" w:type="pct"/>
            <w:tcBorders>
              <w:bottom w:val="single" w:sz="2" w:space="0" w:color="auto"/>
            </w:tcBorders>
            <w:vAlign w:val="center"/>
          </w:tcPr>
          <w:p w14:paraId="3FE0607E"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343" w:type="pct"/>
            <w:tcBorders>
              <w:bottom w:val="single" w:sz="2" w:space="0" w:color="auto"/>
            </w:tcBorders>
            <w:vAlign w:val="center"/>
          </w:tcPr>
          <w:p w14:paraId="6BA93C4A"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479" w:type="pct"/>
            <w:tcBorders>
              <w:bottom w:val="single" w:sz="2" w:space="0" w:color="auto"/>
            </w:tcBorders>
            <w:vAlign w:val="center"/>
          </w:tcPr>
          <w:p w14:paraId="5851378A"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r>
      <w:tr w:rsidR="008B13B5" w:rsidRPr="00C155D0" w14:paraId="3645A639" w14:textId="3ECC97BA" w:rsidTr="008B503C">
        <w:trPr>
          <w:trHeight w:val="147"/>
        </w:trPr>
        <w:tc>
          <w:tcPr>
            <w:tcW w:w="1614" w:type="pct"/>
            <w:shd w:val="clear" w:color="auto" w:fill="auto"/>
            <w:noWrap/>
            <w:vAlign w:val="center"/>
            <w:hideMark/>
          </w:tcPr>
          <w:p w14:paraId="30BF60C1" w14:textId="77777777" w:rsidR="008B13B5" w:rsidRPr="00C155D0" w:rsidRDefault="008B13B5" w:rsidP="006160F4">
            <w:pPr>
              <w:spacing w:after="0" w:line="240" w:lineRule="auto"/>
              <w:jc w:val="both"/>
              <w:rPr>
                <w:rFonts w:ascii="Arial" w:eastAsia="Times New Roman" w:hAnsi="Arial" w:cs="Arial"/>
                <w:b/>
                <w:bCs/>
                <w:color w:val="000000"/>
                <w:sz w:val="20"/>
                <w:szCs w:val="20"/>
                <w:lang w:eastAsia="ru-RU"/>
              </w:rPr>
            </w:pPr>
            <w:r w:rsidRPr="00C155D0">
              <w:rPr>
                <w:rFonts w:ascii="Arial" w:eastAsia="Times New Roman" w:hAnsi="Arial" w:cs="Arial"/>
                <w:b/>
                <w:bCs/>
                <w:color w:val="000000"/>
                <w:sz w:val="20"/>
                <w:szCs w:val="20"/>
                <w:lang w:eastAsia="ru-RU"/>
              </w:rPr>
              <w:t>Gross profit</w:t>
            </w:r>
          </w:p>
        </w:tc>
        <w:tc>
          <w:tcPr>
            <w:tcW w:w="115" w:type="pct"/>
          </w:tcPr>
          <w:p w14:paraId="38EF8882" w14:textId="77777777" w:rsidR="008B13B5" w:rsidRPr="00C155D0" w:rsidRDefault="008B13B5" w:rsidP="006160F4">
            <w:pPr>
              <w:spacing w:after="0" w:line="240" w:lineRule="auto"/>
              <w:jc w:val="right"/>
              <w:rPr>
                <w:rFonts w:ascii="Arial" w:eastAsia="Times New Roman" w:hAnsi="Arial" w:cs="Arial"/>
                <w:b/>
                <w:bCs/>
                <w:color w:val="000000"/>
                <w:sz w:val="20"/>
                <w:szCs w:val="20"/>
                <w:lang w:eastAsia="ru-RU"/>
              </w:rPr>
            </w:pPr>
          </w:p>
        </w:tc>
        <w:tc>
          <w:tcPr>
            <w:tcW w:w="425" w:type="pct"/>
            <w:shd w:val="clear" w:color="auto" w:fill="auto"/>
            <w:noWrap/>
            <w:vAlign w:val="center"/>
          </w:tcPr>
          <w:p w14:paraId="5854A623" w14:textId="49AF4667" w:rsidR="008B13B5" w:rsidRPr="00C155D0" w:rsidRDefault="00D11CA6" w:rsidP="008B503C">
            <w:pPr>
              <w:spacing w:after="0" w:line="240" w:lineRule="auto"/>
              <w:jc w:val="right"/>
              <w:rPr>
                <w:rFonts w:ascii="Arial" w:eastAsia="Times New Roman" w:hAnsi="Arial" w:cs="Arial"/>
                <w:b/>
                <w:bCs/>
                <w:color w:val="000000"/>
                <w:sz w:val="20"/>
                <w:szCs w:val="20"/>
                <w:lang w:eastAsia="ru-RU"/>
              </w:rPr>
            </w:pPr>
            <w:r w:rsidRPr="00C155D0">
              <w:rPr>
                <w:rFonts w:ascii="Arial" w:eastAsia="Times New Roman" w:hAnsi="Arial" w:cs="Arial"/>
                <w:b/>
                <w:bCs/>
                <w:color w:val="000000"/>
                <w:sz w:val="20"/>
                <w:szCs w:val="20"/>
                <w:lang w:eastAsia="ru-RU"/>
              </w:rPr>
              <w:t xml:space="preserve"> </w:t>
            </w:r>
            <w:r w:rsidR="00DB5AAE" w:rsidRPr="000D120B">
              <w:rPr>
                <w:rFonts w:ascii="Arial" w:hAnsi="Arial" w:cs="Arial"/>
                <w:b/>
                <w:bCs/>
                <w:sz w:val="20"/>
                <w:szCs w:val="20"/>
              </w:rPr>
              <w:t>4</w:t>
            </w:r>
            <w:r w:rsidRPr="00C155D0">
              <w:rPr>
                <w:rFonts w:ascii="Arial" w:eastAsia="Times New Roman" w:hAnsi="Arial" w:cs="Arial"/>
                <w:b/>
                <w:bCs/>
                <w:color w:val="000000"/>
                <w:sz w:val="20"/>
                <w:szCs w:val="20"/>
                <w:lang w:eastAsia="ru-RU"/>
              </w:rPr>
              <w:t xml:space="preserve"> </w:t>
            </w:r>
          </w:p>
        </w:tc>
        <w:tc>
          <w:tcPr>
            <w:tcW w:w="381" w:type="pct"/>
            <w:shd w:val="clear" w:color="auto" w:fill="auto"/>
            <w:noWrap/>
            <w:vAlign w:val="center"/>
          </w:tcPr>
          <w:p w14:paraId="42766E6C" w14:textId="40CAAAFA" w:rsidR="008B13B5" w:rsidRPr="00C155D0" w:rsidRDefault="00D11CA6" w:rsidP="008B503C">
            <w:pPr>
              <w:spacing w:after="0" w:line="240" w:lineRule="auto"/>
              <w:jc w:val="right"/>
              <w:rPr>
                <w:rFonts w:ascii="Arial" w:eastAsia="Times New Roman" w:hAnsi="Arial" w:cs="Arial"/>
                <w:b/>
                <w:bCs/>
                <w:color w:val="000000"/>
                <w:sz w:val="20"/>
                <w:szCs w:val="20"/>
                <w:lang w:eastAsia="ru-RU"/>
              </w:rPr>
            </w:pPr>
            <w:r w:rsidRPr="00C155D0">
              <w:rPr>
                <w:rFonts w:ascii="Arial" w:eastAsia="Times New Roman" w:hAnsi="Arial" w:cs="Arial"/>
                <w:b/>
                <w:bCs/>
                <w:color w:val="000000"/>
                <w:sz w:val="20"/>
                <w:szCs w:val="20"/>
                <w:lang w:eastAsia="ru-RU"/>
              </w:rPr>
              <w:t xml:space="preserve"> </w:t>
            </w:r>
            <w:r w:rsidR="00DB5AAE" w:rsidRPr="000D120B">
              <w:rPr>
                <w:rFonts w:ascii="Arial" w:hAnsi="Arial" w:cs="Arial"/>
                <w:b/>
                <w:bCs/>
                <w:sz w:val="20"/>
                <w:szCs w:val="20"/>
              </w:rPr>
              <w:t xml:space="preserve"> -</w:t>
            </w:r>
            <w:r w:rsidRPr="00C155D0">
              <w:rPr>
                <w:rFonts w:ascii="Arial" w:eastAsia="Times New Roman" w:hAnsi="Arial" w:cs="Arial"/>
                <w:b/>
                <w:bCs/>
                <w:color w:val="000000"/>
                <w:sz w:val="20"/>
                <w:szCs w:val="20"/>
                <w:lang w:eastAsia="ru-RU"/>
              </w:rPr>
              <w:t xml:space="preserve"> </w:t>
            </w:r>
          </w:p>
        </w:tc>
        <w:tc>
          <w:tcPr>
            <w:tcW w:w="479" w:type="pct"/>
            <w:shd w:val="clear" w:color="auto" w:fill="auto"/>
            <w:noWrap/>
            <w:vAlign w:val="center"/>
          </w:tcPr>
          <w:p w14:paraId="5476F9AD" w14:textId="5D0CDED2" w:rsidR="008B13B5" w:rsidRPr="00C155D0" w:rsidRDefault="00DB5AAE" w:rsidP="008B503C">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100%</w:t>
            </w:r>
          </w:p>
        </w:tc>
        <w:tc>
          <w:tcPr>
            <w:tcW w:w="342" w:type="pct"/>
            <w:vAlign w:val="center"/>
          </w:tcPr>
          <w:p w14:paraId="29573E0B" w14:textId="542EC28D" w:rsidR="008B13B5" w:rsidRPr="00C155D0" w:rsidRDefault="00DB5AAE" w:rsidP="008B503C">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 xml:space="preserve"> 5 </w:t>
            </w:r>
          </w:p>
        </w:tc>
        <w:tc>
          <w:tcPr>
            <w:tcW w:w="412" w:type="pct"/>
            <w:vAlign w:val="center"/>
          </w:tcPr>
          <w:p w14:paraId="1EFD4F0A" w14:textId="69E96DB9" w:rsidR="008B13B5" w:rsidRPr="00C155D0" w:rsidRDefault="00DB5AAE" w:rsidP="008B503C">
            <w:pPr>
              <w:spacing w:after="0" w:line="240" w:lineRule="auto"/>
              <w:jc w:val="right"/>
              <w:rPr>
                <w:rFonts w:ascii="Arial" w:hAnsi="Arial" w:cs="Arial"/>
                <w:b/>
                <w:bCs/>
                <w:sz w:val="20"/>
                <w:szCs w:val="20"/>
              </w:rPr>
            </w:pPr>
            <w:r w:rsidRPr="000D120B">
              <w:rPr>
                <w:rFonts w:ascii="Arial" w:hAnsi="Arial" w:cs="Arial"/>
                <w:b/>
                <w:bCs/>
                <w:sz w:val="20"/>
                <w:szCs w:val="20"/>
              </w:rPr>
              <w:t>-20%</w:t>
            </w:r>
          </w:p>
        </w:tc>
        <w:tc>
          <w:tcPr>
            <w:tcW w:w="410" w:type="pct"/>
            <w:vAlign w:val="center"/>
          </w:tcPr>
          <w:p w14:paraId="16BB4744" w14:textId="654B084A" w:rsidR="008B13B5" w:rsidRPr="00C155D0" w:rsidRDefault="00D11CA6" w:rsidP="008B503C">
            <w:pPr>
              <w:spacing w:after="0" w:line="240" w:lineRule="auto"/>
              <w:jc w:val="right"/>
              <w:rPr>
                <w:rFonts w:ascii="Arial" w:hAnsi="Arial" w:cs="Arial"/>
                <w:b/>
                <w:bCs/>
                <w:sz w:val="20"/>
                <w:szCs w:val="20"/>
              </w:rPr>
            </w:pPr>
            <w:r w:rsidRPr="00C155D0">
              <w:rPr>
                <w:rFonts w:ascii="Arial" w:hAnsi="Arial" w:cs="Arial"/>
                <w:b/>
                <w:bCs/>
                <w:sz w:val="20"/>
                <w:szCs w:val="20"/>
              </w:rPr>
              <w:t xml:space="preserve"> </w:t>
            </w:r>
            <w:r w:rsidR="00DB5AAE" w:rsidRPr="000D120B">
              <w:rPr>
                <w:rFonts w:ascii="Arial" w:hAnsi="Arial" w:cs="Arial"/>
                <w:b/>
                <w:bCs/>
                <w:sz w:val="20"/>
                <w:szCs w:val="20"/>
              </w:rPr>
              <w:t>15</w:t>
            </w:r>
            <w:r w:rsidRPr="00C155D0">
              <w:rPr>
                <w:rFonts w:ascii="Arial" w:hAnsi="Arial" w:cs="Arial"/>
                <w:b/>
                <w:bCs/>
                <w:sz w:val="20"/>
                <w:szCs w:val="20"/>
              </w:rPr>
              <w:t xml:space="preserve"> </w:t>
            </w:r>
          </w:p>
        </w:tc>
        <w:tc>
          <w:tcPr>
            <w:tcW w:w="343" w:type="pct"/>
            <w:vAlign w:val="center"/>
          </w:tcPr>
          <w:p w14:paraId="4195009E" w14:textId="63A4D083" w:rsidR="008B13B5" w:rsidRPr="00C155D0" w:rsidRDefault="00DB5AAE" w:rsidP="008B503C">
            <w:pPr>
              <w:spacing w:after="0" w:line="240" w:lineRule="auto"/>
              <w:jc w:val="right"/>
              <w:rPr>
                <w:rFonts w:ascii="Arial" w:hAnsi="Arial" w:cs="Arial"/>
                <w:b/>
                <w:bCs/>
                <w:sz w:val="20"/>
                <w:szCs w:val="20"/>
              </w:rPr>
            </w:pPr>
            <w:r w:rsidRPr="000D120B">
              <w:rPr>
                <w:rFonts w:ascii="Arial" w:hAnsi="Arial" w:cs="Arial"/>
                <w:b/>
                <w:bCs/>
                <w:sz w:val="20"/>
                <w:szCs w:val="20"/>
              </w:rPr>
              <w:t>17</w:t>
            </w:r>
          </w:p>
        </w:tc>
        <w:tc>
          <w:tcPr>
            <w:tcW w:w="479" w:type="pct"/>
            <w:vAlign w:val="center"/>
          </w:tcPr>
          <w:p w14:paraId="49E5984E" w14:textId="22E5296A" w:rsidR="008B13B5" w:rsidRPr="00C155D0" w:rsidRDefault="00DB5AAE" w:rsidP="008B503C">
            <w:pPr>
              <w:spacing w:after="0" w:line="240" w:lineRule="auto"/>
              <w:jc w:val="right"/>
              <w:rPr>
                <w:rFonts w:ascii="Arial" w:hAnsi="Arial" w:cs="Arial"/>
                <w:b/>
                <w:bCs/>
                <w:sz w:val="20"/>
                <w:szCs w:val="20"/>
              </w:rPr>
            </w:pPr>
            <w:r w:rsidRPr="000D120B">
              <w:rPr>
                <w:rFonts w:ascii="Arial" w:hAnsi="Arial" w:cs="Arial"/>
                <w:b/>
                <w:bCs/>
                <w:sz w:val="20"/>
                <w:szCs w:val="20"/>
              </w:rPr>
              <w:t>-12%</w:t>
            </w:r>
          </w:p>
        </w:tc>
      </w:tr>
      <w:tr w:rsidR="008B13B5" w:rsidRPr="00C155D0" w14:paraId="63BAC384" w14:textId="0810CB18" w:rsidTr="008B503C">
        <w:trPr>
          <w:trHeight w:val="154"/>
        </w:trPr>
        <w:tc>
          <w:tcPr>
            <w:tcW w:w="1614" w:type="pct"/>
            <w:tcBorders>
              <w:bottom w:val="single" w:sz="2" w:space="0" w:color="auto"/>
            </w:tcBorders>
            <w:shd w:val="clear" w:color="auto" w:fill="auto"/>
            <w:noWrap/>
            <w:vAlign w:val="center"/>
            <w:hideMark/>
          </w:tcPr>
          <w:p w14:paraId="2906A62F" w14:textId="77777777" w:rsidR="008B13B5" w:rsidRPr="00C155D0" w:rsidRDefault="008B13B5" w:rsidP="000C1D3E">
            <w:pPr>
              <w:spacing w:after="0" w:line="240" w:lineRule="auto"/>
              <w:jc w:val="both"/>
              <w:rPr>
                <w:rFonts w:ascii="Arial" w:eastAsia="Times New Roman" w:hAnsi="Arial" w:cs="Arial"/>
                <w:i/>
                <w:iCs/>
                <w:color w:val="000000"/>
                <w:sz w:val="20"/>
                <w:szCs w:val="20"/>
                <w:lang w:eastAsia="ru-RU"/>
              </w:rPr>
            </w:pPr>
            <w:r w:rsidRPr="00C155D0">
              <w:rPr>
                <w:rFonts w:ascii="Arial" w:eastAsia="Times New Roman" w:hAnsi="Arial" w:cs="Arial"/>
                <w:i/>
                <w:iCs/>
                <w:color w:val="000000"/>
                <w:sz w:val="20"/>
                <w:szCs w:val="20"/>
                <w:lang w:eastAsia="ru-RU"/>
              </w:rPr>
              <w:t>Gross margin</w:t>
            </w:r>
          </w:p>
        </w:tc>
        <w:tc>
          <w:tcPr>
            <w:tcW w:w="115" w:type="pct"/>
          </w:tcPr>
          <w:p w14:paraId="7F222BDE" w14:textId="77777777" w:rsidR="008B13B5" w:rsidRPr="00C155D0" w:rsidRDefault="008B13B5" w:rsidP="000C1D3E">
            <w:pPr>
              <w:spacing w:after="0" w:line="240" w:lineRule="auto"/>
              <w:jc w:val="right"/>
              <w:rPr>
                <w:rFonts w:ascii="Arial" w:eastAsia="Times New Roman" w:hAnsi="Arial" w:cs="Arial"/>
                <w:i/>
                <w:iCs/>
                <w:color w:val="000000"/>
                <w:sz w:val="20"/>
                <w:szCs w:val="20"/>
                <w:lang w:eastAsia="ru-RU"/>
              </w:rPr>
            </w:pPr>
          </w:p>
        </w:tc>
        <w:tc>
          <w:tcPr>
            <w:tcW w:w="425" w:type="pct"/>
            <w:tcBorders>
              <w:bottom w:val="single" w:sz="2" w:space="0" w:color="auto"/>
            </w:tcBorders>
            <w:shd w:val="clear" w:color="auto" w:fill="auto"/>
            <w:noWrap/>
            <w:vAlign w:val="center"/>
          </w:tcPr>
          <w:p w14:paraId="5CF9D8D6" w14:textId="32D7ADB6"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10%</w:t>
            </w:r>
          </w:p>
        </w:tc>
        <w:tc>
          <w:tcPr>
            <w:tcW w:w="381" w:type="pct"/>
            <w:tcBorders>
              <w:bottom w:val="single" w:sz="2" w:space="0" w:color="auto"/>
            </w:tcBorders>
            <w:shd w:val="clear" w:color="auto" w:fill="auto"/>
            <w:noWrap/>
            <w:vAlign w:val="center"/>
          </w:tcPr>
          <w:p w14:paraId="780066E0" w14:textId="4A436340"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0%</w:t>
            </w:r>
          </w:p>
        </w:tc>
        <w:tc>
          <w:tcPr>
            <w:tcW w:w="479" w:type="pct"/>
            <w:tcBorders>
              <w:bottom w:val="single" w:sz="2" w:space="0" w:color="auto"/>
            </w:tcBorders>
            <w:shd w:val="clear" w:color="auto" w:fill="auto"/>
            <w:noWrap/>
            <w:vAlign w:val="center"/>
          </w:tcPr>
          <w:p w14:paraId="4277971C" w14:textId="22FC4AF6"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 xml:space="preserve">10 </w:t>
            </w:r>
            <w:proofErr w:type="spellStart"/>
            <w:r w:rsidRPr="000D120B">
              <w:rPr>
                <w:rFonts w:ascii="Arial" w:hAnsi="Arial" w:cs="Arial"/>
                <w:i/>
                <w:iCs/>
                <w:sz w:val="20"/>
                <w:szCs w:val="20"/>
              </w:rPr>
              <w:t>pps</w:t>
            </w:r>
            <w:proofErr w:type="spellEnd"/>
            <w:r w:rsidR="008B13B5" w:rsidRPr="00C155D0">
              <w:rPr>
                <w:rFonts w:ascii="Arial" w:hAnsi="Arial" w:cs="Arial"/>
                <w:i/>
                <w:iCs/>
                <w:sz w:val="20"/>
                <w:szCs w:val="20"/>
              </w:rPr>
              <w:t xml:space="preserve"> </w:t>
            </w:r>
          </w:p>
        </w:tc>
        <w:tc>
          <w:tcPr>
            <w:tcW w:w="342" w:type="pct"/>
            <w:tcBorders>
              <w:bottom w:val="single" w:sz="2" w:space="0" w:color="auto"/>
            </w:tcBorders>
            <w:vAlign w:val="center"/>
          </w:tcPr>
          <w:p w14:paraId="33325B37" w14:textId="5D41A943"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16%</w:t>
            </w:r>
          </w:p>
        </w:tc>
        <w:tc>
          <w:tcPr>
            <w:tcW w:w="412" w:type="pct"/>
            <w:tcBorders>
              <w:bottom w:val="single" w:sz="2" w:space="0" w:color="auto"/>
            </w:tcBorders>
            <w:vAlign w:val="center"/>
          </w:tcPr>
          <w:p w14:paraId="58AD5C0B" w14:textId="4D758309"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 xml:space="preserve">-6 </w:t>
            </w:r>
            <w:proofErr w:type="spellStart"/>
            <w:r w:rsidRPr="000D120B">
              <w:rPr>
                <w:rFonts w:ascii="Arial" w:hAnsi="Arial" w:cs="Arial"/>
                <w:i/>
                <w:iCs/>
                <w:sz w:val="20"/>
                <w:szCs w:val="20"/>
              </w:rPr>
              <w:t>pps</w:t>
            </w:r>
            <w:proofErr w:type="spellEnd"/>
          </w:p>
        </w:tc>
        <w:tc>
          <w:tcPr>
            <w:tcW w:w="410" w:type="pct"/>
            <w:tcBorders>
              <w:bottom w:val="single" w:sz="2" w:space="0" w:color="auto"/>
            </w:tcBorders>
            <w:vAlign w:val="center"/>
          </w:tcPr>
          <w:p w14:paraId="6ED77C30" w14:textId="1F63EB0A"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11%</w:t>
            </w:r>
          </w:p>
        </w:tc>
        <w:tc>
          <w:tcPr>
            <w:tcW w:w="343" w:type="pct"/>
            <w:tcBorders>
              <w:bottom w:val="single" w:sz="2" w:space="0" w:color="auto"/>
            </w:tcBorders>
            <w:vAlign w:val="center"/>
          </w:tcPr>
          <w:p w14:paraId="6345169D" w14:textId="2BB9DBD8"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10%</w:t>
            </w:r>
          </w:p>
        </w:tc>
        <w:tc>
          <w:tcPr>
            <w:tcW w:w="479" w:type="pct"/>
            <w:tcBorders>
              <w:bottom w:val="single" w:sz="2" w:space="0" w:color="auto"/>
            </w:tcBorders>
            <w:vAlign w:val="center"/>
          </w:tcPr>
          <w:p w14:paraId="074C1AA2" w14:textId="7B245649"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 xml:space="preserve">1 </w:t>
            </w:r>
            <w:proofErr w:type="spellStart"/>
            <w:r w:rsidRPr="000D120B">
              <w:rPr>
                <w:rFonts w:ascii="Arial" w:hAnsi="Arial" w:cs="Arial"/>
                <w:i/>
                <w:iCs/>
                <w:sz w:val="20"/>
                <w:szCs w:val="20"/>
              </w:rPr>
              <w:t>pps</w:t>
            </w:r>
            <w:proofErr w:type="spellEnd"/>
          </w:p>
        </w:tc>
      </w:tr>
      <w:tr w:rsidR="008B13B5" w:rsidRPr="00C155D0" w14:paraId="288052C0" w14:textId="0DA67433" w:rsidTr="008B503C">
        <w:trPr>
          <w:trHeight w:val="227"/>
        </w:trPr>
        <w:tc>
          <w:tcPr>
            <w:tcW w:w="1614" w:type="pct"/>
            <w:tcBorders>
              <w:bottom w:val="single" w:sz="4" w:space="0" w:color="auto"/>
            </w:tcBorders>
            <w:shd w:val="clear" w:color="auto" w:fill="auto"/>
            <w:noWrap/>
            <w:vAlign w:val="bottom"/>
          </w:tcPr>
          <w:p w14:paraId="4C235114" w14:textId="4F41F17B" w:rsidR="008B13B5" w:rsidRPr="00C155D0" w:rsidRDefault="008B13B5" w:rsidP="00DF2E56">
            <w:pPr>
              <w:spacing w:after="0" w:line="240" w:lineRule="auto"/>
              <w:jc w:val="both"/>
              <w:rPr>
                <w:rFonts w:ascii="Arial" w:eastAsia="Times New Roman" w:hAnsi="Arial" w:cs="Arial"/>
                <w:i/>
                <w:iCs/>
                <w:color w:val="000000"/>
                <w:sz w:val="20"/>
                <w:szCs w:val="20"/>
                <w:lang w:eastAsia="ru-RU"/>
              </w:rPr>
            </w:pPr>
            <w:r w:rsidRPr="00C155D0">
              <w:rPr>
                <w:rFonts w:ascii="Arial" w:eastAsia="Times New Roman" w:hAnsi="Arial" w:cs="Arial"/>
                <w:color w:val="000000"/>
                <w:sz w:val="20"/>
                <w:szCs w:val="20"/>
                <w:lang w:eastAsia="ru-RU"/>
              </w:rPr>
              <w:t>War-related expenses</w:t>
            </w:r>
          </w:p>
        </w:tc>
        <w:tc>
          <w:tcPr>
            <w:tcW w:w="115" w:type="pct"/>
          </w:tcPr>
          <w:p w14:paraId="01EA4FA0" w14:textId="77777777" w:rsidR="008B13B5" w:rsidRPr="00C155D0" w:rsidRDefault="008B13B5" w:rsidP="00DF2E56">
            <w:pPr>
              <w:spacing w:after="0" w:line="240" w:lineRule="auto"/>
              <w:jc w:val="right"/>
              <w:rPr>
                <w:rFonts w:ascii="Arial" w:eastAsia="Times New Roman" w:hAnsi="Arial" w:cs="Arial"/>
                <w:i/>
                <w:iCs/>
                <w:color w:val="000000"/>
                <w:sz w:val="20"/>
                <w:szCs w:val="20"/>
                <w:lang w:eastAsia="ru-RU"/>
              </w:rPr>
            </w:pPr>
          </w:p>
        </w:tc>
        <w:tc>
          <w:tcPr>
            <w:tcW w:w="425" w:type="pct"/>
            <w:tcBorders>
              <w:bottom w:val="single" w:sz="2" w:space="0" w:color="auto"/>
            </w:tcBorders>
            <w:shd w:val="clear" w:color="auto" w:fill="auto"/>
            <w:noWrap/>
            <w:vAlign w:val="center"/>
          </w:tcPr>
          <w:p w14:paraId="14FD5B0F" w14:textId="029A9DEE" w:rsidR="008B13B5" w:rsidRPr="00C155D0" w:rsidRDefault="00D11CA6" w:rsidP="008B503C">
            <w:pPr>
              <w:spacing w:after="0" w:line="240" w:lineRule="auto"/>
              <w:jc w:val="right"/>
              <w:rPr>
                <w:rFonts w:ascii="Arial" w:eastAsia="Times New Roman" w:hAnsi="Arial" w:cs="Arial"/>
                <w:color w:val="000000"/>
                <w:sz w:val="20"/>
                <w:szCs w:val="20"/>
                <w:lang w:eastAsia="ru-RU"/>
              </w:rPr>
            </w:pPr>
            <w:r w:rsidRPr="00C155D0">
              <w:rPr>
                <w:rFonts w:ascii="Arial" w:hAnsi="Arial" w:cs="Arial"/>
                <w:sz w:val="20"/>
                <w:szCs w:val="20"/>
              </w:rPr>
              <w:t xml:space="preserve"> </w:t>
            </w:r>
            <w:r w:rsidR="00DB5AAE" w:rsidRPr="000D120B">
              <w:rPr>
                <w:rFonts w:ascii="Arial" w:hAnsi="Arial" w:cs="Arial"/>
                <w:sz w:val="20"/>
                <w:szCs w:val="20"/>
              </w:rPr>
              <w:t>(1)</w:t>
            </w:r>
            <w:r w:rsidRPr="00C155D0">
              <w:rPr>
                <w:rFonts w:ascii="Arial" w:hAnsi="Arial" w:cs="Arial"/>
                <w:sz w:val="20"/>
                <w:szCs w:val="20"/>
              </w:rPr>
              <w:t xml:space="preserve"> </w:t>
            </w:r>
          </w:p>
        </w:tc>
        <w:tc>
          <w:tcPr>
            <w:tcW w:w="381" w:type="pct"/>
            <w:tcBorders>
              <w:bottom w:val="single" w:sz="2" w:space="0" w:color="auto"/>
            </w:tcBorders>
            <w:shd w:val="clear" w:color="auto" w:fill="auto"/>
            <w:noWrap/>
            <w:vAlign w:val="center"/>
          </w:tcPr>
          <w:p w14:paraId="569B0F30" w14:textId="356F6A80" w:rsidR="008B13B5" w:rsidRPr="00C155D0" w:rsidRDefault="00DB5AAE" w:rsidP="008B503C">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 xml:space="preserve"> -</w:t>
            </w:r>
          </w:p>
        </w:tc>
        <w:tc>
          <w:tcPr>
            <w:tcW w:w="479" w:type="pct"/>
            <w:tcBorders>
              <w:bottom w:val="single" w:sz="2" w:space="0" w:color="auto"/>
            </w:tcBorders>
            <w:shd w:val="clear" w:color="auto" w:fill="auto"/>
            <w:noWrap/>
            <w:vAlign w:val="center"/>
          </w:tcPr>
          <w:p w14:paraId="15A292E2" w14:textId="211723E8" w:rsidR="008B13B5" w:rsidRPr="00C155D0" w:rsidRDefault="00DB5AAE" w:rsidP="008B503C">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-100%</w:t>
            </w:r>
          </w:p>
        </w:tc>
        <w:tc>
          <w:tcPr>
            <w:tcW w:w="342" w:type="pct"/>
            <w:tcBorders>
              <w:bottom w:val="single" w:sz="2" w:space="0" w:color="auto"/>
            </w:tcBorders>
            <w:vAlign w:val="center"/>
          </w:tcPr>
          <w:p w14:paraId="18E9B7E7" w14:textId="08BE59C9" w:rsidR="008B13B5" w:rsidRPr="00C155D0" w:rsidRDefault="00D11CA6" w:rsidP="008B503C">
            <w:pPr>
              <w:spacing w:after="0" w:line="240" w:lineRule="auto"/>
              <w:jc w:val="right"/>
              <w:rPr>
                <w:rFonts w:ascii="Arial" w:eastAsia="Times New Roman" w:hAnsi="Arial" w:cs="Arial"/>
                <w:color w:val="000000"/>
                <w:sz w:val="20"/>
                <w:szCs w:val="20"/>
                <w:lang w:eastAsia="ru-RU"/>
              </w:rPr>
            </w:pPr>
            <w:r w:rsidRPr="00C155D0">
              <w:rPr>
                <w:rFonts w:ascii="Arial" w:hAnsi="Arial" w:cs="Arial"/>
                <w:sz w:val="20"/>
                <w:szCs w:val="20"/>
              </w:rPr>
              <w:t xml:space="preserve"> </w:t>
            </w:r>
            <w:r w:rsidR="00DB5AAE" w:rsidRPr="000D120B">
              <w:rPr>
                <w:rFonts w:ascii="Arial" w:hAnsi="Arial" w:cs="Arial"/>
                <w:sz w:val="20"/>
                <w:szCs w:val="20"/>
              </w:rPr>
              <w:t xml:space="preserve"> - </w:t>
            </w:r>
          </w:p>
        </w:tc>
        <w:tc>
          <w:tcPr>
            <w:tcW w:w="412" w:type="pct"/>
            <w:tcBorders>
              <w:bottom w:val="single" w:sz="2" w:space="0" w:color="auto"/>
            </w:tcBorders>
            <w:vAlign w:val="center"/>
          </w:tcPr>
          <w:p w14:paraId="5940DD8D" w14:textId="2FF73E7A" w:rsidR="008B13B5" w:rsidRPr="00C155D0" w:rsidRDefault="00DB5AAE" w:rsidP="008B503C">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-100%</w:t>
            </w:r>
          </w:p>
        </w:tc>
        <w:tc>
          <w:tcPr>
            <w:tcW w:w="410" w:type="pct"/>
            <w:tcBorders>
              <w:bottom w:val="single" w:sz="2" w:space="0" w:color="auto"/>
            </w:tcBorders>
            <w:vAlign w:val="center"/>
          </w:tcPr>
          <w:p w14:paraId="12AB8C42" w14:textId="7D441187" w:rsidR="008B13B5" w:rsidRPr="00C155D0" w:rsidRDefault="00D11CA6" w:rsidP="008B503C">
            <w:pPr>
              <w:spacing w:after="0" w:line="240" w:lineRule="auto"/>
              <w:jc w:val="right"/>
              <w:rPr>
                <w:rFonts w:ascii="Arial" w:eastAsia="Times New Roman" w:hAnsi="Arial" w:cs="Arial"/>
                <w:color w:val="000000"/>
                <w:sz w:val="20"/>
                <w:szCs w:val="20"/>
                <w:lang w:val="uk-UA" w:eastAsia="ru-RU"/>
              </w:rPr>
            </w:pPr>
            <w:r w:rsidRPr="00C155D0">
              <w:rPr>
                <w:rFonts w:ascii="Arial" w:hAnsi="Arial" w:cs="Arial"/>
                <w:sz w:val="20"/>
                <w:szCs w:val="20"/>
              </w:rPr>
              <w:t xml:space="preserve"> </w:t>
            </w:r>
            <w:r w:rsidR="00DB5AAE" w:rsidRPr="000D120B">
              <w:rPr>
                <w:rFonts w:ascii="Arial" w:hAnsi="Arial" w:cs="Arial"/>
                <w:sz w:val="20"/>
                <w:szCs w:val="20"/>
              </w:rPr>
              <w:t>(5)</w:t>
            </w:r>
          </w:p>
        </w:tc>
        <w:tc>
          <w:tcPr>
            <w:tcW w:w="343" w:type="pct"/>
            <w:tcBorders>
              <w:bottom w:val="single" w:sz="2" w:space="0" w:color="auto"/>
            </w:tcBorders>
            <w:vAlign w:val="center"/>
          </w:tcPr>
          <w:p w14:paraId="3D0447D0" w14:textId="3BE52B69" w:rsidR="008B13B5" w:rsidRPr="00C155D0" w:rsidRDefault="00DB5AAE" w:rsidP="008B503C">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 xml:space="preserve"> - </w:t>
            </w:r>
            <w:r w:rsidR="00C95184" w:rsidRPr="00C155D0">
              <w:rPr>
                <w:rFonts w:ascii="Arial" w:eastAsia="Times New Roman" w:hAnsi="Arial" w:cs="Arial"/>
                <w:color w:val="000000"/>
                <w:sz w:val="20"/>
                <w:szCs w:val="20"/>
                <w:lang w:eastAsia="ru-RU"/>
              </w:rPr>
              <w:t xml:space="preserve">   </w:t>
            </w:r>
          </w:p>
        </w:tc>
        <w:tc>
          <w:tcPr>
            <w:tcW w:w="479" w:type="pct"/>
            <w:tcBorders>
              <w:bottom w:val="single" w:sz="2" w:space="0" w:color="auto"/>
            </w:tcBorders>
            <w:vAlign w:val="center"/>
          </w:tcPr>
          <w:p w14:paraId="45C4769C" w14:textId="0415FE84" w:rsidR="008B13B5" w:rsidRPr="00C155D0" w:rsidRDefault="00DB5AAE" w:rsidP="008B503C">
            <w:pPr>
              <w:spacing w:after="0" w:line="240" w:lineRule="auto"/>
              <w:jc w:val="right"/>
              <w:rPr>
                <w:rFonts w:ascii="Arial" w:eastAsia="Times New Roman" w:hAnsi="Arial" w:cs="Arial"/>
                <w:color w:val="000000"/>
                <w:sz w:val="20"/>
                <w:szCs w:val="20"/>
                <w:lang w:eastAsia="ru-RU"/>
              </w:rPr>
            </w:pPr>
            <w:r w:rsidRPr="000D120B">
              <w:rPr>
                <w:rFonts w:ascii="Arial" w:hAnsi="Arial" w:cs="Arial"/>
                <w:sz w:val="20"/>
                <w:szCs w:val="20"/>
              </w:rPr>
              <w:t>-100%</w:t>
            </w:r>
          </w:p>
        </w:tc>
      </w:tr>
      <w:tr w:rsidR="008B13B5" w:rsidRPr="00C155D0" w14:paraId="3C4BF5C7" w14:textId="1D070D59" w:rsidTr="008B503C">
        <w:trPr>
          <w:trHeight w:hRule="exact" w:val="57"/>
        </w:trPr>
        <w:tc>
          <w:tcPr>
            <w:tcW w:w="1614" w:type="pct"/>
            <w:shd w:val="clear" w:color="auto" w:fill="auto"/>
            <w:noWrap/>
            <w:vAlign w:val="bottom"/>
          </w:tcPr>
          <w:p w14:paraId="38109158" w14:textId="77777777" w:rsidR="008B13B5" w:rsidRPr="00C155D0" w:rsidRDefault="008B13B5" w:rsidP="00DF2E56">
            <w:pPr>
              <w:spacing w:after="0" w:line="240" w:lineRule="auto"/>
              <w:jc w:val="both"/>
              <w:rPr>
                <w:rFonts w:ascii="Arial" w:eastAsia="Times New Roman" w:hAnsi="Arial" w:cs="Arial"/>
                <w:color w:val="000000"/>
                <w:sz w:val="20"/>
                <w:szCs w:val="20"/>
                <w:lang w:eastAsia="ru-RU"/>
              </w:rPr>
            </w:pPr>
          </w:p>
        </w:tc>
        <w:tc>
          <w:tcPr>
            <w:tcW w:w="115" w:type="pct"/>
          </w:tcPr>
          <w:p w14:paraId="6EA49D8E" w14:textId="77777777" w:rsidR="008B13B5" w:rsidRPr="00C155D0" w:rsidRDefault="008B13B5" w:rsidP="00DF2E56">
            <w:pPr>
              <w:spacing w:after="0" w:line="240" w:lineRule="auto"/>
              <w:jc w:val="right"/>
              <w:rPr>
                <w:rFonts w:ascii="Arial" w:eastAsia="Times New Roman" w:hAnsi="Arial" w:cs="Arial"/>
                <w:i/>
                <w:iCs/>
                <w:color w:val="000000"/>
                <w:sz w:val="20"/>
                <w:szCs w:val="20"/>
                <w:lang w:eastAsia="ru-RU"/>
              </w:rPr>
            </w:pPr>
          </w:p>
        </w:tc>
        <w:tc>
          <w:tcPr>
            <w:tcW w:w="425" w:type="pct"/>
            <w:tcBorders>
              <w:bottom w:val="single" w:sz="2" w:space="0" w:color="auto"/>
            </w:tcBorders>
            <w:shd w:val="clear" w:color="auto" w:fill="auto"/>
            <w:noWrap/>
            <w:vAlign w:val="center"/>
          </w:tcPr>
          <w:p w14:paraId="3C3D4074"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381" w:type="pct"/>
            <w:tcBorders>
              <w:bottom w:val="single" w:sz="2" w:space="0" w:color="auto"/>
            </w:tcBorders>
            <w:shd w:val="clear" w:color="auto" w:fill="auto"/>
            <w:noWrap/>
            <w:vAlign w:val="center"/>
          </w:tcPr>
          <w:p w14:paraId="14DE8353"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479" w:type="pct"/>
            <w:tcBorders>
              <w:bottom w:val="single" w:sz="2" w:space="0" w:color="auto"/>
            </w:tcBorders>
            <w:shd w:val="clear" w:color="auto" w:fill="auto"/>
            <w:noWrap/>
            <w:vAlign w:val="center"/>
          </w:tcPr>
          <w:p w14:paraId="3760D12F"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342" w:type="pct"/>
            <w:tcBorders>
              <w:bottom w:val="single" w:sz="2" w:space="0" w:color="auto"/>
            </w:tcBorders>
            <w:vAlign w:val="center"/>
          </w:tcPr>
          <w:p w14:paraId="1845BD3C"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412" w:type="pct"/>
            <w:tcBorders>
              <w:bottom w:val="single" w:sz="2" w:space="0" w:color="auto"/>
            </w:tcBorders>
            <w:vAlign w:val="center"/>
          </w:tcPr>
          <w:p w14:paraId="46797360"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410" w:type="pct"/>
            <w:tcBorders>
              <w:bottom w:val="single" w:sz="2" w:space="0" w:color="auto"/>
            </w:tcBorders>
            <w:vAlign w:val="center"/>
          </w:tcPr>
          <w:p w14:paraId="1261FCF1"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343" w:type="pct"/>
            <w:tcBorders>
              <w:bottom w:val="single" w:sz="2" w:space="0" w:color="auto"/>
            </w:tcBorders>
            <w:vAlign w:val="center"/>
          </w:tcPr>
          <w:p w14:paraId="091279F6"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c>
          <w:tcPr>
            <w:tcW w:w="479" w:type="pct"/>
            <w:tcBorders>
              <w:bottom w:val="single" w:sz="2" w:space="0" w:color="auto"/>
            </w:tcBorders>
            <w:vAlign w:val="center"/>
          </w:tcPr>
          <w:p w14:paraId="3297DE88" w14:textId="77777777" w:rsidR="008B13B5" w:rsidRPr="00C155D0" w:rsidRDefault="008B13B5" w:rsidP="008B503C">
            <w:pPr>
              <w:spacing w:after="0" w:line="240" w:lineRule="auto"/>
              <w:jc w:val="right"/>
              <w:rPr>
                <w:rFonts w:ascii="Arial" w:eastAsia="Times New Roman" w:hAnsi="Arial" w:cs="Arial"/>
                <w:color w:val="000000"/>
                <w:sz w:val="20"/>
                <w:szCs w:val="20"/>
                <w:lang w:eastAsia="ru-RU"/>
              </w:rPr>
            </w:pPr>
          </w:p>
        </w:tc>
      </w:tr>
      <w:tr w:rsidR="008B13B5" w:rsidRPr="00C155D0" w14:paraId="2CD9CA6E" w14:textId="0740E106" w:rsidTr="00546FA1">
        <w:trPr>
          <w:trHeight w:val="147"/>
        </w:trPr>
        <w:tc>
          <w:tcPr>
            <w:tcW w:w="1614" w:type="pct"/>
            <w:shd w:val="clear" w:color="auto" w:fill="auto"/>
            <w:noWrap/>
            <w:vAlign w:val="center"/>
            <w:hideMark/>
          </w:tcPr>
          <w:p w14:paraId="0E107886" w14:textId="2072A05D" w:rsidR="008B13B5" w:rsidRPr="00C155D0" w:rsidRDefault="008B13B5" w:rsidP="00DF2E56">
            <w:pPr>
              <w:spacing w:after="0" w:line="240" w:lineRule="auto"/>
              <w:jc w:val="both"/>
              <w:rPr>
                <w:rFonts w:ascii="Arial" w:eastAsia="Times New Roman" w:hAnsi="Arial" w:cs="Arial"/>
                <w:b/>
                <w:bCs/>
                <w:color w:val="000000"/>
                <w:sz w:val="20"/>
                <w:szCs w:val="20"/>
                <w:lang w:eastAsia="ru-RU"/>
              </w:rPr>
            </w:pPr>
            <w:r w:rsidRPr="00C155D0">
              <w:rPr>
                <w:rFonts w:ascii="Arial" w:eastAsia="Times New Roman" w:hAnsi="Arial" w:cs="Arial"/>
                <w:b/>
                <w:bCs/>
                <w:color w:val="000000"/>
                <w:sz w:val="20"/>
                <w:szCs w:val="20"/>
                <w:lang w:eastAsia="ru-RU"/>
              </w:rPr>
              <w:t>Adjusted EBITDA</w:t>
            </w:r>
          </w:p>
        </w:tc>
        <w:tc>
          <w:tcPr>
            <w:tcW w:w="115" w:type="pct"/>
          </w:tcPr>
          <w:p w14:paraId="28EC5C69" w14:textId="77777777" w:rsidR="008B13B5" w:rsidRPr="00C155D0" w:rsidRDefault="008B13B5" w:rsidP="00DF2E56">
            <w:pPr>
              <w:spacing w:after="0" w:line="240" w:lineRule="auto"/>
              <w:jc w:val="right"/>
              <w:rPr>
                <w:rFonts w:ascii="Arial" w:eastAsia="Times New Roman" w:hAnsi="Arial" w:cs="Arial"/>
                <w:b/>
                <w:bCs/>
                <w:color w:val="000000"/>
                <w:sz w:val="20"/>
                <w:szCs w:val="20"/>
                <w:lang w:eastAsia="ru-RU"/>
              </w:rPr>
            </w:pPr>
          </w:p>
        </w:tc>
        <w:tc>
          <w:tcPr>
            <w:tcW w:w="425" w:type="pct"/>
            <w:shd w:val="clear" w:color="auto" w:fill="auto"/>
            <w:noWrap/>
            <w:vAlign w:val="center"/>
          </w:tcPr>
          <w:p w14:paraId="0EA1F6AC" w14:textId="23304FDD" w:rsidR="008B13B5" w:rsidRPr="00C155D0" w:rsidRDefault="00D11CA6" w:rsidP="008B503C">
            <w:pPr>
              <w:spacing w:after="0" w:line="240" w:lineRule="auto"/>
              <w:jc w:val="right"/>
              <w:rPr>
                <w:rFonts w:ascii="Arial" w:eastAsia="Times New Roman" w:hAnsi="Arial" w:cs="Arial"/>
                <w:b/>
                <w:bCs/>
                <w:color w:val="000000"/>
                <w:sz w:val="20"/>
                <w:szCs w:val="20"/>
                <w:lang w:eastAsia="ru-RU"/>
              </w:rPr>
            </w:pPr>
            <w:r w:rsidRPr="00C155D0">
              <w:rPr>
                <w:rFonts w:ascii="Arial" w:eastAsia="Times New Roman" w:hAnsi="Arial" w:cs="Arial"/>
                <w:b/>
                <w:bCs/>
                <w:color w:val="000000"/>
                <w:sz w:val="20"/>
                <w:szCs w:val="20"/>
                <w:lang w:eastAsia="ru-RU"/>
              </w:rPr>
              <w:t xml:space="preserve"> </w:t>
            </w:r>
            <w:r w:rsidR="00DB5AAE" w:rsidRPr="000D120B">
              <w:rPr>
                <w:rFonts w:ascii="Arial" w:hAnsi="Arial" w:cs="Arial"/>
                <w:b/>
                <w:bCs/>
                <w:sz w:val="20"/>
                <w:szCs w:val="20"/>
              </w:rPr>
              <w:t xml:space="preserve"> 4</w:t>
            </w:r>
            <w:r w:rsidRPr="00C155D0">
              <w:rPr>
                <w:rFonts w:ascii="Arial" w:eastAsia="Times New Roman" w:hAnsi="Arial" w:cs="Arial"/>
                <w:b/>
                <w:bCs/>
                <w:color w:val="000000"/>
                <w:sz w:val="20"/>
                <w:szCs w:val="20"/>
                <w:lang w:eastAsia="ru-RU"/>
              </w:rPr>
              <w:t xml:space="preserve"> </w:t>
            </w:r>
          </w:p>
        </w:tc>
        <w:tc>
          <w:tcPr>
            <w:tcW w:w="381" w:type="pct"/>
            <w:shd w:val="clear" w:color="auto" w:fill="auto"/>
            <w:noWrap/>
            <w:vAlign w:val="center"/>
          </w:tcPr>
          <w:p w14:paraId="7680E5BE" w14:textId="1DFE1FB3" w:rsidR="008B13B5" w:rsidRPr="00610E1C" w:rsidRDefault="00D11CA6" w:rsidP="008B503C">
            <w:pPr>
              <w:spacing w:after="0" w:line="240" w:lineRule="auto"/>
              <w:jc w:val="right"/>
              <w:rPr>
                <w:rFonts w:ascii="Arial" w:eastAsia="Times New Roman" w:hAnsi="Arial" w:cs="Arial"/>
                <w:b/>
                <w:bCs/>
                <w:color w:val="000000"/>
                <w:sz w:val="20"/>
                <w:szCs w:val="20"/>
                <w:lang w:eastAsia="ru-RU"/>
              </w:rPr>
            </w:pPr>
            <w:r w:rsidRPr="00610E1C">
              <w:rPr>
                <w:rFonts w:ascii="Arial" w:eastAsia="Times New Roman" w:hAnsi="Arial" w:cs="Arial"/>
                <w:b/>
                <w:bCs/>
                <w:color w:val="000000"/>
                <w:sz w:val="20"/>
                <w:szCs w:val="20"/>
                <w:lang w:eastAsia="ru-RU"/>
              </w:rPr>
              <w:t xml:space="preserve"> </w:t>
            </w:r>
            <w:r w:rsidR="00DB5AAE" w:rsidRPr="000D120B">
              <w:rPr>
                <w:rFonts w:ascii="Arial" w:hAnsi="Arial" w:cs="Arial"/>
                <w:b/>
                <w:bCs/>
                <w:sz w:val="20"/>
                <w:szCs w:val="20"/>
              </w:rPr>
              <w:t>(1)</w:t>
            </w:r>
            <w:r w:rsidRPr="00610E1C">
              <w:rPr>
                <w:rFonts w:ascii="Arial" w:eastAsia="Times New Roman" w:hAnsi="Arial" w:cs="Arial"/>
                <w:b/>
                <w:bCs/>
                <w:color w:val="000000"/>
                <w:sz w:val="20"/>
                <w:szCs w:val="20"/>
                <w:lang w:eastAsia="ru-RU"/>
              </w:rPr>
              <w:t xml:space="preserve"> </w:t>
            </w:r>
          </w:p>
        </w:tc>
        <w:tc>
          <w:tcPr>
            <w:tcW w:w="479" w:type="pct"/>
            <w:shd w:val="clear" w:color="auto" w:fill="auto"/>
            <w:noWrap/>
            <w:vAlign w:val="center"/>
          </w:tcPr>
          <w:p w14:paraId="49FAB23E" w14:textId="3DD2E4AF" w:rsidR="008B13B5" w:rsidRPr="00C155D0" w:rsidRDefault="00DB5AAE" w:rsidP="008B503C">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-500%</w:t>
            </w:r>
          </w:p>
        </w:tc>
        <w:tc>
          <w:tcPr>
            <w:tcW w:w="342" w:type="pct"/>
            <w:vAlign w:val="center"/>
          </w:tcPr>
          <w:p w14:paraId="53748BF3" w14:textId="56E8C594" w:rsidR="008B13B5" w:rsidRPr="00C155D0" w:rsidRDefault="00DB5AAE" w:rsidP="008B503C">
            <w:pPr>
              <w:spacing w:after="0" w:line="240" w:lineRule="auto"/>
              <w:jc w:val="right"/>
              <w:rPr>
                <w:rFonts w:ascii="Arial" w:eastAsia="Times New Roman" w:hAnsi="Arial" w:cs="Arial"/>
                <w:b/>
                <w:bCs/>
                <w:color w:val="000000"/>
                <w:sz w:val="20"/>
                <w:szCs w:val="20"/>
                <w:lang w:val="uk-UA" w:eastAsia="ru-RU"/>
              </w:rPr>
            </w:pPr>
            <w:r w:rsidRPr="000D120B">
              <w:rPr>
                <w:rFonts w:ascii="Arial" w:hAnsi="Arial" w:cs="Arial"/>
                <w:b/>
                <w:bCs/>
                <w:sz w:val="20"/>
                <w:szCs w:val="20"/>
              </w:rPr>
              <w:t xml:space="preserve"> 4 </w:t>
            </w:r>
          </w:p>
        </w:tc>
        <w:tc>
          <w:tcPr>
            <w:tcW w:w="412" w:type="pct"/>
            <w:vAlign w:val="center"/>
          </w:tcPr>
          <w:p w14:paraId="5914AE3D" w14:textId="277F1D70" w:rsidR="008B13B5" w:rsidRPr="00C155D0" w:rsidRDefault="00DB5AAE" w:rsidP="00546FA1">
            <w:pPr>
              <w:spacing w:after="0" w:line="240" w:lineRule="auto"/>
              <w:jc w:val="right"/>
              <w:rPr>
                <w:rFonts w:ascii="Arial" w:eastAsia="Times New Roman" w:hAnsi="Arial" w:cs="Arial"/>
                <w:b/>
                <w:bCs/>
                <w:color w:val="000000"/>
                <w:sz w:val="20"/>
                <w:szCs w:val="20"/>
                <w:lang w:val="uk-UA" w:eastAsia="ru-RU"/>
              </w:rPr>
            </w:pPr>
            <w:r w:rsidRPr="000D120B">
              <w:rPr>
                <w:rFonts w:ascii="Arial" w:hAnsi="Arial" w:cs="Arial"/>
                <w:b/>
                <w:bCs/>
                <w:sz w:val="20"/>
                <w:szCs w:val="20"/>
              </w:rPr>
              <w:t>0%</w:t>
            </w:r>
          </w:p>
        </w:tc>
        <w:tc>
          <w:tcPr>
            <w:tcW w:w="410" w:type="pct"/>
            <w:vAlign w:val="center"/>
          </w:tcPr>
          <w:p w14:paraId="05CA7BB5" w14:textId="139FA8D2" w:rsidR="008B13B5" w:rsidRPr="00C155D0" w:rsidRDefault="00D11CA6" w:rsidP="008B503C">
            <w:pPr>
              <w:spacing w:after="0" w:line="240" w:lineRule="auto"/>
              <w:jc w:val="right"/>
              <w:rPr>
                <w:rFonts w:ascii="Arial" w:eastAsia="Times New Roman" w:hAnsi="Arial" w:cs="Arial"/>
                <w:b/>
                <w:bCs/>
                <w:color w:val="000000"/>
                <w:sz w:val="20"/>
                <w:szCs w:val="20"/>
                <w:lang w:eastAsia="ru-RU"/>
              </w:rPr>
            </w:pPr>
            <w:r w:rsidRPr="00C155D0">
              <w:rPr>
                <w:rFonts w:ascii="Arial" w:hAnsi="Arial" w:cs="Arial"/>
                <w:b/>
                <w:bCs/>
                <w:sz w:val="20"/>
                <w:szCs w:val="20"/>
              </w:rPr>
              <w:t xml:space="preserve"> </w:t>
            </w:r>
            <w:r w:rsidR="00DB5AAE" w:rsidRPr="000D120B">
              <w:rPr>
                <w:rFonts w:ascii="Arial" w:hAnsi="Arial" w:cs="Arial"/>
                <w:b/>
                <w:bCs/>
                <w:sz w:val="20"/>
                <w:szCs w:val="20"/>
              </w:rPr>
              <w:t>8</w:t>
            </w:r>
          </w:p>
        </w:tc>
        <w:tc>
          <w:tcPr>
            <w:tcW w:w="343" w:type="pct"/>
            <w:vAlign w:val="center"/>
          </w:tcPr>
          <w:p w14:paraId="6102C589" w14:textId="4BCA44A3" w:rsidR="008B13B5" w:rsidRPr="00C155D0" w:rsidRDefault="00DB5AAE" w:rsidP="008B503C">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11</w:t>
            </w:r>
          </w:p>
        </w:tc>
        <w:tc>
          <w:tcPr>
            <w:tcW w:w="479" w:type="pct"/>
            <w:vAlign w:val="center"/>
          </w:tcPr>
          <w:p w14:paraId="5F055FF2" w14:textId="7E3DC764" w:rsidR="008B13B5" w:rsidRPr="00C155D0" w:rsidRDefault="00DB5AAE" w:rsidP="008B503C">
            <w:pPr>
              <w:spacing w:after="0" w:line="240" w:lineRule="auto"/>
              <w:jc w:val="right"/>
              <w:rPr>
                <w:rFonts w:ascii="Arial" w:eastAsia="Times New Roman" w:hAnsi="Arial" w:cs="Arial"/>
                <w:b/>
                <w:bCs/>
                <w:color w:val="000000"/>
                <w:sz w:val="20"/>
                <w:szCs w:val="20"/>
                <w:lang w:eastAsia="ru-RU"/>
              </w:rPr>
            </w:pPr>
            <w:r w:rsidRPr="000D120B">
              <w:rPr>
                <w:rFonts w:ascii="Arial" w:hAnsi="Arial" w:cs="Arial"/>
                <w:b/>
                <w:bCs/>
                <w:sz w:val="20"/>
                <w:szCs w:val="20"/>
              </w:rPr>
              <w:t>-24%</w:t>
            </w:r>
          </w:p>
        </w:tc>
      </w:tr>
      <w:tr w:rsidR="008B13B5" w:rsidRPr="00C155D0" w14:paraId="1360B468" w14:textId="6C3EACAA" w:rsidTr="008B503C">
        <w:trPr>
          <w:trHeight w:val="136"/>
        </w:trPr>
        <w:tc>
          <w:tcPr>
            <w:tcW w:w="1614" w:type="pct"/>
            <w:tcBorders>
              <w:bottom w:val="single" w:sz="4" w:space="0" w:color="auto"/>
            </w:tcBorders>
            <w:shd w:val="clear" w:color="auto" w:fill="auto"/>
            <w:noWrap/>
            <w:vAlign w:val="center"/>
            <w:hideMark/>
          </w:tcPr>
          <w:p w14:paraId="3A379E40" w14:textId="687ED0F8" w:rsidR="008B13B5" w:rsidRPr="00C155D0" w:rsidRDefault="008B13B5" w:rsidP="00DF2E56">
            <w:pPr>
              <w:spacing w:after="0" w:line="240" w:lineRule="auto"/>
              <w:jc w:val="both"/>
              <w:rPr>
                <w:rFonts w:ascii="Arial" w:eastAsia="Times New Roman" w:hAnsi="Arial" w:cs="Arial"/>
                <w:i/>
                <w:iCs/>
                <w:color w:val="000000"/>
                <w:sz w:val="20"/>
                <w:szCs w:val="20"/>
                <w:lang w:eastAsia="ru-RU"/>
              </w:rPr>
            </w:pPr>
            <w:r w:rsidRPr="00C155D0">
              <w:rPr>
                <w:rFonts w:ascii="Arial" w:eastAsia="Times New Roman" w:hAnsi="Arial" w:cs="Arial"/>
                <w:i/>
                <w:iCs/>
                <w:color w:val="000000"/>
                <w:sz w:val="20"/>
                <w:szCs w:val="20"/>
                <w:lang w:eastAsia="ru-RU"/>
              </w:rPr>
              <w:t>Adjusted EBITDA margin</w:t>
            </w:r>
          </w:p>
        </w:tc>
        <w:tc>
          <w:tcPr>
            <w:tcW w:w="115" w:type="pct"/>
          </w:tcPr>
          <w:p w14:paraId="02BEDCC0" w14:textId="77777777" w:rsidR="008B13B5" w:rsidRPr="00C155D0" w:rsidRDefault="008B13B5" w:rsidP="00DF2E56">
            <w:pPr>
              <w:spacing w:after="0" w:line="240" w:lineRule="auto"/>
              <w:jc w:val="right"/>
              <w:rPr>
                <w:rFonts w:ascii="Arial" w:eastAsia="Times New Roman" w:hAnsi="Arial" w:cs="Arial"/>
                <w:i/>
                <w:iCs/>
                <w:color w:val="000000"/>
                <w:sz w:val="20"/>
                <w:szCs w:val="20"/>
                <w:lang w:eastAsia="ru-RU"/>
              </w:rPr>
            </w:pPr>
          </w:p>
        </w:tc>
        <w:tc>
          <w:tcPr>
            <w:tcW w:w="425" w:type="pct"/>
            <w:tcBorders>
              <w:bottom w:val="single" w:sz="12" w:space="0" w:color="auto"/>
            </w:tcBorders>
            <w:shd w:val="clear" w:color="auto" w:fill="auto"/>
            <w:noWrap/>
            <w:vAlign w:val="center"/>
          </w:tcPr>
          <w:p w14:paraId="6F27654C" w14:textId="64E7CE73"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10%</w:t>
            </w:r>
          </w:p>
        </w:tc>
        <w:tc>
          <w:tcPr>
            <w:tcW w:w="381" w:type="pct"/>
            <w:tcBorders>
              <w:bottom w:val="single" w:sz="12" w:space="0" w:color="auto"/>
            </w:tcBorders>
            <w:shd w:val="clear" w:color="auto" w:fill="auto"/>
            <w:noWrap/>
            <w:vAlign w:val="center"/>
          </w:tcPr>
          <w:p w14:paraId="5566139D" w14:textId="0E201C6A"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-2%</w:t>
            </w:r>
          </w:p>
        </w:tc>
        <w:tc>
          <w:tcPr>
            <w:tcW w:w="479" w:type="pct"/>
            <w:tcBorders>
              <w:bottom w:val="single" w:sz="12" w:space="0" w:color="auto"/>
            </w:tcBorders>
            <w:shd w:val="clear" w:color="auto" w:fill="auto"/>
            <w:noWrap/>
            <w:vAlign w:val="center"/>
          </w:tcPr>
          <w:p w14:paraId="480B5A4E" w14:textId="53B92CF2"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 xml:space="preserve">12 </w:t>
            </w:r>
            <w:proofErr w:type="spellStart"/>
            <w:r w:rsidRPr="000D120B">
              <w:rPr>
                <w:rFonts w:ascii="Arial" w:hAnsi="Arial" w:cs="Arial"/>
                <w:i/>
                <w:iCs/>
                <w:sz w:val="20"/>
                <w:szCs w:val="20"/>
              </w:rPr>
              <w:t>pps</w:t>
            </w:r>
            <w:proofErr w:type="spellEnd"/>
          </w:p>
        </w:tc>
        <w:tc>
          <w:tcPr>
            <w:tcW w:w="342" w:type="pct"/>
            <w:tcBorders>
              <w:bottom w:val="single" w:sz="12" w:space="0" w:color="auto"/>
            </w:tcBorders>
            <w:vAlign w:val="center"/>
          </w:tcPr>
          <w:p w14:paraId="132C1C31" w14:textId="44017FFF"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13%</w:t>
            </w:r>
          </w:p>
        </w:tc>
        <w:tc>
          <w:tcPr>
            <w:tcW w:w="412" w:type="pct"/>
            <w:tcBorders>
              <w:bottom w:val="single" w:sz="12" w:space="0" w:color="auto"/>
            </w:tcBorders>
            <w:vAlign w:val="center"/>
          </w:tcPr>
          <w:p w14:paraId="3EC3E669" w14:textId="5612CAD4"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 xml:space="preserve">-3 </w:t>
            </w:r>
            <w:proofErr w:type="spellStart"/>
            <w:r w:rsidRPr="000D120B">
              <w:rPr>
                <w:rFonts w:ascii="Arial" w:hAnsi="Arial" w:cs="Arial"/>
                <w:i/>
                <w:iCs/>
                <w:sz w:val="20"/>
                <w:szCs w:val="20"/>
              </w:rPr>
              <w:t>pps</w:t>
            </w:r>
            <w:proofErr w:type="spellEnd"/>
          </w:p>
        </w:tc>
        <w:tc>
          <w:tcPr>
            <w:tcW w:w="410" w:type="pct"/>
            <w:tcBorders>
              <w:bottom w:val="single" w:sz="12" w:space="0" w:color="auto"/>
            </w:tcBorders>
            <w:vAlign w:val="center"/>
          </w:tcPr>
          <w:p w14:paraId="321E66C9" w14:textId="7825BE87"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6%</w:t>
            </w:r>
          </w:p>
        </w:tc>
        <w:tc>
          <w:tcPr>
            <w:tcW w:w="343" w:type="pct"/>
            <w:tcBorders>
              <w:bottom w:val="single" w:sz="12" w:space="0" w:color="auto"/>
            </w:tcBorders>
            <w:vAlign w:val="center"/>
          </w:tcPr>
          <w:p w14:paraId="1FF6F1ED" w14:textId="279B6EBC"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6%</w:t>
            </w:r>
          </w:p>
        </w:tc>
        <w:tc>
          <w:tcPr>
            <w:tcW w:w="479" w:type="pct"/>
            <w:tcBorders>
              <w:bottom w:val="single" w:sz="12" w:space="0" w:color="auto"/>
            </w:tcBorders>
            <w:vAlign w:val="center"/>
          </w:tcPr>
          <w:p w14:paraId="3B72E939" w14:textId="112C55A5" w:rsidR="008B13B5" w:rsidRPr="00C155D0" w:rsidRDefault="00DB5AAE" w:rsidP="008B503C">
            <w:pPr>
              <w:spacing w:after="0" w:line="240" w:lineRule="auto"/>
              <w:jc w:val="right"/>
              <w:rPr>
                <w:rFonts w:ascii="Arial" w:hAnsi="Arial" w:cs="Arial"/>
                <w:i/>
                <w:iCs/>
                <w:sz w:val="20"/>
                <w:szCs w:val="20"/>
              </w:rPr>
            </w:pPr>
            <w:r w:rsidRPr="000D120B">
              <w:rPr>
                <w:rFonts w:ascii="Arial" w:hAnsi="Arial" w:cs="Arial"/>
                <w:i/>
                <w:iCs/>
                <w:sz w:val="20"/>
                <w:szCs w:val="20"/>
              </w:rPr>
              <w:t xml:space="preserve">0 </w:t>
            </w:r>
            <w:proofErr w:type="spellStart"/>
            <w:r w:rsidRPr="000D120B">
              <w:rPr>
                <w:rFonts w:ascii="Arial" w:hAnsi="Arial" w:cs="Arial"/>
                <w:i/>
                <w:iCs/>
                <w:sz w:val="20"/>
                <w:szCs w:val="20"/>
              </w:rPr>
              <w:t>pps</w:t>
            </w:r>
            <w:proofErr w:type="spellEnd"/>
          </w:p>
        </w:tc>
      </w:tr>
    </w:tbl>
    <w:p w14:paraId="12490905" w14:textId="7BE327AF" w:rsidR="007D24DB" w:rsidRPr="00594661" w:rsidRDefault="00962C3D" w:rsidP="000C1D3E">
      <w:pPr>
        <w:spacing w:before="60" w:after="0" w:line="240" w:lineRule="auto"/>
        <w:rPr>
          <w:rFonts w:ascii="Arial" w:hAnsi="Arial" w:cs="Arial"/>
          <w:i/>
          <w:sz w:val="16"/>
          <w:szCs w:val="16"/>
        </w:rPr>
      </w:pPr>
      <w:r w:rsidRPr="00594661">
        <w:rPr>
          <w:rFonts w:ascii="Arial" w:hAnsi="Arial" w:cs="Arial"/>
          <w:i/>
          <w:sz w:val="16"/>
          <w:szCs w:val="16"/>
          <w:vertAlign w:val="superscript"/>
        </w:rPr>
        <w:t>1)</w:t>
      </w:r>
      <w:r w:rsidR="00AA190E" w:rsidRPr="00594661">
        <w:rPr>
          <w:rFonts w:ascii="Arial" w:hAnsi="Arial" w:cs="Arial"/>
          <w:i/>
          <w:sz w:val="16"/>
          <w:szCs w:val="16"/>
        </w:rPr>
        <w:t xml:space="preserve"> </w:t>
      </w:r>
      <w:proofErr w:type="spellStart"/>
      <w:r w:rsidR="00AA190E" w:rsidRPr="00594661">
        <w:rPr>
          <w:rFonts w:ascii="Arial" w:hAnsi="Arial" w:cs="Arial"/>
          <w:i/>
          <w:sz w:val="16"/>
          <w:szCs w:val="16"/>
        </w:rPr>
        <w:t>pps</w:t>
      </w:r>
      <w:proofErr w:type="spellEnd"/>
      <w:r w:rsidR="00AA190E" w:rsidRPr="00594661">
        <w:rPr>
          <w:rFonts w:ascii="Arial" w:hAnsi="Arial" w:cs="Arial"/>
          <w:i/>
          <w:sz w:val="16"/>
          <w:szCs w:val="16"/>
        </w:rPr>
        <w:t xml:space="preserve"> – percentage points</w:t>
      </w:r>
      <w:r w:rsidR="00725604" w:rsidRPr="00594661">
        <w:rPr>
          <w:rFonts w:ascii="Arial" w:hAnsi="Arial" w:cs="Arial"/>
          <w:i/>
          <w:sz w:val="16"/>
          <w:szCs w:val="16"/>
        </w:rPr>
        <w:t>;</w:t>
      </w:r>
    </w:p>
    <w:p w14:paraId="17A07D67" w14:textId="6438B147" w:rsidR="00611547" w:rsidRPr="004C7A68" w:rsidRDefault="00962C3D" w:rsidP="000C1D3E">
      <w:pPr>
        <w:spacing w:line="240" w:lineRule="auto"/>
        <w:jc w:val="both"/>
        <w:rPr>
          <w:rFonts w:ascii="Arial" w:hAnsi="Arial" w:cs="Arial"/>
          <w:i/>
          <w:sz w:val="16"/>
          <w:szCs w:val="16"/>
          <w:highlight w:val="yellow"/>
        </w:rPr>
      </w:pPr>
      <w:r w:rsidRPr="00594661">
        <w:rPr>
          <w:rFonts w:ascii="Arial" w:hAnsi="Arial" w:cs="Arial"/>
          <w:i/>
          <w:sz w:val="16"/>
          <w:szCs w:val="16"/>
          <w:vertAlign w:val="superscript"/>
        </w:rPr>
        <w:t>2)</w:t>
      </w:r>
      <w:r w:rsidRPr="00594661">
        <w:rPr>
          <w:rFonts w:ascii="Arial" w:hAnsi="Arial" w:cs="Arial"/>
          <w:i/>
          <w:sz w:val="16"/>
          <w:szCs w:val="16"/>
        </w:rPr>
        <w:t xml:space="preserve"> </w:t>
      </w:r>
      <w:r w:rsidR="00121DB5" w:rsidRPr="00594661">
        <w:rPr>
          <w:rFonts w:ascii="Arial" w:hAnsi="Arial" w:cs="Arial"/>
          <w:i/>
          <w:sz w:val="16"/>
          <w:szCs w:val="16"/>
        </w:rPr>
        <w:t xml:space="preserve">includes milk, cattle and feed </w:t>
      </w:r>
      <w:r w:rsidR="00121DB5" w:rsidRPr="00C155D0">
        <w:rPr>
          <w:rFonts w:ascii="Arial" w:hAnsi="Arial" w:cs="Arial"/>
          <w:i/>
          <w:sz w:val="16"/>
          <w:szCs w:val="16"/>
        </w:rPr>
        <w:t>grains.</w:t>
      </w:r>
      <w:bookmarkStart w:id="8" w:name="OLE_LINK4"/>
    </w:p>
    <w:p w14:paraId="53D4A960" w14:textId="5332F7B2" w:rsidR="00546FA1" w:rsidRPr="008605A5" w:rsidRDefault="00E02993" w:rsidP="000C1D3E">
      <w:pPr>
        <w:jc w:val="both"/>
        <w:rPr>
          <w:rFonts w:ascii="Arial" w:hAnsi="Arial" w:cs="Arial"/>
          <w:sz w:val="20"/>
          <w:szCs w:val="20"/>
        </w:rPr>
      </w:pPr>
      <w:r w:rsidRPr="008605A5">
        <w:rPr>
          <w:rFonts w:ascii="Arial" w:hAnsi="Arial" w:cs="Arial"/>
          <w:color w:val="000000" w:themeColor="text1"/>
          <w:sz w:val="20"/>
          <w:szCs w:val="20"/>
        </w:rPr>
        <w:t xml:space="preserve">The </w:t>
      </w:r>
      <w:r w:rsidR="00A16299" w:rsidRPr="008605A5">
        <w:rPr>
          <w:rFonts w:ascii="Arial" w:hAnsi="Arial" w:cs="Arial"/>
          <w:color w:val="000000" w:themeColor="text1"/>
          <w:sz w:val="20"/>
          <w:szCs w:val="20"/>
        </w:rPr>
        <w:t>S</w:t>
      </w:r>
      <w:r w:rsidR="00611547" w:rsidRPr="008605A5">
        <w:rPr>
          <w:rFonts w:ascii="Arial" w:hAnsi="Arial" w:cs="Arial"/>
          <w:color w:val="000000" w:themeColor="text1"/>
          <w:sz w:val="20"/>
          <w:szCs w:val="20"/>
        </w:rPr>
        <w:t>egment</w:t>
      </w:r>
      <w:r w:rsidR="00B11DCF" w:rsidRPr="008605A5">
        <w:rPr>
          <w:rFonts w:ascii="Arial" w:hAnsi="Arial" w:cs="Arial"/>
          <w:color w:val="000000" w:themeColor="text1"/>
          <w:sz w:val="20"/>
          <w:szCs w:val="20"/>
        </w:rPr>
        <w:t>’s</w:t>
      </w:r>
      <w:r w:rsidR="00611547" w:rsidRPr="008605A5">
        <w:rPr>
          <w:rFonts w:ascii="Arial" w:hAnsi="Arial" w:cs="Arial"/>
          <w:color w:val="000000" w:themeColor="text1"/>
          <w:sz w:val="20"/>
          <w:szCs w:val="20"/>
        </w:rPr>
        <w:t xml:space="preserve"> </w:t>
      </w:r>
      <w:r w:rsidR="00D2118D" w:rsidRPr="008605A5">
        <w:rPr>
          <w:rFonts w:ascii="Arial" w:hAnsi="Arial" w:cs="Arial"/>
          <w:color w:val="000000" w:themeColor="text1"/>
          <w:sz w:val="20"/>
          <w:szCs w:val="20"/>
        </w:rPr>
        <w:t>12</w:t>
      </w:r>
      <w:r w:rsidR="002B658D" w:rsidRPr="008605A5">
        <w:rPr>
          <w:rFonts w:ascii="Arial" w:hAnsi="Arial" w:cs="Arial"/>
          <w:color w:val="000000" w:themeColor="text1"/>
          <w:sz w:val="20"/>
          <w:szCs w:val="20"/>
        </w:rPr>
        <w:t>M</w:t>
      </w:r>
      <w:r w:rsidR="00457AB1" w:rsidRPr="008605A5">
        <w:rPr>
          <w:rFonts w:ascii="Arial" w:hAnsi="Arial" w:cs="Arial"/>
          <w:color w:val="000000" w:themeColor="text1"/>
          <w:sz w:val="20"/>
          <w:szCs w:val="20"/>
        </w:rPr>
        <w:t xml:space="preserve"> </w:t>
      </w:r>
      <w:r w:rsidR="00E22622" w:rsidRPr="008605A5">
        <w:rPr>
          <w:rFonts w:ascii="Arial" w:hAnsi="Arial" w:cs="Arial"/>
          <w:color w:val="000000" w:themeColor="text1"/>
          <w:sz w:val="20"/>
          <w:szCs w:val="20"/>
        </w:rPr>
        <w:t>2022</w:t>
      </w:r>
      <w:r w:rsidR="00A16299" w:rsidRPr="008605A5">
        <w:rPr>
          <w:rFonts w:ascii="Arial" w:hAnsi="Arial" w:cs="Arial"/>
          <w:color w:val="000000" w:themeColor="text1"/>
          <w:sz w:val="20"/>
          <w:szCs w:val="20"/>
        </w:rPr>
        <w:t xml:space="preserve"> revenue</w:t>
      </w:r>
      <w:r w:rsidR="00360128" w:rsidRPr="008605A5">
        <w:rPr>
          <w:rFonts w:ascii="Arial" w:hAnsi="Arial" w:cs="Arial"/>
          <w:color w:val="000000" w:themeColor="text1"/>
          <w:sz w:val="20"/>
          <w:szCs w:val="20"/>
        </w:rPr>
        <w:t xml:space="preserve"> </w:t>
      </w:r>
      <w:r w:rsidR="00AC7EA4" w:rsidRPr="008605A5">
        <w:rPr>
          <w:rFonts w:ascii="Arial" w:hAnsi="Arial" w:cs="Arial"/>
          <w:color w:val="000000" w:themeColor="text1"/>
          <w:sz w:val="20"/>
          <w:szCs w:val="20"/>
        </w:rPr>
        <w:t>decreased</w:t>
      </w:r>
      <w:r w:rsidR="00B11DCF" w:rsidRPr="008605A5">
        <w:rPr>
          <w:rFonts w:ascii="Arial" w:hAnsi="Arial" w:cs="Arial"/>
          <w:color w:val="000000" w:themeColor="text1"/>
          <w:sz w:val="20"/>
          <w:szCs w:val="20"/>
        </w:rPr>
        <w:t xml:space="preserve"> by </w:t>
      </w:r>
      <w:r w:rsidR="00DB5AAE" w:rsidRPr="000D120B">
        <w:rPr>
          <w:rFonts w:ascii="Arial" w:hAnsi="Arial" w:cs="Arial"/>
          <w:sz w:val="20"/>
          <w:szCs w:val="20"/>
        </w:rPr>
        <w:t>24%</w:t>
      </w:r>
      <w:r w:rsidR="001C242B" w:rsidRPr="008605A5">
        <w:rPr>
          <w:rFonts w:ascii="Arial" w:hAnsi="Arial" w:cs="Arial"/>
          <w:color w:val="000000" w:themeColor="text1"/>
          <w:sz w:val="20"/>
          <w:szCs w:val="20"/>
        </w:rPr>
        <w:t xml:space="preserve"> </w:t>
      </w:r>
      <w:r w:rsidR="00A16299" w:rsidRPr="008605A5">
        <w:rPr>
          <w:rFonts w:ascii="Arial" w:hAnsi="Arial" w:cs="Arial"/>
          <w:color w:val="000000" w:themeColor="text1"/>
          <w:sz w:val="20"/>
          <w:szCs w:val="20"/>
        </w:rPr>
        <w:t xml:space="preserve">y/y </w:t>
      </w:r>
      <w:r w:rsidR="00611547" w:rsidRPr="008605A5">
        <w:rPr>
          <w:rFonts w:ascii="Arial" w:hAnsi="Arial" w:cs="Arial"/>
          <w:color w:val="000000" w:themeColor="text1"/>
          <w:sz w:val="20"/>
          <w:szCs w:val="20"/>
        </w:rPr>
        <w:t>to</w:t>
      </w:r>
      <w:r w:rsidR="00E33639" w:rsidRPr="008605A5">
        <w:rPr>
          <w:rFonts w:ascii="Arial" w:hAnsi="Arial" w:cs="Arial"/>
          <w:color w:val="000000" w:themeColor="text1"/>
          <w:sz w:val="20"/>
          <w:szCs w:val="20"/>
        </w:rPr>
        <w:t xml:space="preserve"> US$</w:t>
      </w:r>
      <w:r w:rsidR="00813E8C" w:rsidRPr="008605A5">
        <w:rPr>
          <w:rFonts w:ascii="Arial" w:hAnsi="Arial" w:cs="Arial"/>
          <w:color w:val="000000" w:themeColor="text1"/>
          <w:sz w:val="20"/>
          <w:szCs w:val="20"/>
        </w:rPr>
        <w:t xml:space="preserve"> </w:t>
      </w:r>
      <w:r w:rsidR="00DB5AAE" w:rsidRPr="000D120B">
        <w:rPr>
          <w:rFonts w:ascii="Arial" w:hAnsi="Arial" w:cs="Arial"/>
          <w:sz w:val="20"/>
          <w:szCs w:val="20"/>
        </w:rPr>
        <w:t>134</w:t>
      </w:r>
      <w:r w:rsidR="008B09EB" w:rsidRPr="008605A5">
        <w:rPr>
          <w:rFonts w:ascii="Arial" w:hAnsi="Arial" w:cs="Arial"/>
          <w:color w:val="000000" w:themeColor="text1"/>
          <w:sz w:val="20"/>
          <w:szCs w:val="20"/>
        </w:rPr>
        <w:t xml:space="preserve"> </w:t>
      </w:r>
      <w:r w:rsidR="001C242B" w:rsidRPr="008605A5">
        <w:rPr>
          <w:rFonts w:ascii="Arial" w:hAnsi="Arial" w:cs="Arial"/>
          <w:color w:val="000000" w:themeColor="text1"/>
          <w:sz w:val="20"/>
          <w:szCs w:val="20"/>
        </w:rPr>
        <w:t>m</w:t>
      </w:r>
      <w:r w:rsidR="00E33639" w:rsidRPr="008605A5">
        <w:rPr>
          <w:rFonts w:ascii="Arial" w:hAnsi="Arial" w:cs="Arial"/>
          <w:color w:val="000000" w:themeColor="text1"/>
          <w:sz w:val="20"/>
          <w:szCs w:val="20"/>
        </w:rPr>
        <w:t>illion</w:t>
      </w:r>
      <w:r w:rsidR="00D07A52" w:rsidRPr="008605A5">
        <w:rPr>
          <w:rFonts w:ascii="Arial" w:hAnsi="Arial" w:cs="Arial"/>
          <w:color w:val="000000" w:themeColor="text1"/>
          <w:sz w:val="20"/>
          <w:szCs w:val="20"/>
        </w:rPr>
        <w:t xml:space="preserve">. </w:t>
      </w:r>
      <w:r w:rsidR="00762C73" w:rsidRPr="008605A5">
        <w:rPr>
          <w:rFonts w:ascii="Arial" w:hAnsi="Arial" w:cs="Arial"/>
          <w:color w:val="000000" w:themeColor="text1"/>
          <w:sz w:val="20"/>
          <w:szCs w:val="20"/>
        </w:rPr>
        <w:t>A</w:t>
      </w:r>
      <w:r w:rsidR="00D07A52" w:rsidRPr="008605A5">
        <w:rPr>
          <w:rFonts w:ascii="Arial" w:hAnsi="Arial" w:cs="Arial"/>
          <w:color w:val="000000" w:themeColor="text1"/>
          <w:sz w:val="20"/>
          <w:szCs w:val="20"/>
        </w:rPr>
        <w:t xml:space="preserve">djusted </w:t>
      </w:r>
      <w:r w:rsidR="00D2118D" w:rsidRPr="008605A5">
        <w:rPr>
          <w:rFonts w:ascii="Arial" w:hAnsi="Arial" w:cs="Arial"/>
          <w:color w:val="000000" w:themeColor="text1"/>
          <w:sz w:val="20"/>
          <w:szCs w:val="20"/>
        </w:rPr>
        <w:t>12</w:t>
      </w:r>
      <w:r w:rsidR="002B658D" w:rsidRPr="008605A5">
        <w:rPr>
          <w:rFonts w:ascii="Arial" w:hAnsi="Arial" w:cs="Arial"/>
          <w:color w:val="000000" w:themeColor="text1"/>
          <w:sz w:val="20"/>
          <w:szCs w:val="20"/>
        </w:rPr>
        <w:t>M</w:t>
      </w:r>
      <w:r w:rsidR="00875B88" w:rsidRPr="008605A5">
        <w:rPr>
          <w:rFonts w:ascii="Arial" w:hAnsi="Arial" w:cs="Arial"/>
          <w:color w:val="000000" w:themeColor="text1"/>
          <w:sz w:val="20"/>
          <w:szCs w:val="20"/>
        </w:rPr>
        <w:t xml:space="preserve"> 2022</w:t>
      </w:r>
      <w:r w:rsidR="00A16299" w:rsidRPr="008605A5">
        <w:rPr>
          <w:rFonts w:ascii="Arial" w:hAnsi="Arial" w:cs="Arial"/>
          <w:color w:val="000000" w:themeColor="text1"/>
          <w:sz w:val="20"/>
          <w:szCs w:val="20"/>
        </w:rPr>
        <w:t xml:space="preserve"> EBITDA</w:t>
      </w:r>
      <w:r w:rsidR="00D07A52" w:rsidRPr="008605A5">
        <w:rPr>
          <w:rFonts w:ascii="Arial" w:hAnsi="Arial" w:cs="Arial"/>
          <w:color w:val="000000" w:themeColor="text1"/>
          <w:sz w:val="20"/>
          <w:szCs w:val="20"/>
        </w:rPr>
        <w:t xml:space="preserve"> </w:t>
      </w:r>
      <w:r w:rsidR="002E489C" w:rsidRPr="008605A5">
        <w:rPr>
          <w:rFonts w:ascii="Arial" w:hAnsi="Arial" w:cs="Arial"/>
          <w:color w:val="000000" w:themeColor="text1"/>
          <w:sz w:val="20"/>
          <w:szCs w:val="20"/>
        </w:rPr>
        <w:t>was</w:t>
      </w:r>
      <w:r w:rsidR="008B09EB" w:rsidRPr="008605A5">
        <w:rPr>
          <w:rFonts w:ascii="Arial" w:hAnsi="Arial" w:cs="Arial"/>
          <w:color w:val="000000" w:themeColor="text1"/>
          <w:sz w:val="20"/>
          <w:szCs w:val="20"/>
        </w:rPr>
        <w:t xml:space="preserve"> US$</w:t>
      </w:r>
      <w:r w:rsidR="002E489C" w:rsidRPr="008605A5">
        <w:rPr>
          <w:rFonts w:ascii="Arial" w:hAnsi="Arial" w:cs="Arial"/>
          <w:color w:val="000000" w:themeColor="text1"/>
          <w:sz w:val="20"/>
          <w:szCs w:val="20"/>
        </w:rPr>
        <w:t xml:space="preserve"> </w:t>
      </w:r>
      <w:r w:rsidR="00036F40" w:rsidRPr="008605A5">
        <w:rPr>
          <w:rFonts w:ascii="Arial" w:hAnsi="Arial" w:cs="Arial"/>
          <w:color w:val="000000" w:themeColor="text1"/>
          <w:sz w:val="20"/>
          <w:szCs w:val="20"/>
        </w:rPr>
        <w:t xml:space="preserve"> </w:t>
      </w:r>
      <w:r w:rsidR="00DB5AAE" w:rsidRPr="000D120B">
        <w:rPr>
          <w:rFonts w:ascii="Arial" w:hAnsi="Arial" w:cs="Arial"/>
          <w:sz w:val="20"/>
          <w:szCs w:val="20"/>
        </w:rPr>
        <w:t>8</w:t>
      </w:r>
      <w:r w:rsidR="00DC6EFC" w:rsidRPr="008605A5">
        <w:rPr>
          <w:rFonts w:ascii="Arial" w:hAnsi="Arial" w:cs="Arial"/>
          <w:color w:val="000000" w:themeColor="text1"/>
          <w:sz w:val="20"/>
          <w:szCs w:val="20"/>
        </w:rPr>
        <w:t xml:space="preserve"> </w:t>
      </w:r>
      <w:r w:rsidR="008B09EB" w:rsidRPr="008605A5">
        <w:rPr>
          <w:rFonts w:ascii="Arial" w:hAnsi="Arial" w:cs="Arial"/>
          <w:color w:val="000000" w:themeColor="text1"/>
          <w:sz w:val="20"/>
          <w:szCs w:val="20"/>
        </w:rPr>
        <w:t xml:space="preserve">million </w:t>
      </w:r>
      <w:r w:rsidR="00A16299" w:rsidRPr="008605A5">
        <w:rPr>
          <w:rFonts w:ascii="Arial" w:hAnsi="Arial" w:cs="Arial"/>
          <w:color w:val="000000" w:themeColor="text1"/>
          <w:sz w:val="20"/>
          <w:szCs w:val="20"/>
        </w:rPr>
        <w:t>(12M 2021:</w:t>
      </w:r>
      <w:r w:rsidR="00875B88" w:rsidRPr="008605A5">
        <w:rPr>
          <w:rFonts w:ascii="Arial" w:hAnsi="Arial" w:cs="Arial"/>
          <w:color w:val="000000" w:themeColor="text1"/>
          <w:sz w:val="20"/>
          <w:szCs w:val="20"/>
        </w:rPr>
        <w:t xml:space="preserve"> US$</w:t>
      </w:r>
      <w:r w:rsidR="00D9612D" w:rsidRPr="008605A5">
        <w:rPr>
          <w:rFonts w:ascii="Arial" w:hAnsi="Arial" w:cs="Arial"/>
          <w:color w:val="000000" w:themeColor="text1"/>
          <w:sz w:val="20"/>
          <w:szCs w:val="20"/>
        </w:rPr>
        <w:t xml:space="preserve"> </w:t>
      </w:r>
      <w:r w:rsidR="00DB5AAE" w:rsidRPr="000D120B">
        <w:rPr>
          <w:rFonts w:ascii="Arial" w:hAnsi="Arial" w:cs="Arial"/>
          <w:sz w:val="20"/>
          <w:szCs w:val="20"/>
        </w:rPr>
        <w:t>11</w:t>
      </w:r>
      <w:r w:rsidR="00875B88" w:rsidRPr="008605A5">
        <w:rPr>
          <w:rFonts w:ascii="Arial" w:hAnsi="Arial" w:cs="Arial"/>
          <w:color w:val="000000" w:themeColor="text1"/>
          <w:sz w:val="20"/>
          <w:szCs w:val="20"/>
        </w:rPr>
        <w:t xml:space="preserve"> </w:t>
      </w:r>
      <w:r w:rsidR="002E489C" w:rsidRPr="008605A5">
        <w:rPr>
          <w:rFonts w:ascii="Arial" w:hAnsi="Arial" w:cs="Arial"/>
          <w:color w:val="000000" w:themeColor="text1"/>
          <w:sz w:val="20"/>
          <w:szCs w:val="20"/>
        </w:rPr>
        <w:t>million</w:t>
      </w:r>
      <w:r w:rsidR="00A16299" w:rsidRPr="008605A5">
        <w:rPr>
          <w:rFonts w:ascii="Arial" w:hAnsi="Arial" w:cs="Arial"/>
          <w:color w:val="000000" w:themeColor="text1"/>
          <w:sz w:val="20"/>
          <w:szCs w:val="20"/>
        </w:rPr>
        <w:t>),</w:t>
      </w:r>
      <w:r w:rsidR="002E489C" w:rsidRPr="008605A5">
        <w:rPr>
          <w:rFonts w:ascii="Arial" w:hAnsi="Arial" w:cs="Arial"/>
          <w:color w:val="000000" w:themeColor="text1"/>
          <w:sz w:val="20"/>
          <w:szCs w:val="20"/>
        </w:rPr>
        <w:t xml:space="preserve"> </w:t>
      </w:r>
      <w:r w:rsidR="00310AA0" w:rsidRPr="008605A5">
        <w:rPr>
          <w:rFonts w:ascii="Arial" w:hAnsi="Arial" w:cs="Arial"/>
          <w:color w:val="000000" w:themeColor="text1"/>
          <w:sz w:val="20"/>
          <w:szCs w:val="20"/>
        </w:rPr>
        <w:t xml:space="preserve">mainly </w:t>
      </w:r>
      <w:r w:rsidR="00B11F6A" w:rsidRPr="008605A5">
        <w:rPr>
          <w:rFonts w:ascii="Arial" w:hAnsi="Arial" w:cs="Arial"/>
          <w:color w:val="000000" w:themeColor="text1"/>
          <w:sz w:val="20"/>
          <w:szCs w:val="20"/>
        </w:rPr>
        <w:t xml:space="preserve">due to the effects of the </w:t>
      </w:r>
      <w:r w:rsidR="00A16299" w:rsidRPr="008605A5">
        <w:rPr>
          <w:rFonts w:ascii="Arial" w:hAnsi="Arial" w:cs="Arial"/>
          <w:color w:val="000000" w:themeColor="text1"/>
          <w:sz w:val="20"/>
          <w:szCs w:val="20"/>
        </w:rPr>
        <w:t>W</w:t>
      </w:r>
      <w:r w:rsidR="00B11F6A" w:rsidRPr="008605A5">
        <w:rPr>
          <w:rFonts w:ascii="Arial" w:hAnsi="Arial" w:cs="Arial"/>
          <w:color w:val="000000" w:themeColor="text1"/>
          <w:sz w:val="20"/>
          <w:szCs w:val="20"/>
        </w:rPr>
        <w:t>ar</w:t>
      </w:r>
      <w:r w:rsidR="008778CF" w:rsidRPr="008605A5">
        <w:rPr>
          <w:rFonts w:ascii="Arial" w:hAnsi="Arial" w:cs="Arial"/>
          <w:color w:val="000000" w:themeColor="text1"/>
          <w:sz w:val="20"/>
          <w:szCs w:val="20"/>
        </w:rPr>
        <w:t xml:space="preserve"> and significant disruptions in demand for </w:t>
      </w:r>
      <w:proofErr w:type="spellStart"/>
      <w:r w:rsidR="008778CF" w:rsidRPr="008605A5">
        <w:rPr>
          <w:rFonts w:ascii="Arial" w:hAnsi="Arial" w:cs="Arial"/>
          <w:color w:val="000000" w:themeColor="text1"/>
          <w:sz w:val="20"/>
          <w:szCs w:val="20"/>
        </w:rPr>
        <w:t>HoReCa</w:t>
      </w:r>
      <w:proofErr w:type="spellEnd"/>
      <w:r w:rsidR="008778CF" w:rsidRPr="008605A5">
        <w:rPr>
          <w:rFonts w:ascii="Arial" w:hAnsi="Arial" w:cs="Arial"/>
          <w:color w:val="000000" w:themeColor="text1"/>
          <w:sz w:val="20"/>
          <w:szCs w:val="20"/>
        </w:rPr>
        <w:t xml:space="preserve"> segment</w:t>
      </w:r>
      <w:r w:rsidR="00161FBD" w:rsidRPr="008605A5">
        <w:rPr>
          <w:rFonts w:ascii="Arial" w:hAnsi="Arial" w:cs="Arial"/>
          <w:color w:val="000000" w:themeColor="text1"/>
          <w:sz w:val="20"/>
          <w:szCs w:val="20"/>
        </w:rPr>
        <w:t>.</w:t>
      </w:r>
    </w:p>
    <w:p w14:paraId="5E18D16C" w14:textId="77777777" w:rsidR="00C46971" w:rsidRPr="004C7A68" w:rsidRDefault="00C46971" w:rsidP="000C1D3E">
      <w:pPr>
        <w:jc w:val="both"/>
        <w:rPr>
          <w:rFonts w:ascii="Arial" w:hAnsi="Arial" w:cs="Arial"/>
          <w:sz w:val="20"/>
          <w:szCs w:val="20"/>
          <w:highlight w:val="yellow"/>
        </w:rPr>
      </w:pPr>
    </w:p>
    <w:p w14:paraId="393EF31B" w14:textId="72BC027A" w:rsidR="00C57F50" w:rsidRPr="00A33D08" w:rsidRDefault="00C57F50" w:rsidP="000C1D3E">
      <w:pPr>
        <w:autoSpaceDE w:val="0"/>
        <w:spacing w:before="80" w:after="120" w:line="240" w:lineRule="auto"/>
        <w:jc w:val="both"/>
        <w:rPr>
          <w:rFonts w:ascii="Arial" w:eastAsia="Times New Roman" w:hAnsi="Arial" w:cs="Arial"/>
          <w:b/>
          <w:color w:val="000000"/>
          <w:sz w:val="20"/>
          <w:szCs w:val="20"/>
          <w:lang w:eastAsia="uk-UA"/>
        </w:rPr>
      </w:pPr>
      <w:r w:rsidRPr="00A33D08">
        <w:rPr>
          <w:rFonts w:ascii="Arial" w:eastAsia="Times New Roman" w:hAnsi="Arial" w:cs="Arial"/>
          <w:b/>
          <w:color w:val="000000"/>
          <w:sz w:val="20"/>
          <w:szCs w:val="20"/>
          <w:lang w:eastAsia="uk-UA"/>
        </w:rPr>
        <w:t xml:space="preserve">European </w:t>
      </w:r>
      <w:r w:rsidR="002704EE">
        <w:rPr>
          <w:rFonts w:ascii="Arial" w:eastAsia="Times New Roman" w:hAnsi="Arial" w:cs="Arial"/>
          <w:b/>
          <w:color w:val="000000"/>
          <w:sz w:val="20"/>
          <w:szCs w:val="20"/>
          <w:lang w:eastAsia="uk-UA"/>
        </w:rPr>
        <w:t>O</w:t>
      </w:r>
      <w:r w:rsidRPr="00A33D08">
        <w:rPr>
          <w:rFonts w:ascii="Arial" w:eastAsia="Times New Roman" w:hAnsi="Arial" w:cs="Arial"/>
          <w:b/>
          <w:color w:val="000000"/>
          <w:sz w:val="20"/>
          <w:szCs w:val="20"/>
          <w:lang w:eastAsia="uk-UA"/>
        </w:rPr>
        <w:t xml:space="preserve">perating </w:t>
      </w:r>
      <w:r w:rsidR="002704EE">
        <w:rPr>
          <w:rFonts w:ascii="Arial" w:eastAsia="Times New Roman" w:hAnsi="Arial" w:cs="Arial"/>
          <w:b/>
          <w:color w:val="000000"/>
          <w:sz w:val="20"/>
          <w:szCs w:val="20"/>
          <w:lang w:eastAsia="uk-UA"/>
        </w:rPr>
        <w:t>S</w:t>
      </w:r>
      <w:r w:rsidRPr="00A33D08">
        <w:rPr>
          <w:rFonts w:ascii="Arial" w:eastAsia="Times New Roman" w:hAnsi="Arial" w:cs="Arial"/>
          <w:b/>
          <w:color w:val="000000"/>
          <w:sz w:val="20"/>
          <w:szCs w:val="20"/>
          <w:lang w:eastAsia="uk-UA"/>
        </w:rPr>
        <w:t>egment (PP)</w:t>
      </w:r>
    </w:p>
    <w:tbl>
      <w:tblPr>
        <w:tblW w:w="5000" w:type="pct"/>
        <w:tblLayout w:type="fixed"/>
        <w:tblLook w:val="04A0" w:firstRow="1" w:lastRow="0" w:firstColumn="1" w:lastColumn="0" w:noHBand="0" w:noVBand="1"/>
      </w:tblPr>
      <w:tblGrid>
        <w:gridCol w:w="3226"/>
        <w:gridCol w:w="236"/>
        <w:gridCol w:w="826"/>
        <w:gridCol w:w="882"/>
        <w:gridCol w:w="871"/>
        <w:gridCol w:w="857"/>
        <w:gridCol w:w="871"/>
        <w:gridCol w:w="852"/>
        <w:gridCol w:w="854"/>
        <w:gridCol w:w="872"/>
      </w:tblGrid>
      <w:tr w:rsidR="00CA52DE" w:rsidRPr="003D7A2D" w14:paraId="148FDEEF" w14:textId="77777777" w:rsidTr="00CA52DE">
        <w:trPr>
          <w:trHeight w:val="263"/>
        </w:trPr>
        <w:tc>
          <w:tcPr>
            <w:tcW w:w="1560" w:type="pct"/>
            <w:tcBorders>
              <w:top w:val="single" w:sz="12" w:space="0" w:color="auto"/>
              <w:bottom w:val="single" w:sz="12" w:space="0" w:color="auto"/>
            </w:tcBorders>
            <w:shd w:val="clear" w:color="auto" w:fill="auto"/>
            <w:noWrap/>
            <w:vAlign w:val="center"/>
            <w:hideMark/>
          </w:tcPr>
          <w:p w14:paraId="7B78E1A6" w14:textId="44CB34E6" w:rsidR="00CA52DE" w:rsidRPr="003D7A2D" w:rsidRDefault="00CA52DE" w:rsidP="00A42142">
            <w:pPr>
              <w:spacing w:after="0" w:line="240" w:lineRule="auto"/>
              <w:jc w:val="both"/>
              <w:rPr>
                <w:rFonts w:ascii="Arial" w:eastAsia="Times New Roman" w:hAnsi="Arial" w:cs="Arial"/>
                <w:b/>
                <w:bCs/>
                <w:color w:val="000000"/>
                <w:sz w:val="20"/>
                <w:szCs w:val="20"/>
                <w:lang w:eastAsia="ru-RU"/>
              </w:rPr>
            </w:pPr>
            <w:r w:rsidRPr="003D7A2D">
              <w:rPr>
                <w:rFonts w:ascii="Arial" w:eastAsia="Times New Roman" w:hAnsi="Arial" w:cs="Arial"/>
                <w:b/>
                <w:bCs/>
                <w:color w:val="000000"/>
                <w:sz w:val="20"/>
                <w:szCs w:val="20"/>
                <w:lang w:eastAsia="ru-RU"/>
              </w:rPr>
              <w:t>Poultry</w:t>
            </w:r>
          </w:p>
        </w:tc>
        <w:tc>
          <w:tcPr>
            <w:tcW w:w="107" w:type="pct"/>
          </w:tcPr>
          <w:p w14:paraId="67759710" w14:textId="77777777" w:rsidR="00CA52DE" w:rsidRPr="003D7A2D" w:rsidRDefault="00CA52DE" w:rsidP="00A42142">
            <w:pPr>
              <w:spacing w:after="0" w:line="240" w:lineRule="auto"/>
              <w:jc w:val="right"/>
              <w:rPr>
                <w:rFonts w:ascii="Arial" w:eastAsia="Times New Roman" w:hAnsi="Arial" w:cs="Arial"/>
                <w:b/>
                <w:bCs/>
                <w:color w:val="000000"/>
                <w:sz w:val="20"/>
                <w:szCs w:val="20"/>
                <w:lang w:eastAsia="ru-RU"/>
              </w:rPr>
            </w:pPr>
          </w:p>
        </w:tc>
        <w:tc>
          <w:tcPr>
            <w:tcW w:w="400" w:type="pct"/>
            <w:tcBorders>
              <w:top w:val="single" w:sz="12" w:space="0" w:color="auto"/>
              <w:bottom w:val="single" w:sz="12" w:space="0" w:color="auto"/>
            </w:tcBorders>
            <w:shd w:val="clear" w:color="auto" w:fill="auto"/>
            <w:vAlign w:val="center"/>
            <w:hideMark/>
          </w:tcPr>
          <w:p w14:paraId="25312CA3" w14:textId="71EB580B" w:rsidR="00CA52DE" w:rsidRPr="003D7A2D" w:rsidRDefault="00CA52DE" w:rsidP="00A42142">
            <w:pPr>
              <w:spacing w:after="0" w:line="240" w:lineRule="auto"/>
              <w:jc w:val="right"/>
              <w:rPr>
                <w:rFonts w:ascii="Arial" w:eastAsia="Times New Roman" w:hAnsi="Arial" w:cs="Arial"/>
                <w:b/>
                <w:bCs/>
                <w:color w:val="000000"/>
                <w:sz w:val="20"/>
                <w:szCs w:val="20"/>
                <w:lang w:eastAsia="ru-RU"/>
              </w:rPr>
            </w:pPr>
            <w:r w:rsidRPr="003D7A2D">
              <w:rPr>
                <w:rFonts w:ascii="Arial" w:eastAsia="Times New Roman" w:hAnsi="Arial" w:cs="Arial"/>
                <w:b/>
                <w:bCs/>
                <w:color w:val="000000"/>
                <w:sz w:val="20"/>
                <w:szCs w:val="20"/>
                <w:lang w:eastAsia="ru-RU"/>
              </w:rPr>
              <w:t>Q</w:t>
            </w:r>
            <w:r w:rsidR="00D2118D" w:rsidRPr="003D7A2D">
              <w:rPr>
                <w:rFonts w:ascii="Arial" w:eastAsia="Times New Roman" w:hAnsi="Arial" w:cs="Arial"/>
                <w:b/>
                <w:bCs/>
                <w:color w:val="000000"/>
                <w:sz w:val="20"/>
                <w:szCs w:val="20"/>
                <w:lang w:eastAsia="ru-RU"/>
              </w:rPr>
              <w:t>4</w:t>
            </w:r>
            <w:r w:rsidRPr="003D7A2D">
              <w:rPr>
                <w:rFonts w:ascii="Arial" w:eastAsia="Times New Roman" w:hAnsi="Arial" w:cs="Arial"/>
                <w:b/>
                <w:bCs/>
                <w:color w:val="000000"/>
                <w:sz w:val="20"/>
                <w:szCs w:val="20"/>
                <w:lang w:eastAsia="ru-RU"/>
              </w:rPr>
              <w:t xml:space="preserve"> 2022</w:t>
            </w:r>
          </w:p>
        </w:tc>
        <w:tc>
          <w:tcPr>
            <w:tcW w:w="427" w:type="pct"/>
            <w:tcBorders>
              <w:top w:val="single" w:sz="12" w:space="0" w:color="auto"/>
              <w:bottom w:val="single" w:sz="12" w:space="0" w:color="auto"/>
            </w:tcBorders>
            <w:shd w:val="clear" w:color="auto" w:fill="auto"/>
            <w:vAlign w:val="center"/>
            <w:hideMark/>
          </w:tcPr>
          <w:p w14:paraId="6A8A2B4D" w14:textId="734CB8FB" w:rsidR="00CA52DE" w:rsidRPr="003D7A2D" w:rsidRDefault="00CA52DE" w:rsidP="00A42142">
            <w:pPr>
              <w:spacing w:after="0" w:line="240" w:lineRule="auto"/>
              <w:jc w:val="right"/>
              <w:rPr>
                <w:rFonts w:ascii="Arial" w:eastAsia="Times New Roman" w:hAnsi="Arial" w:cs="Arial"/>
                <w:bCs/>
                <w:color w:val="000000"/>
                <w:sz w:val="20"/>
                <w:szCs w:val="20"/>
                <w:lang w:eastAsia="ru-RU"/>
              </w:rPr>
            </w:pPr>
            <w:r w:rsidRPr="003D7A2D">
              <w:rPr>
                <w:rFonts w:ascii="Arial" w:eastAsia="Times New Roman" w:hAnsi="Arial" w:cs="Arial"/>
                <w:b/>
                <w:bCs/>
                <w:color w:val="000000"/>
                <w:sz w:val="20"/>
                <w:szCs w:val="20"/>
                <w:lang w:eastAsia="ru-RU"/>
              </w:rPr>
              <w:t>Q</w:t>
            </w:r>
            <w:r w:rsidR="00D2118D" w:rsidRPr="003D7A2D">
              <w:rPr>
                <w:rFonts w:ascii="Arial" w:eastAsia="Times New Roman" w:hAnsi="Arial" w:cs="Arial"/>
                <w:b/>
                <w:bCs/>
                <w:color w:val="000000"/>
                <w:sz w:val="20"/>
                <w:szCs w:val="20"/>
                <w:lang w:eastAsia="ru-RU"/>
              </w:rPr>
              <w:t>4</w:t>
            </w:r>
            <w:r w:rsidRPr="003D7A2D">
              <w:rPr>
                <w:rFonts w:ascii="Arial" w:eastAsia="Times New Roman" w:hAnsi="Arial" w:cs="Arial"/>
                <w:b/>
                <w:bCs/>
                <w:color w:val="000000"/>
                <w:sz w:val="20"/>
                <w:szCs w:val="20"/>
                <w:lang w:eastAsia="ru-RU"/>
              </w:rPr>
              <w:t xml:space="preserve"> 2021</w:t>
            </w:r>
          </w:p>
        </w:tc>
        <w:tc>
          <w:tcPr>
            <w:tcW w:w="422" w:type="pct"/>
            <w:tcBorders>
              <w:top w:val="single" w:sz="12" w:space="0" w:color="auto"/>
              <w:bottom w:val="single" w:sz="12" w:space="0" w:color="auto"/>
            </w:tcBorders>
            <w:vAlign w:val="center"/>
          </w:tcPr>
          <w:p w14:paraId="51AC0AC1" w14:textId="77777777" w:rsidR="00CA52DE" w:rsidRPr="003D7A2D" w:rsidRDefault="00CA52DE" w:rsidP="00A42142">
            <w:pPr>
              <w:spacing w:after="0" w:line="240" w:lineRule="auto"/>
              <w:jc w:val="right"/>
              <w:rPr>
                <w:rFonts w:ascii="Arial" w:eastAsia="Times New Roman" w:hAnsi="Arial" w:cs="Arial"/>
                <w:i/>
                <w:iCs/>
                <w:color w:val="000000"/>
                <w:sz w:val="20"/>
                <w:szCs w:val="20"/>
                <w:lang w:eastAsia="ru-RU"/>
              </w:rPr>
            </w:pPr>
            <w:r w:rsidRPr="003D7A2D">
              <w:rPr>
                <w:rFonts w:ascii="Arial" w:eastAsia="Times New Roman" w:hAnsi="Arial" w:cs="Arial"/>
                <w:i/>
                <w:color w:val="000000"/>
                <w:sz w:val="20"/>
                <w:szCs w:val="20"/>
                <w:lang w:eastAsia="ru-RU"/>
              </w:rPr>
              <w:t>% change y/y</w:t>
            </w:r>
          </w:p>
        </w:tc>
        <w:tc>
          <w:tcPr>
            <w:tcW w:w="415" w:type="pct"/>
            <w:tcBorders>
              <w:top w:val="single" w:sz="12" w:space="0" w:color="auto"/>
              <w:bottom w:val="single" w:sz="12" w:space="0" w:color="auto"/>
            </w:tcBorders>
            <w:vAlign w:val="center"/>
          </w:tcPr>
          <w:p w14:paraId="50256986" w14:textId="72FDE76A" w:rsidR="00CA52DE" w:rsidRPr="003D7A2D" w:rsidRDefault="00CA52DE" w:rsidP="00A42142">
            <w:pPr>
              <w:spacing w:after="0" w:line="240" w:lineRule="auto"/>
              <w:jc w:val="right"/>
              <w:rPr>
                <w:rFonts w:ascii="Arial" w:eastAsia="Times New Roman" w:hAnsi="Arial" w:cs="Arial"/>
                <w:i/>
                <w:iCs/>
                <w:color w:val="000000"/>
                <w:sz w:val="20"/>
                <w:szCs w:val="20"/>
                <w:lang w:eastAsia="ru-RU"/>
              </w:rPr>
            </w:pPr>
            <w:r w:rsidRPr="003D7A2D">
              <w:rPr>
                <w:rFonts w:ascii="Arial" w:eastAsia="Times New Roman" w:hAnsi="Arial" w:cs="Arial"/>
                <w:b/>
                <w:color w:val="000000"/>
                <w:sz w:val="20"/>
                <w:szCs w:val="20"/>
                <w:lang w:eastAsia="ru-RU"/>
              </w:rPr>
              <w:t>Q</w:t>
            </w:r>
            <w:r w:rsidR="00D2118D" w:rsidRPr="003D7A2D">
              <w:rPr>
                <w:rFonts w:ascii="Arial" w:eastAsia="Times New Roman" w:hAnsi="Arial" w:cs="Arial"/>
                <w:b/>
                <w:color w:val="000000"/>
                <w:sz w:val="20"/>
                <w:szCs w:val="20"/>
                <w:lang w:eastAsia="ru-RU"/>
              </w:rPr>
              <w:t>3</w:t>
            </w:r>
            <w:r w:rsidRPr="003D7A2D">
              <w:rPr>
                <w:rFonts w:ascii="Arial" w:eastAsia="Times New Roman" w:hAnsi="Arial" w:cs="Arial"/>
                <w:b/>
                <w:color w:val="000000"/>
                <w:sz w:val="20"/>
                <w:szCs w:val="20"/>
                <w:lang w:eastAsia="ru-RU"/>
              </w:rPr>
              <w:t xml:space="preserve"> 2022</w:t>
            </w:r>
          </w:p>
        </w:tc>
        <w:tc>
          <w:tcPr>
            <w:tcW w:w="422" w:type="pct"/>
            <w:tcBorders>
              <w:top w:val="single" w:sz="12" w:space="0" w:color="auto"/>
              <w:bottom w:val="single" w:sz="12" w:space="0" w:color="auto"/>
            </w:tcBorders>
            <w:vAlign w:val="center"/>
          </w:tcPr>
          <w:p w14:paraId="464E2A99" w14:textId="77777777" w:rsidR="00CA52DE" w:rsidRPr="003D7A2D" w:rsidRDefault="00CA52DE" w:rsidP="00A42142">
            <w:pPr>
              <w:spacing w:after="0" w:line="240" w:lineRule="auto"/>
              <w:jc w:val="right"/>
              <w:rPr>
                <w:rFonts w:ascii="Arial" w:eastAsia="Times New Roman" w:hAnsi="Arial" w:cs="Arial"/>
                <w:i/>
                <w:iCs/>
                <w:color w:val="000000"/>
                <w:sz w:val="20"/>
                <w:szCs w:val="20"/>
                <w:lang w:eastAsia="ru-RU"/>
              </w:rPr>
            </w:pPr>
            <w:r w:rsidRPr="003D7A2D">
              <w:rPr>
                <w:rFonts w:ascii="Arial" w:eastAsia="Times New Roman" w:hAnsi="Arial" w:cs="Arial"/>
                <w:i/>
                <w:color w:val="000000"/>
                <w:sz w:val="20"/>
                <w:szCs w:val="20"/>
                <w:lang w:eastAsia="ru-RU"/>
              </w:rPr>
              <w:t>% change q/q</w:t>
            </w:r>
          </w:p>
        </w:tc>
        <w:tc>
          <w:tcPr>
            <w:tcW w:w="412" w:type="pct"/>
            <w:tcBorders>
              <w:top w:val="single" w:sz="12" w:space="0" w:color="auto"/>
              <w:bottom w:val="single" w:sz="12" w:space="0" w:color="auto"/>
            </w:tcBorders>
          </w:tcPr>
          <w:p w14:paraId="3FC4FF28" w14:textId="4294B36A" w:rsidR="00CA52DE" w:rsidRPr="003D7A2D" w:rsidRDefault="00D2118D" w:rsidP="00A42142">
            <w:pPr>
              <w:spacing w:after="0" w:line="240" w:lineRule="auto"/>
              <w:jc w:val="right"/>
              <w:rPr>
                <w:rFonts w:ascii="Arial" w:eastAsia="Times New Roman" w:hAnsi="Arial" w:cs="Arial"/>
                <w:i/>
                <w:color w:val="000000"/>
                <w:sz w:val="20"/>
                <w:szCs w:val="20"/>
                <w:lang w:eastAsia="ru-RU"/>
              </w:rPr>
            </w:pPr>
            <w:r w:rsidRPr="003D7A2D">
              <w:rPr>
                <w:rFonts w:ascii="Arial" w:eastAsia="Times New Roman" w:hAnsi="Arial" w:cs="Arial"/>
                <w:b/>
                <w:bCs/>
                <w:color w:val="000000"/>
                <w:sz w:val="20"/>
                <w:szCs w:val="20"/>
                <w:lang w:eastAsia="ru-RU"/>
              </w:rPr>
              <w:t>12</w:t>
            </w:r>
            <w:r w:rsidR="00CA52DE" w:rsidRPr="003D7A2D">
              <w:rPr>
                <w:rFonts w:ascii="Arial" w:eastAsia="Times New Roman" w:hAnsi="Arial" w:cs="Arial"/>
                <w:b/>
                <w:bCs/>
                <w:color w:val="000000"/>
                <w:sz w:val="20"/>
                <w:szCs w:val="20"/>
                <w:lang w:eastAsia="ru-RU"/>
              </w:rPr>
              <w:t>M 2022</w:t>
            </w:r>
          </w:p>
        </w:tc>
        <w:tc>
          <w:tcPr>
            <w:tcW w:w="413" w:type="pct"/>
            <w:tcBorders>
              <w:top w:val="single" w:sz="12" w:space="0" w:color="auto"/>
              <w:bottom w:val="single" w:sz="12" w:space="0" w:color="auto"/>
            </w:tcBorders>
          </w:tcPr>
          <w:p w14:paraId="037D77A1" w14:textId="6059DCE9" w:rsidR="00CA52DE" w:rsidRPr="003D7A2D" w:rsidRDefault="00D2118D" w:rsidP="00A42142">
            <w:pPr>
              <w:spacing w:after="0" w:line="240" w:lineRule="auto"/>
              <w:jc w:val="right"/>
              <w:rPr>
                <w:rFonts w:ascii="Arial" w:eastAsia="Times New Roman" w:hAnsi="Arial" w:cs="Arial"/>
                <w:i/>
                <w:color w:val="000000"/>
                <w:sz w:val="20"/>
                <w:szCs w:val="20"/>
                <w:lang w:eastAsia="ru-RU"/>
              </w:rPr>
            </w:pPr>
            <w:r w:rsidRPr="003D7A2D">
              <w:rPr>
                <w:rFonts w:ascii="Arial" w:eastAsia="Times New Roman" w:hAnsi="Arial" w:cs="Arial"/>
                <w:b/>
                <w:bCs/>
                <w:color w:val="000000"/>
                <w:sz w:val="20"/>
                <w:szCs w:val="20"/>
                <w:lang w:eastAsia="ru-RU"/>
              </w:rPr>
              <w:t>12</w:t>
            </w:r>
            <w:r w:rsidR="00CA52DE" w:rsidRPr="003D7A2D">
              <w:rPr>
                <w:rFonts w:ascii="Arial" w:eastAsia="Times New Roman" w:hAnsi="Arial" w:cs="Arial"/>
                <w:b/>
                <w:bCs/>
                <w:color w:val="000000"/>
                <w:sz w:val="20"/>
                <w:szCs w:val="20"/>
                <w:lang w:eastAsia="ru-RU"/>
              </w:rPr>
              <w:t>M 2021</w:t>
            </w:r>
          </w:p>
        </w:tc>
        <w:tc>
          <w:tcPr>
            <w:tcW w:w="422" w:type="pct"/>
            <w:tcBorders>
              <w:top w:val="single" w:sz="12" w:space="0" w:color="auto"/>
              <w:bottom w:val="single" w:sz="12" w:space="0" w:color="auto"/>
            </w:tcBorders>
          </w:tcPr>
          <w:p w14:paraId="7F6303A5" w14:textId="7A5A9D63" w:rsidR="00CA52DE" w:rsidRPr="003D7A2D" w:rsidRDefault="00CA52DE" w:rsidP="00A42142">
            <w:pPr>
              <w:spacing w:after="0" w:line="240" w:lineRule="auto"/>
              <w:jc w:val="right"/>
              <w:rPr>
                <w:rFonts w:ascii="Arial" w:eastAsia="Times New Roman" w:hAnsi="Arial" w:cs="Arial"/>
                <w:i/>
                <w:color w:val="000000"/>
                <w:sz w:val="20"/>
                <w:szCs w:val="20"/>
                <w:lang w:eastAsia="ru-RU"/>
              </w:rPr>
            </w:pPr>
            <w:r w:rsidRPr="003D7A2D">
              <w:rPr>
                <w:rFonts w:ascii="Arial" w:eastAsia="Times New Roman" w:hAnsi="Arial" w:cs="Arial"/>
                <w:bCs/>
                <w:color w:val="000000"/>
                <w:sz w:val="20"/>
                <w:szCs w:val="20"/>
                <w:lang w:eastAsia="ru-RU"/>
              </w:rPr>
              <w:t>% change</w:t>
            </w:r>
            <w:r w:rsidR="00EF02AF">
              <w:rPr>
                <w:rFonts w:ascii="Arial" w:eastAsia="Times New Roman" w:hAnsi="Arial" w:cs="Arial"/>
                <w:bCs/>
                <w:color w:val="000000"/>
                <w:sz w:val="20"/>
                <w:szCs w:val="20"/>
                <w:lang w:eastAsia="ru-RU"/>
              </w:rPr>
              <w:t xml:space="preserve"> y/y</w:t>
            </w:r>
          </w:p>
        </w:tc>
      </w:tr>
      <w:tr w:rsidR="00CA52DE" w:rsidRPr="003D7A2D" w14:paraId="452E8E88" w14:textId="77777777" w:rsidTr="00CA52DE">
        <w:trPr>
          <w:trHeight w:hRule="exact" w:val="104"/>
        </w:trPr>
        <w:tc>
          <w:tcPr>
            <w:tcW w:w="1560" w:type="pct"/>
            <w:shd w:val="clear" w:color="auto" w:fill="auto"/>
            <w:noWrap/>
            <w:vAlign w:val="center"/>
          </w:tcPr>
          <w:p w14:paraId="6E683264" w14:textId="77777777" w:rsidR="00CA52DE" w:rsidRPr="003D7A2D" w:rsidRDefault="00CA52DE" w:rsidP="00A42142">
            <w:pPr>
              <w:spacing w:after="0" w:line="240" w:lineRule="auto"/>
              <w:jc w:val="both"/>
              <w:rPr>
                <w:rFonts w:ascii="Arial" w:eastAsia="Times New Roman" w:hAnsi="Arial" w:cs="Arial"/>
                <w:color w:val="000000"/>
                <w:sz w:val="20"/>
                <w:szCs w:val="20"/>
                <w:lang w:eastAsia="ru-RU"/>
              </w:rPr>
            </w:pPr>
          </w:p>
        </w:tc>
        <w:tc>
          <w:tcPr>
            <w:tcW w:w="107" w:type="pct"/>
          </w:tcPr>
          <w:p w14:paraId="2E620FAE" w14:textId="77777777" w:rsidR="00CA52DE" w:rsidRPr="003D7A2D" w:rsidRDefault="00CA52DE" w:rsidP="00A42142">
            <w:pPr>
              <w:spacing w:after="0" w:line="240" w:lineRule="auto"/>
              <w:jc w:val="right"/>
              <w:rPr>
                <w:rFonts w:ascii="Arial" w:eastAsia="Times New Roman" w:hAnsi="Arial" w:cs="Arial"/>
                <w:color w:val="000000"/>
                <w:sz w:val="20"/>
                <w:szCs w:val="20"/>
                <w:lang w:eastAsia="ru-RU"/>
              </w:rPr>
            </w:pPr>
          </w:p>
        </w:tc>
        <w:tc>
          <w:tcPr>
            <w:tcW w:w="400" w:type="pct"/>
            <w:shd w:val="clear" w:color="auto" w:fill="auto"/>
            <w:vAlign w:val="center"/>
          </w:tcPr>
          <w:p w14:paraId="030048AD" w14:textId="77777777" w:rsidR="00CA52DE" w:rsidRPr="003D7A2D" w:rsidRDefault="00CA52DE" w:rsidP="00A42142">
            <w:pPr>
              <w:spacing w:after="0" w:line="240" w:lineRule="auto"/>
              <w:jc w:val="right"/>
              <w:rPr>
                <w:rFonts w:ascii="Arial" w:eastAsia="Times New Roman" w:hAnsi="Arial" w:cs="Arial"/>
                <w:color w:val="000000"/>
                <w:sz w:val="20"/>
                <w:szCs w:val="20"/>
                <w:lang w:eastAsia="ru-RU"/>
              </w:rPr>
            </w:pPr>
          </w:p>
        </w:tc>
        <w:tc>
          <w:tcPr>
            <w:tcW w:w="427" w:type="pct"/>
            <w:shd w:val="clear" w:color="auto" w:fill="auto"/>
            <w:noWrap/>
            <w:vAlign w:val="center"/>
          </w:tcPr>
          <w:p w14:paraId="3CF0CCBF" w14:textId="77777777" w:rsidR="00CA52DE" w:rsidRPr="003D7A2D" w:rsidRDefault="00CA52DE" w:rsidP="00A42142">
            <w:pPr>
              <w:spacing w:after="0" w:line="240" w:lineRule="auto"/>
              <w:jc w:val="right"/>
              <w:rPr>
                <w:rFonts w:ascii="Arial" w:eastAsia="Times New Roman" w:hAnsi="Arial" w:cs="Arial"/>
                <w:color w:val="000000"/>
                <w:sz w:val="20"/>
                <w:szCs w:val="20"/>
                <w:lang w:eastAsia="ru-RU"/>
              </w:rPr>
            </w:pPr>
          </w:p>
        </w:tc>
        <w:tc>
          <w:tcPr>
            <w:tcW w:w="422" w:type="pct"/>
            <w:vAlign w:val="center"/>
          </w:tcPr>
          <w:p w14:paraId="7CEB8231" w14:textId="77777777" w:rsidR="00CA52DE" w:rsidRPr="003D7A2D" w:rsidRDefault="00CA52DE" w:rsidP="00A42142">
            <w:pPr>
              <w:spacing w:after="0" w:line="240" w:lineRule="auto"/>
              <w:jc w:val="right"/>
              <w:rPr>
                <w:rFonts w:ascii="Arial" w:eastAsia="Times New Roman" w:hAnsi="Arial" w:cs="Arial"/>
                <w:color w:val="000000"/>
                <w:sz w:val="20"/>
                <w:szCs w:val="20"/>
                <w:lang w:eastAsia="ru-RU"/>
              </w:rPr>
            </w:pPr>
          </w:p>
        </w:tc>
        <w:tc>
          <w:tcPr>
            <w:tcW w:w="415" w:type="pct"/>
          </w:tcPr>
          <w:p w14:paraId="71EE9B97" w14:textId="77777777" w:rsidR="00CA52DE" w:rsidRPr="003D7A2D" w:rsidRDefault="00CA52DE" w:rsidP="00A42142">
            <w:pPr>
              <w:spacing w:after="0" w:line="240" w:lineRule="auto"/>
              <w:jc w:val="right"/>
              <w:rPr>
                <w:rFonts w:ascii="Arial" w:eastAsia="Times New Roman" w:hAnsi="Arial" w:cs="Arial"/>
                <w:color w:val="000000"/>
                <w:sz w:val="20"/>
                <w:szCs w:val="20"/>
                <w:lang w:eastAsia="ru-RU"/>
              </w:rPr>
            </w:pPr>
          </w:p>
        </w:tc>
        <w:tc>
          <w:tcPr>
            <w:tcW w:w="422" w:type="pct"/>
          </w:tcPr>
          <w:p w14:paraId="69D3F18E" w14:textId="77777777" w:rsidR="00CA52DE" w:rsidRPr="003D7A2D" w:rsidRDefault="00CA52DE" w:rsidP="00A42142">
            <w:pPr>
              <w:spacing w:after="0" w:line="240" w:lineRule="auto"/>
              <w:jc w:val="right"/>
              <w:rPr>
                <w:rFonts w:ascii="Arial" w:eastAsia="Times New Roman" w:hAnsi="Arial" w:cs="Arial"/>
                <w:color w:val="000000"/>
                <w:sz w:val="20"/>
                <w:szCs w:val="20"/>
                <w:lang w:eastAsia="ru-RU"/>
              </w:rPr>
            </w:pPr>
          </w:p>
        </w:tc>
        <w:tc>
          <w:tcPr>
            <w:tcW w:w="412" w:type="pct"/>
          </w:tcPr>
          <w:p w14:paraId="02E6BE9D" w14:textId="77777777" w:rsidR="00CA52DE" w:rsidRPr="003D7A2D" w:rsidRDefault="00CA52DE" w:rsidP="00A42142">
            <w:pPr>
              <w:spacing w:after="0" w:line="240" w:lineRule="auto"/>
              <w:jc w:val="right"/>
              <w:rPr>
                <w:rFonts w:ascii="Arial" w:eastAsia="Times New Roman" w:hAnsi="Arial" w:cs="Arial"/>
                <w:color w:val="000000"/>
                <w:sz w:val="20"/>
                <w:szCs w:val="20"/>
                <w:lang w:eastAsia="ru-RU"/>
              </w:rPr>
            </w:pPr>
          </w:p>
        </w:tc>
        <w:tc>
          <w:tcPr>
            <w:tcW w:w="413" w:type="pct"/>
          </w:tcPr>
          <w:p w14:paraId="692B4155" w14:textId="77777777" w:rsidR="00CA52DE" w:rsidRPr="003D7A2D" w:rsidRDefault="00CA52DE" w:rsidP="00A42142">
            <w:pPr>
              <w:spacing w:after="0" w:line="240" w:lineRule="auto"/>
              <w:jc w:val="right"/>
              <w:rPr>
                <w:rFonts w:ascii="Arial" w:eastAsia="Times New Roman" w:hAnsi="Arial" w:cs="Arial"/>
                <w:color w:val="000000"/>
                <w:sz w:val="20"/>
                <w:szCs w:val="20"/>
                <w:lang w:eastAsia="ru-RU"/>
              </w:rPr>
            </w:pPr>
          </w:p>
        </w:tc>
        <w:tc>
          <w:tcPr>
            <w:tcW w:w="422" w:type="pct"/>
          </w:tcPr>
          <w:p w14:paraId="3B7651D8" w14:textId="77777777" w:rsidR="00CA52DE" w:rsidRPr="003D7A2D" w:rsidRDefault="00CA52DE" w:rsidP="00A42142">
            <w:pPr>
              <w:spacing w:after="0" w:line="240" w:lineRule="auto"/>
              <w:jc w:val="right"/>
              <w:rPr>
                <w:rFonts w:ascii="Arial" w:eastAsia="Times New Roman" w:hAnsi="Arial" w:cs="Arial"/>
                <w:color w:val="000000"/>
                <w:sz w:val="20"/>
                <w:szCs w:val="20"/>
                <w:lang w:eastAsia="ru-RU"/>
              </w:rPr>
            </w:pPr>
          </w:p>
        </w:tc>
      </w:tr>
      <w:tr w:rsidR="00CA52DE" w:rsidRPr="003D7A2D" w14:paraId="4E31229A" w14:textId="77777777" w:rsidTr="00CA52DE">
        <w:trPr>
          <w:trHeight w:val="265"/>
        </w:trPr>
        <w:tc>
          <w:tcPr>
            <w:tcW w:w="1560" w:type="pct"/>
            <w:shd w:val="clear" w:color="auto" w:fill="auto"/>
            <w:noWrap/>
            <w:vAlign w:val="center"/>
            <w:hideMark/>
          </w:tcPr>
          <w:p w14:paraId="261EC0B0" w14:textId="31B7F2DD" w:rsidR="00CA52DE" w:rsidRPr="003D7A2D" w:rsidRDefault="00CA52DE" w:rsidP="00A42142">
            <w:pPr>
              <w:spacing w:after="0" w:line="240" w:lineRule="auto"/>
              <w:jc w:val="both"/>
              <w:rPr>
                <w:rFonts w:ascii="Arial" w:eastAsia="Times New Roman" w:hAnsi="Arial" w:cs="Arial"/>
                <w:color w:val="000000"/>
                <w:sz w:val="20"/>
                <w:szCs w:val="20"/>
                <w:lang w:eastAsia="ru-RU"/>
              </w:rPr>
            </w:pPr>
            <w:r w:rsidRPr="003D7A2D">
              <w:rPr>
                <w:rFonts w:ascii="Arial" w:eastAsia="Times New Roman" w:hAnsi="Arial" w:cs="Arial"/>
                <w:color w:val="000000"/>
                <w:sz w:val="20"/>
                <w:szCs w:val="20"/>
                <w:lang w:eastAsia="ru-RU"/>
              </w:rPr>
              <w:t xml:space="preserve">Sales volume, third </w:t>
            </w:r>
            <w:r w:rsidR="00EF02AF" w:rsidRPr="003D7A2D">
              <w:rPr>
                <w:rFonts w:ascii="Arial" w:eastAsia="Times New Roman" w:hAnsi="Arial" w:cs="Arial"/>
                <w:color w:val="000000"/>
                <w:sz w:val="20"/>
                <w:szCs w:val="20"/>
                <w:lang w:eastAsia="ru-RU"/>
              </w:rPr>
              <w:t>part</w:t>
            </w:r>
            <w:r w:rsidR="00EF02AF">
              <w:rPr>
                <w:rFonts w:ascii="Arial" w:eastAsia="Times New Roman" w:hAnsi="Arial" w:cs="Arial"/>
                <w:color w:val="000000"/>
                <w:sz w:val="20"/>
                <w:szCs w:val="20"/>
                <w:lang w:eastAsia="ru-RU"/>
              </w:rPr>
              <w:t>y</w:t>
            </w:r>
            <w:r w:rsidR="00EF02AF" w:rsidRPr="003D7A2D">
              <w:rPr>
                <w:rFonts w:ascii="Arial" w:eastAsia="Times New Roman" w:hAnsi="Arial" w:cs="Arial"/>
                <w:color w:val="000000"/>
                <w:sz w:val="20"/>
                <w:szCs w:val="20"/>
                <w:lang w:eastAsia="ru-RU"/>
              </w:rPr>
              <w:t xml:space="preserve"> </w:t>
            </w:r>
            <w:proofErr w:type="spellStart"/>
            <w:r w:rsidRPr="003D7A2D">
              <w:rPr>
                <w:rFonts w:ascii="Arial" w:eastAsia="Times New Roman" w:hAnsi="Arial" w:cs="Arial"/>
                <w:color w:val="000000"/>
                <w:sz w:val="20"/>
                <w:szCs w:val="20"/>
                <w:lang w:eastAsia="ru-RU"/>
              </w:rPr>
              <w:t>tonnes</w:t>
            </w:r>
            <w:proofErr w:type="spellEnd"/>
          </w:p>
        </w:tc>
        <w:tc>
          <w:tcPr>
            <w:tcW w:w="107" w:type="pct"/>
          </w:tcPr>
          <w:p w14:paraId="04D2EC25" w14:textId="77777777" w:rsidR="00CA52DE" w:rsidRPr="003D7A2D" w:rsidRDefault="00CA52DE" w:rsidP="00A42142">
            <w:pPr>
              <w:spacing w:after="0" w:line="240" w:lineRule="auto"/>
              <w:jc w:val="right"/>
              <w:rPr>
                <w:rFonts w:ascii="Arial" w:eastAsia="Times New Roman" w:hAnsi="Arial" w:cs="Arial"/>
                <w:color w:val="000000"/>
                <w:sz w:val="20"/>
                <w:szCs w:val="20"/>
                <w:lang w:eastAsia="ru-RU"/>
              </w:rPr>
            </w:pPr>
          </w:p>
        </w:tc>
        <w:tc>
          <w:tcPr>
            <w:tcW w:w="400" w:type="pct"/>
            <w:shd w:val="clear" w:color="auto" w:fill="auto"/>
            <w:vAlign w:val="center"/>
          </w:tcPr>
          <w:p w14:paraId="2AB9F081" w14:textId="7BD768FC" w:rsidR="00CA52DE" w:rsidRPr="003D7A2D" w:rsidRDefault="00DB5AAE" w:rsidP="00A42142">
            <w:pPr>
              <w:spacing w:after="0" w:line="240" w:lineRule="auto"/>
              <w:jc w:val="right"/>
              <w:rPr>
                <w:rFonts w:ascii="Arial" w:hAnsi="Arial" w:cs="Arial"/>
                <w:sz w:val="18"/>
                <w:szCs w:val="18"/>
              </w:rPr>
            </w:pPr>
            <w:r w:rsidRPr="000D120B">
              <w:rPr>
                <w:rFonts w:ascii="Arial" w:hAnsi="Arial" w:cs="Arial"/>
                <w:sz w:val="18"/>
                <w:szCs w:val="18"/>
              </w:rPr>
              <w:t xml:space="preserve"> 19,141</w:t>
            </w:r>
          </w:p>
        </w:tc>
        <w:tc>
          <w:tcPr>
            <w:tcW w:w="427" w:type="pct"/>
            <w:shd w:val="clear" w:color="auto" w:fill="auto"/>
            <w:noWrap/>
            <w:vAlign w:val="center"/>
          </w:tcPr>
          <w:p w14:paraId="3A4C4D05" w14:textId="716165EE" w:rsidR="00CA52DE" w:rsidRPr="003D7A2D" w:rsidRDefault="00CA52DE" w:rsidP="00A42142">
            <w:pPr>
              <w:spacing w:after="0" w:line="240" w:lineRule="auto"/>
              <w:jc w:val="right"/>
              <w:rPr>
                <w:rFonts w:ascii="Arial" w:hAnsi="Arial" w:cs="Arial"/>
                <w:sz w:val="18"/>
                <w:szCs w:val="18"/>
              </w:rPr>
            </w:pPr>
            <w:r w:rsidRPr="003D7A2D">
              <w:rPr>
                <w:rFonts w:ascii="Arial" w:hAnsi="Arial" w:cs="Arial"/>
                <w:sz w:val="18"/>
                <w:szCs w:val="18"/>
              </w:rPr>
              <w:t xml:space="preserve"> </w:t>
            </w:r>
            <w:r w:rsidR="00DB5AAE" w:rsidRPr="000D120B">
              <w:rPr>
                <w:rFonts w:ascii="Arial" w:hAnsi="Arial" w:cs="Arial"/>
                <w:sz w:val="18"/>
                <w:szCs w:val="18"/>
              </w:rPr>
              <w:t xml:space="preserve"> 17,924</w:t>
            </w:r>
          </w:p>
        </w:tc>
        <w:tc>
          <w:tcPr>
            <w:tcW w:w="422" w:type="pct"/>
            <w:vAlign w:val="center"/>
          </w:tcPr>
          <w:p w14:paraId="1C338F96" w14:textId="6F5DB08D" w:rsidR="00CA52DE" w:rsidRPr="003D7A2D" w:rsidRDefault="00DB5AAE" w:rsidP="00A42142">
            <w:pPr>
              <w:spacing w:after="0" w:line="240" w:lineRule="auto"/>
              <w:jc w:val="right"/>
              <w:rPr>
                <w:rFonts w:ascii="Arial" w:hAnsi="Arial" w:cs="Arial"/>
                <w:sz w:val="18"/>
                <w:szCs w:val="18"/>
              </w:rPr>
            </w:pPr>
            <w:r w:rsidRPr="000D120B">
              <w:rPr>
                <w:rFonts w:ascii="Arial" w:hAnsi="Arial" w:cs="Arial"/>
                <w:sz w:val="18"/>
                <w:szCs w:val="18"/>
              </w:rPr>
              <w:t>7%</w:t>
            </w:r>
          </w:p>
        </w:tc>
        <w:tc>
          <w:tcPr>
            <w:tcW w:w="415" w:type="pct"/>
            <w:vAlign w:val="center"/>
          </w:tcPr>
          <w:p w14:paraId="01182E02" w14:textId="2FC5C505" w:rsidR="00CA52DE" w:rsidRPr="003D7A2D" w:rsidRDefault="00CA52DE" w:rsidP="00A42142">
            <w:pPr>
              <w:spacing w:after="0" w:line="240" w:lineRule="auto"/>
              <w:jc w:val="right"/>
              <w:rPr>
                <w:rFonts w:ascii="Arial" w:hAnsi="Arial" w:cs="Arial"/>
                <w:sz w:val="18"/>
                <w:szCs w:val="18"/>
              </w:rPr>
            </w:pPr>
            <w:r w:rsidRPr="003D7A2D">
              <w:rPr>
                <w:rFonts w:ascii="Arial" w:hAnsi="Arial" w:cs="Arial"/>
                <w:sz w:val="18"/>
                <w:szCs w:val="18"/>
              </w:rPr>
              <w:t xml:space="preserve"> </w:t>
            </w:r>
            <w:r w:rsidR="00DB5AAE" w:rsidRPr="000D120B">
              <w:rPr>
                <w:rFonts w:ascii="Arial" w:hAnsi="Arial" w:cs="Arial"/>
                <w:sz w:val="18"/>
                <w:szCs w:val="18"/>
              </w:rPr>
              <w:t>21,263</w:t>
            </w:r>
          </w:p>
        </w:tc>
        <w:tc>
          <w:tcPr>
            <w:tcW w:w="422" w:type="pct"/>
            <w:vAlign w:val="center"/>
          </w:tcPr>
          <w:p w14:paraId="17A9C544" w14:textId="5DEBD730" w:rsidR="00CA52DE" w:rsidRPr="003D7A2D" w:rsidRDefault="00DB5AAE" w:rsidP="00A42142">
            <w:pPr>
              <w:spacing w:after="0" w:line="240" w:lineRule="auto"/>
              <w:jc w:val="right"/>
              <w:rPr>
                <w:rFonts w:ascii="Arial" w:hAnsi="Arial" w:cs="Arial"/>
                <w:sz w:val="18"/>
                <w:szCs w:val="18"/>
              </w:rPr>
            </w:pPr>
            <w:r w:rsidRPr="000D120B">
              <w:rPr>
                <w:rFonts w:ascii="Arial" w:hAnsi="Arial" w:cs="Arial"/>
                <w:sz w:val="18"/>
                <w:szCs w:val="18"/>
              </w:rPr>
              <w:t>-10%</w:t>
            </w:r>
          </w:p>
        </w:tc>
        <w:tc>
          <w:tcPr>
            <w:tcW w:w="412" w:type="pct"/>
            <w:vAlign w:val="center"/>
          </w:tcPr>
          <w:p w14:paraId="67018091" w14:textId="273FE4DC" w:rsidR="00CA52DE" w:rsidRPr="003D7A2D" w:rsidRDefault="00DB5AAE" w:rsidP="00A42142">
            <w:pPr>
              <w:spacing w:after="0" w:line="240" w:lineRule="auto"/>
              <w:jc w:val="right"/>
              <w:rPr>
                <w:rFonts w:ascii="Arial" w:hAnsi="Arial" w:cs="Arial"/>
                <w:sz w:val="18"/>
                <w:szCs w:val="18"/>
              </w:rPr>
            </w:pPr>
            <w:r w:rsidRPr="000D120B">
              <w:rPr>
                <w:rFonts w:ascii="Arial" w:hAnsi="Arial" w:cs="Arial"/>
                <w:sz w:val="18"/>
                <w:szCs w:val="18"/>
              </w:rPr>
              <w:t xml:space="preserve"> 77,766</w:t>
            </w:r>
          </w:p>
        </w:tc>
        <w:tc>
          <w:tcPr>
            <w:tcW w:w="413" w:type="pct"/>
            <w:vAlign w:val="center"/>
          </w:tcPr>
          <w:p w14:paraId="3FAE2F3A" w14:textId="0D1BBE66" w:rsidR="00CA52DE" w:rsidRPr="003D7A2D" w:rsidRDefault="00DB5AAE" w:rsidP="00A42142">
            <w:pPr>
              <w:spacing w:after="0" w:line="240" w:lineRule="auto"/>
              <w:jc w:val="right"/>
              <w:rPr>
                <w:rFonts w:ascii="Arial" w:hAnsi="Arial" w:cs="Arial"/>
                <w:sz w:val="18"/>
                <w:szCs w:val="18"/>
              </w:rPr>
            </w:pPr>
            <w:r w:rsidRPr="000D120B">
              <w:rPr>
                <w:rFonts w:ascii="Arial" w:hAnsi="Arial" w:cs="Arial"/>
                <w:sz w:val="18"/>
                <w:szCs w:val="18"/>
              </w:rPr>
              <w:t xml:space="preserve"> 72,841</w:t>
            </w:r>
          </w:p>
        </w:tc>
        <w:tc>
          <w:tcPr>
            <w:tcW w:w="422" w:type="pct"/>
            <w:vAlign w:val="center"/>
          </w:tcPr>
          <w:p w14:paraId="18569F7C" w14:textId="12068518" w:rsidR="00CA52DE" w:rsidRPr="003D7A2D" w:rsidRDefault="00DB5AAE" w:rsidP="00A42142">
            <w:pPr>
              <w:spacing w:after="0" w:line="240" w:lineRule="auto"/>
              <w:jc w:val="right"/>
              <w:rPr>
                <w:rFonts w:ascii="Arial" w:hAnsi="Arial" w:cs="Arial"/>
                <w:sz w:val="18"/>
                <w:szCs w:val="18"/>
              </w:rPr>
            </w:pPr>
            <w:r w:rsidRPr="000D120B">
              <w:rPr>
                <w:rFonts w:ascii="Arial" w:hAnsi="Arial" w:cs="Arial"/>
                <w:sz w:val="18"/>
                <w:szCs w:val="18"/>
              </w:rPr>
              <w:t>7%</w:t>
            </w:r>
          </w:p>
        </w:tc>
      </w:tr>
      <w:tr w:rsidR="00CA52DE" w:rsidRPr="003D7A2D" w14:paraId="2D0611A4" w14:textId="77777777" w:rsidTr="00CA52DE">
        <w:trPr>
          <w:trHeight w:val="265"/>
        </w:trPr>
        <w:tc>
          <w:tcPr>
            <w:tcW w:w="1560" w:type="pct"/>
            <w:tcBorders>
              <w:bottom w:val="single" w:sz="2" w:space="0" w:color="auto"/>
            </w:tcBorders>
            <w:shd w:val="clear" w:color="auto" w:fill="auto"/>
            <w:noWrap/>
            <w:vAlign w:val="center"/>
            <w:hideMark/>
          </w:tcPr>
          <w:p w14:paraId="4E093D85" w14:textId="77777777" w:rsidR="00CA52DE" w:rsidRPr="003D7A2D" w:rsidRDefault="00CA52DE" w:rsidP="00A42142">
            <w:pPr>
              <w:spacing w:after="0" w:line="240" w:lineRule="auto"/>
              <w:jc w:val="both"/>
              <w:rPr>
                <w:rFonts w:ascii="Arial" w:eastAsia="Times New Roman" w:hAnsi="Arial" w:cs="Arial"/>
                <w:color w:val="000000"/>
                <w:sz w:val="20"/>
                <w:szCs w:val="20"/>
                <w:lang w:val="nl-NL" w:eastAsia="ru-RU"/>
              </w:rPr>
            </w:pPr>
            <w:r w:rsidRPr="003D7A2D">
              <w:rPr>
                <w:rFonts w:ascii="Arial" w:eastAsia="Times New Roman" w:hAnsi="Arial" w:cs="Arial"/>
                <w:color w:val="000000"/>
                <w:sz w:val="20"/>
                <w:szCs w:val="20"/>
                <w:lang w:val="nl-NL" w:eastAsia="ru-RU"/>
              </w:rPr>
              <w:t>Price per 1 kg net VAT, EUR</w:t>
            </w:r>
          </w:p>
        </w:tc>
        <w:tc>
          <w:tcPr>
            <w:tcW w:w="107" w:type="pct"/>
          </w:tcPr>
          <w:p w14:paraId="5389ED68" w14:textId="77777777" w:rsidR="00CA52DE" w:rsidRPr="003D7A2D" w:rsidRDefault="00CA52DE" w:rsidP="00A42142">
            <w:pPr>
              <w:spacing w:after="0" w:line="240" w:lineRule="auto"/>
              <w:jc w:val="right"/>
              <w:rPr>
                <w:rFonts w:ascii="Arial" w:eastAsia="Times New Roman" w:hAnsi="Arial" w:cs="Arial"/>
                <w:color w:val="000000"/>
                <w:sz w:val="20"/>
                <w:szCs w:val="20"/>
                <w:lang w:val="nl-NL" w:eastAsia="ru-RU"/>
              </w:rPr>
            </w:pPr>
          </w:p>
        </w:tc>
        <w:tc>
          <w:tcPr>
            <w:tcW w:w="400" w:type="pct"/>
            <w:tcBorders>
              <w:bottom w:val="single" w:sz="2" w:space="0" w:color="auto"/>
            </w:tcBorders>
            <w:shd w:val="clear" w:color="auto" w:fill="auto"/>
            <w:vAlign w:val="center"/>
          </w:tcPr>
          <w:p w14:paraId="6D65A3AB" w14:textId="2694E9BA" w:rsidR="00CA52DE" w:rsidRPr="003D7A2D" w:rsidRDefault="00DB5AAE" w:rsidP="00A42142">
            <w:pPr>
              <w:spacing w:after="0" w:line="240" w:lineRule="auto"/>
              <w:jc w:val="right"/>
              <w:rPr>
                <w:rFonts w:ascii="Arial" w:hAnsi="Arial" w:cs="Arial"/>
                <w:sz w:val="18"/>
                <w:szCs w:val="18"/>
                <w:lang w:val="nl-NL"/>
              </w:rPr>
            </w:pPr>
            <w:r w:rsidRPr="000D120B">
              <w:rPr>
                <w:rFonts w:ascii="Arial" w:hAnsi="Arial" w:cs="Arial"/>
                <w:sz w:val="18"/>
                <w:szCs w:val="18"/>
                <w:lang w:val="nl-NL"/>
              </w:rPr>
              <w:t xml:space="preserve"> </w:t>
            </w:r>
            <w:r w:rsidRPr="000D120B">
              <w:rPr>
                <w:rFonts w:ascii="Arial" w:hAnsi="Arial" w:cs="Arial"/>
                <w:sz w:val="18"/>
                <w:szCs w:val="18"/>
              </w:rPr>
              <w:t>3.38</w:t>
            </w:r>
          </w:p>
        </w:tc>
        <w:tc>
          <w:tcPr>
            <w:tcW w:w="427" w:type="pct"/>
            <w:tcBorders>
              <w:bottom w:val="single" w:sz="2" w:space="0" w:color="auto"/>
            </w:tcBorders>
            <w:shd w:val="clear" w:color="auto" w:fill="auto"/>
            <w:noWrap/>
            <w:vAlign w:val="center"/>
          </w:tcPr>
          <w:p w14:paraId="6F44BEBF" w14:textId="5CC5F8A8" w:rsidR="00CA52DE" w:rsidRPr="003D7A2D" w:rsidRDefault="00DB5AAE" w:rsidP="00A42142">
            <w:pPr>
              <w:spacing w:after="0" w:line="240" w:lineRule="auto"/>
              <w:jc w:val="right"/>
              <w:rPr>
                <w:rFonts w:ascii="Arial" w:hAnsi="Arial" w:cs="Arial"/>
                <w:sz w:val="18"/>
                <w:szCs w:val="18"/>
                <w:lang w:val="nl-NL"/>
              </w:rPr>
            </w:pPr>
            <w:r w:rsidRPr="000D120B">
              <w:rPr>
                <w:rFonts w:ascii="Arial" w:hAnsi="Arial" w:cs="Arial"/>
                <w:sz w:val="18"/>
                <w:szCs w:val="18"/>
              </w:rPr>
              <w:t xml:space="preserve"> 2.70</w:t>
            </w:r>
          </w:p>
        </w:tc>
        <w:tc>
          <w:tcPr>
            <w:tcW w:w="422" w:type="pct"/>
            <w:tcBorders>
              <w:bottom w:val="single" w:sz="2" w:space="0" w:color="auto"/>
            </w:tcBorders>
            <w:vAlign w:val="center"/>
          </w:tcPr>
          <w:p w14:paraId="3B568752" w14:textId="691C9E41" w:rsidR="00CA52DE" w:rsidRPr="003D7A2D" w:rsidRDefault="00DB5AAE" w:rsidP="00A42142">
            <w:pPr>
              <w:spacing w:after="0" w:line="240" w:lineRule="auto"/>
              <w:jc w:val="right"/>
              <w:rPr>
                <w:rFonts w:ascii="Arial" w:hAnsi="Arial" w:cs="Arial"/>
                <w:sz w:val="18"/>
                <w:szCs w:val="18"/>
                <w:lang w:val="nl-NL"/>
              </w:rPr>
            </w:pPr>
            <w:r w:rsidRPr="000D120B">
              <w:rPr>
                <w:rFonts w:ascii="Arial" w:hAnsi="Arial" w:cs="Arial"/>
                <w:sz w:val="18"/>
                <w:szCs w:val="18"/>
              </w:rPr>
              <w:t>25%</w:t>
            </w:r>
          </w:p>
        </w:tc>
        <w:tc>
          <w:tcPr>
            <w:tcW w:w="415" w:type="pct"/>
            <w:tcBorders>
              <w:bottom w:val="single" w:sz="2" w:space="0" w:color="auto"/>
            </w:tcBorders>
            <w:vAlign w:val="center"/>
          </w:tcPr>
          <w:p w14:paraId="019217DB" w14:textId="6AD29DF7" w:rsidR="00CA52DE" w:rsidRPr="003D7A2D" w:rsidRDefault="00DB5AAE" w:rsidP="00A42142">
            <w:pPr>
              <w:spacing w:after="0" w:line="240" w:lineRule="auto"/>
              <w:jc w:val="right"/>
              <w:rPr>
                <w:rFonts w:ascii="Arial" w:hAnsi="Arial" w:cs="Arial"/>
                <w:sz w:val="18"/>
                <w:szCs w:val="18"/>
                <w:lang w:val="nl-NL"/>
              </w:rPr>
            </w:pPr>
            <w:r w:rsidRPr="000D120B">
              <w:rPr>
                <w:rFonts w:ascii="Arial" w:hAnsi="Arial" w:cs="Arial"/>
                <w:sz w:val="18"/>
                <w:szCs w:val="18"/>
              </w:rPr>
              <w:t xml:space="preserve"> 3.34  </w:t>
            </w:r>
          </w:p>
        </w:tc>
        <w:tc>
          <w:tcPr>
            <w:tcW w:w="422" w:type="pct"/>
            <w:tcBorders>
              <w:bottom w:val="single" w:sz="2" w:space="0" w:color="auto"/>
            </w:tcBorders>
            <w:vAlign w:val="center"/>
          </w:tcPr>
          <w:p w14:paraId="5CA9CF79" w14:textId="15B98352" w:rsidR="00CA52DE" w:rsidRPr="003D7A2D" w:rsidRDefault="00DB5AAE" w:rsidP="00A42142">
            <w:pPr>
              <w:spacing w:after="0" w:line="240" w:lineRule="auto"/>
              <w:jc w:val="right"/>
              <w:rPr>
                <w:rFonts w:ascii="Arial" w:hAnsi="Arial" w:cs="Arial"/>
                <w:sz w:val="18"/>
                <w:szCs w:val="18"/>
                <w:lang w:val="nl-NL"/>
              </w:rPr>
            </w:pPr>
            <w:r w:rsidRPr="000D120B">
              <w:rPr>
                <w:rFonts w:ascii="Arial" w:hAnsi="Arial" w:cs="Arial"/>
                <w:sz w:val="18"/>
                <w:szCs w:val="18"/>
              </w:rPr>
              <w:t>1%</w:t>
            </w:r>
          </w:p>
        </w:tc>
        <w:tc>
          <w:tcPr>
            <w:tcW w:w="412" w:type="pct"/>
            <w:tcBorders>
              <w:bottom w:val="single" w:sz="2" w:space="0" w:color="auto"/>
            </w:tcBorders>
            <w:vAlign w:val="center"/>
          </w:tcPr>
          <w:p w14:paraId="79894785" w14:textId="1A703905" w:rsidR="00CA52DE" w:rsidRPr="003D7A2D" w:rsidRDefault="00DB5AAE" w:rsidP="00A42142">
            <w:pPr>
              <w:spacing w:after="0" w:line="240" w:lineRule="auto"/>
              <w:jc w:val="right"/>
              <w:rPr>
                <w:rFonts w:ascii="Arial" w:hAnsi="Arial" w:cs="Arial"/>
                <w:sz w:val="18"/>
                <w:szCs w:val="18"/>
                <w:lang w:val="nl-NL"/>
              </w:rPr>
            </w:pPr>
            <w:r w:rsidRPr="000D120B">
              <w:rPr>
                <w:rFonts w:ascii="Arial" w:hAnsi="Arial" w:cs="Arial"/>
                <w:sz w:val="18"/>
                <w:szCs w:val="18"/>
              </w:rPr>
              <w:t xml:space="preserve"> 3.24</w:t>
            </w:r>
          </w:p>
        </w:tc>
        <w:tc>
          <w:tcPr>
            <w:tcW w:w="413" w:type="pct"/>
            <w:tcBorders>
              <w:bottom w:val="single" w:sz="2" w:space="0" w:color="auto"/>
            </w:tcBorders>
            <w:vAlign w:val="center"/>
          </w:tcPr>
          <w:p w14:paraId="2289BA92" w14:textId="2F5DAEE3" w:rsidR="00CA52DE" w:rsidRPr="003D7A2D" w:rsidRDefault="00DB5AAE" w:rsidP="00A42142">
            <w:pPr>
              <w:spacing w:after="0" w:line="240" w:lineRule="auto"/>
              <w:jc w:val="right"/>
              <w:rPr>
                <w:rFonts w:ascii="Arial" w:hAnsi="Arial" w:cs="Arial"/>
                <w:sz w:val="18"/>
                <w:szCs w:val="18"/>
                <w:lang w:val="nl-NL"/>
              </w:rPr>
            </w:pPr>
            <w:r w:rsidRPr="000D120B">
              <w:rPr>
                <w:rFonts w:ascii="Arial" w:hAnsi="Arial" w:cs="Arial"/>
                <w:sz w:val="18"/>
                <w:szCs w:val="18"/>
              </w:rPr>
              <w:t xml:space="preserve"> 2.59</w:t>
            </w:r>
          </w:p>
        </w:tc>
        <w:tc>
          <w:tcPr>
            <w:tcW w:w="422" w:type="pct"/>
            <w:tcBorders>
              <w:bottom w:val="single" w:sz="2" w:space="0" w:color="auto"/>
            </w:tcBorders>
            <w:vAlign w:val="center"/>
          </w:tcPr>
          <w:p w14:paraId="18C73341" w14:textId="4996431D" w:rsidR="00CA52DE" w:rsidRPr="003D7A2D" w:rsidRDefault="00DB5AAE" w:rsidP="00A42142">
            <w:pPr>
              <w:spacing w:after="0" w:line="240" w:lineRule="auto"/>
              <w:jc w:val="right"/>
              <w:rPr>
                <w:rFonts w:ascii="Arial" w:hAnsi="Arial" w:cs="Arial"/>
                <w:sz w:val="18"/>
                <w:szCs w:val="18"/>
                <w:lang w:val="nl-NL"/>
              </w:rPr>
            </w:pPr>
            <w:r w:rsidRPr="000D120B">
              <w:rPr>
                <w:rFonts w:ascii="Arial" w:hAnsi="Arial" w:cs="Arial"/>
                <w:sz w:val="18"/>
                <w:szCs w:val="18"/>
              </w:rPr>
              <w:t>25%</w:t>
            </w:r>
          </w:p>
        </w:tc>
      </w:tr>
    </w:tbl>
    <w:p w14:paraId="0D5AA2A6" w14:textId="43DDD836" w:rsidR="00C57F50" w:rsidRPr="008201B5" w:rsidRDefault="00C57F50" w:rsidP="000C1D3E">
      <w:pPr>
        <w:autoSpaceDE w:val="0"/>
        <w:spacing w:before="120" w:after="120"/>
        <w:jc w:val="both"/>
        <w:rPr>
          <w:rFonts w:ascii="Arial" w:eastAsia="Times New Roman" w:hAnsi="Arial" w:cs="Arial"/>
          <w:color w:val="000000" w:themeColor="text1"/>
          <w:sz w:val="20"/>
          <w:szCs w:val="20"/>
          <w:lang w:eastAsia="uk-UA"/>
        </w:rPr>
      </w:pPr>
      <w:r w:rsidRPr="008201B5">
        <w:rPr>
          <w:rFonts w:ascii="Arial" w:eastAsia="Times New Roman" w:hAnsi="Arial" w:cs="Arial"/>
          <w:color w:val="000000" w:themeColor="text1"/>
          <w:sz w:val="20"/>
          <w:szCs w:val="20"/>
          <w:lang w:eastAsia="uk-UA"/>
        </w:rPr>
        <w:lastRenderedPageBreak/>
        <w:t>In Q</w:t>
      </w:r>
      <w:r w:rsidR="00D2118D" w:rsidRPr="008201B5">
        <w:rPr>
          <w:rFonts w:ascii="Arial" w:eastAsia="Times New Roman" w:hAnsi="Arial" w:cs="Arial"/>
          <w:color w:val="000000" w:themeColor="text1"/>
          <w:sz w:val="20"/>
          <w:szCs w:val="20"/>
          <w:lang w:eastAsia="uk-UA"/>
        </w:rPr>
        <w:t>4</w:t>
      </w:r>
      <w:r w:rsidRPr="008201B5">
        <w:rPr>
          <w:rFonts w:ascii="Arial" w:eastAsia="Times New Roman" w:hAnsi="Arial" w:cs="Arial"/>
          <w:color w:val="000000" w:themeColor="text1"/>
          <w:sz w:val="20"/>
          <w:szCs w:val="20"/>
          <w:lang w:eastAsia="uk-UA"/>
        </w:rPr>
        <w:t xml:space="preserve"> </w:t>
      </w:r>
      <w:r w:rsidR="00E22622" w:rsidRPr="008201B5">
        <w:rPr>
          <w:rFonts w:ascii="Arial" w:eastAsia="Times New Roman" w:hAnsi="Arial" w:cs="Arial"/>
          <w:color w:val="000000" w:themeColor="text1"/>
          <w:sz w:val="20"/>
          <w:szCs w:val="20"/>
          <w:lang w:eastAsia="uk-UA"/>
        </w:rPr>
        <w:t>2022</w:t>
      </w:r>
      <w:r w:rsidRPr="008201B5">
        <w:rPr>
          <w:rFonts w:ascii="Arial" w:eastAsia="Times New Roman" w:hAnsi="Arial" w:cs="Arial"/>
          <w:color w:val="000000" w:themeColor="text1"/>
          <w:sz w:val="20"/>
          <w:szCs w:val="20"/>
          <w:lang w:eastAsia="uk-UA"/>
        </w:rPr>
        <w:t>, poultry sales</w:t>
      </w:r>
      <w:r w:rsidR="00EF02AF" w:rsidRPr="008201B5">
        <w:rPr>
          <w:rFonts w:ascii="Arial" w:eastAsia="Times New Roman" w:hAnsi="Arial" w:cs="Arial"/>
          <w:color w:val="000000" w:themeColor="text1"/>
          <w:sz w:val="20"/>
          <w:szCs w:val="20"/>
          <w:lang w:eastAsia="uk-UA"/>
        </w:rPr>
        <w:t xml:space="preserve"> volumes</w:t>
      </w:r>
      <w:r w:rsidRPr="008201B5">
        <w:rPr>
          <w:rFonts w:ascii="Arial" w:eastAsia="Times New Roman" w:hAnsi="Arial" w:cs="Arial"/>
          <w:color w:val="000000" w:themeColor="text1"/>
          <w:sz w:val="20"/>
          <w:szCs w:val="20"/>
          <w:lang w:eastAsia="uk-UA"/>
        </w:rPr>
        <w:t xml:space="preserve"> of the Europe</w:t>
      </w:r>
      <w:r w:rsidR="009E2878" w:rsidRPr="008201B5">
        <w:rPr>
          <w:rFonts w:ascii="Arial" w:eastAsia="Times New Roman" w:hAnsi="Arial" w:cs="Arial"/>
          <w:color w:val="000000" w:themeColor="text1"/>
          <w:sz w:val="20"/>
          <w:szCs w:val="20"/>
          <w:lang w:eastAsia="uk-UA"/>
        </w:rPr>
        <w:t>an</w:t>
      </w:r>
      <w:r w:rsidRPr="008201B5">
        <w:rPr>
          <w:rFonts w:ascii="Arial" w:eastAsia="Times New Roman" w:hAnsi="Arial" w:cs="Arial"/>
          <w:color w:val="000000" w:themeColor="text1"/>
          <w:sz w:val="20"/>
          <w:szCs w:val="20"/>
          <w:lang w:eastAsia="uk-UA"/>
        </w:rPr>
        <w:t xml:space="preserve"> </w:t>
      </w:r>
      <w:r w:rsidR="00EF02AF" w:rsidRPr="008201B5">
        <w:rPr>
          <w:rFonts w:ascii="Arial" w:eastAsia="Times New Roman" w:hAnsi="Arial" w:cs="Arial"/>
          <w:color w:val="000000" w:themeColor="text1"/>
          <w:sz w:val="20"/>
          <w:szCs w:val="20"/>
          <w:lang w:eastAsia="uk-UA"/>
        </w:rPr>
        <w:t>O</w:t>
      </w:r>
      <w:r w:rsidRPr="008201B5">
        <w:rPr>
          <w:rFonts w:ascii="Arial" w:eastAsia="Times New Roman" w:hAnsi="Arial" w:cs="Arial"/>
          <w:color w:val="000000" w:themeColor="text1"/>
          <w:sz w:val="20"/>
          <w:szCs w:val="20"/>
          <w:lang w:eastAsia="uk-UA"/>
        </w:rPr>
        <w:t xml:space="preserve">perating </w:t>
      </w:r>
      <w:r w:rsidR="00EF02AF" w:rsidRPr="008201B5">
        <w:rPr>
          <w:rFonts w:ascii="Arial" w:eastAsia="Times New Roman" w:hAnsi="Arial" w:cs="Arial"/>
          <w:color w:val="000000" w:themeColor="text1"/>
          <w:sz w:val="20"/>
          <w:szCs w:val="20"/>
          <w:lang w:eastAsia="uk-UA"/>
        </w:rPr>
        <w:t>S</w:t>
      </w:r>
      <w:r w:rsidRPr="008201B5">
        <w:rPr>
          <w:rFonts w:ascii="Arial" w:eastAsia="Times New Roman" w:hAnsi="Arial" w:cs="Arial"/>
          <w:color w:val="000000" w:themeColor="text1"/>
          <w:sz w:val="20"/>
          <w:szCs w:val="20"/>
          <w:lang w:eastAsia="uk-UA"/>
        </w:rPr>
        <w:t>egment</w:t>
      </w:r>
      <w:r w:rsidR="00AC7EA4" w:rsidRPr="008201B5">
        <w:rPr>
          <w:rFonts w:ascii="Arial" w:eastAsia="Times New Roman" w:hAnsi="Arial" w:cs="Arial"/>
          <w:color w:val="000000" w:themeColor="text1"/>
          <w:sz w:val="20"/>
          <w:szCs w:val="20"/>
          <w:lang w:val="uk-UA" w:eastAsia="uk-UA"/>
        </w:rPr>
        <w:t xml:space="preserve"> </w:t>
      </w:r>
      <w:r w:rsidR="005E4940" w:rsidRPr="008201B5">
        <w:rPr>
          <w:rFonts w:ascii="Arial" w:eastAsia="Times New Roman" w:hAnsi="Arial" w:cs="Arial"/>
          <w:color w:val="000000" w:themeColor="text1"/>
          <w:sz w:val="20"/>
          <w:szCs w:val="20"/>
          <w:lang w:eastAsia="uk-UA"/>
        </w:rPr>
        <w:t xml:space="preserve">increased by </w:t>
      </w:r>
      <w:r w:rsidR="00DB5AAE" w:rsidRPr="000D120B">
        <w:rPr>
          <w:rFonts w:ascii="Arial" w:hAnsi="Arial" w:cs="Arial"/>
          <w:sz w:val="20"/>
          <w:szCs w:val="20"/>
        </w:rPr>
        <w:t>7%</w:t>
      </w:r>
      <w:r w:rsidR="00E02993" w:rsidRPr="008201B5">
        <w:rPr>
          <w:rFonts w:ascii="Arial" w:eastAsia="Times New Roman" w:hAnsi="Arial" w:cs="Arial"/>
          <w:color w:val="000000" w:themeColor="text1"/>
          <w:sz w:val="20"/>
          <w:szCs w:val="20"/>
          <w:lang w:eastAsia="uk-UA"/>
        </w:rPr>
        <w:t xml:space="preserve"> y/y</w:t>
      </w:r>
      <w:r w:rsidR="00AC7EA4" w:rsidRPr="008201B5">
        <w:rPr>
          <w:rFonts w:ascii="Arial" w:eastAsia="Times New Roman" w:hAnsi="Arial" w:cs="Arial"/>
          <w:color w:val="000000" w:themeColor="text1"/>
          <w:sz w:val="20"/>
          <w:szCs w:val="20"/>
          <w:lang w:eastAsia="uk-UA"/>
        </w:rPr>
        <w:t xml:space="preserve"> </w:t>
      </w:r>
      <w:r w:rsidR="00EF02AF" w:rsidRPr="008201B5">
        <w:rPr>
          <w:rFonts w:ascii="Arial" w:eastAsia="Times New Roman" w:hAnsi="Arial" w:cs="Arial"/>
          <w:color w:val="000000" w:themeColor="text1"/>
          <w:sz w:val="20"/>
          <w:szCs w:val="20"/>
          <w:lang w:eastAsia="uk-UA"/>
        </w:rPr>
        <w:t>to</w:t>
      </w:r>
      <w:r w:rsidR="009E2878" w:rsidRPr="008201B5">
        <w:rPr>
          <w:rFonts w:ascii="Arial" w:eastAsia="Times New Roman" w:hAnsi="Arial" w:cs="Arial"/>
          <w:color w:val="000000" w:themeColor="text1"/>
          <w:sz w:val="20"/>
          <w:szCs w:val="20"/>
          <w:lang w:eastAsia="uk-UA"/>
        </w:rPr>
        <w:t xml:space="preserve"> </w:t>
      </w:r>
      <w:r w:rsidR="00DB5AAE" w:rsidRPr="000D120B">
        <w:rPr>
          <w:rFonts w:ascii="Arial" w:hAnsi="Arial" w:cs="Arial"/>
          <w:sz w:val="20"/>
          <w:szCs w:val="20"/>
        </w:rPr>
        <w:t>19,141</w:t>
      </w:r>
      <w:r w:rsidR="00D9118E" w:rsidRPr="008201B5">
        <w:rPr>
          <w:rFonts w:ascii="Arial" w:eastAsia="Times New Roman" w:hAnsi="Arial" w:cs="Arial"/>
          <w:color w:val="000000" w:themeColor="text1"/>
          <w:sz w:val="20"/>
          <w:szCs w:val="20"/>
          <w:lang w:eastAsia="uk-UA"/>
        </w:rPr>
        <w:t xml:space="preserve"> </w:t>
      </w:r>
      <w:proofErr w:type="spellStart"/>
      <w:r w:rsidRPr="008201B5">
        <w:rPr>
          <w:rFonts w:ascii="Arial" w:eastAsia="Times New Roman" w:hAnsi="Arial" w:cs="Arial"/>
          <w:color w:val="000000" w:themeColor="text1"/>
          <w:sz w:val="20"/>
          <w:szCs w:val="20"/>
          <w:lang w:eastAsia="uk-UA"/>
        </w:rPr>
        <w:t>tonnes</w:t>
      </w:r>
      <w:proofErr w:type="spellEnd"/>
      <w:r w:rsidR="009E2878" w:rsidRPr="008201B5">
        <w:rPr>
          <w:rFonts w:ascii="Arial" w:eastAsia="Times New Roman" w:hAnsi="Arial" w:cs="Arial"/>
          <w:color w:val="000000" w:themeColor="text1"/>
          <w:sz w:val="20"/>
          <w:szCs w:val="20"/>
          <w:lang w:eastAsia="uk-UA"/>
        </w:rPr>
        <w:t xml:space="preserve">, while </w:t>
      </w:r>
      <w:r w:rsidR="003D7A2D" w:rsidRPr="008201B5">
        <w:rPr>
          <w:rFonts w:ascii="Arial" w:eastAsia="Times New Roman" w:hAnsi="Arial" w:cs="Arial"/>
          <w:color w:val="000000" w:themeColor="text1"/>
          <w:sz w:val="20"/>
          <w:szCs w:val="20"/>
          <w:lang w:eastAsia="uk-UA"/>
        </w:rPr>
        <w:t>de</w:t>
      </w:r>
      <w:r w:rsidR="009E2878" w:rsidRPr="008201B5">
        <w:rPr>
          <w:rFonts w:ascii="Arial" w:eastAsia="Times New Roman" w:hAnsi="Arial" w:cs="Arial"/>
          <w:color w:val="000000" w:themeColor="text1"/>
          <w:sz w:val="20"/>
          <w:szCs w:val="20"/>
          <w:lang w:eastAsia="uk-UA"/>
        </w:rPr>
        <w:t>creasing by</w:t>
      </w:r>
      <w:r w:rsidR="00703C02" w:rsidRPr="008201B5">
        <w:rPr>
          <w:rFonts w:ascii="Arial" w:eastAsia="Times New Roman" w:hAnsi="Arial" w:cs="Arial"/>
          <w:color w:val="000000" w:themeColor="text1"/>
          <w:sz w:val="20"/>
          <w:szCs w:val="20"/>
          <w:lang w:eastAsia="uk-UA"/>
        </w:rPr>
        <w:t xml:space="preserve"> </w:t>
      </w:r>
      <w:r w:rsidR="00DB5AAE" w:rsidRPr="000D120B">
        <w:rPr>
          <w:rFonts w:ascii="Arial" w:hAnsi="Arial" w:cs="Arial"/>
          <w:sz w:val="20"/>
          <w:szCs w:val="20"/>
        </w:rPr>
        <w:t>10%</w:t>
      </w:r>
      <w:r w:rsidR="00EF02AF" w:rsidRPr="008201B5">
        <w:rPr>
          <w:rFonts w:ascii="Arial" w:hAnsi="Arial" w:cs="Arial"/>
          <w:sz w:val="20"/>
          <w:szCs w:val="20"/>
        </w:rPr>
        <w:t xml:space="preserve"> q/q</w:t>
      </w:r>
      <w:r w:rsidR="00161FBD" w:rsidRPr="008201B5">
        <w:rPr>
          <w:rFonts w:ascii="Arial" w:eastAsia="Times New Roman" w:hAnsi="Arial" w:cs="Arial"/>
          <w:color w:val="000000" w:themeColor="text1"/>
          <w:sz w:val="20"/>
          <w:szCs w:val="20"/>
          <w:lang w:eastAsia="uk-UA"/>
        </w:rPr>
        <w:t>. This was driven by an increased production of chicken meat following</w:t>
      </w:r>
      <w:r w:rsidR="00EF02AF" w:rsidRPr="008201B5">
        <w:rPr>
          <w:rFonts w:ascii="Arial" w:eastAsia="Times New Roman" w:hAnsi="Arial" w:cs="Arial"/>
          <w:color w:val="000000" w:themeColor="text1"/>
          <w:sz w:val="20"/>
          <w:szCs w:val="20"/>
          <w:lang w:eastAsia="uk-UA"/>
        </w:rPr>
        <w:t xml:space="preserve"> the</w:t>
      </w:r>
      <w:r w:rsidR="00161FBD" w:rsidRPr="008201B5">
        <w:rPr>
          <w:rFonts w:ascii="Arial" w:eastAsia="Times New Roman" w:hAnsi="Arial" w:cs="Arial"/>
          <w:color w:val="000000" w:themeColor="text1"/>
          <w:sz w:val="20"/>
          <w:szCs w:val="20"/>
          <w:lang w:eastAsia="uk-UA"/>
        </w:rPr>
        <w:t xml:space="preserve"> expansion </w:t>
      </w:r>
      <w:r w:rsidR="00E02993" w:rsidRPr="008201B5">
        <w:rPr>
          <w:rFonts w:ascii="Arial" w:eastAsia="Times New Roman" w:hAnsi="Arial" w:cs="Arial"/>
          <w:color w:val="000000" w:themeColor="text1"/>
          <w:sz w:val="20"/>
          <w:szCs w:val="20"/>
          <w:lang w:eastAsia="uk-UA"/>
        </w:rPr>
        <w:t xml:space="preserve">of </w:t>
      </w:r>
      <w:r w:rsidR="00161FBD" w:rsidRPr="008201B5">
        <w:rPr>
          <w:rFonts w:ascii="Arial" w:eastAsia="Times New Roman" w:hAnsi="Arial" w:cs="Arial"/>
          <w:color w:val="000000" w:themeColor="text1"/>
          <w:sz w:val="20"/>
          <w:szCs w:val="20"/>
          <w:lang w:eastAsia="uk-UA"/>
        </w:rPr>
        <w:t>facilities in Croatia and Serbia.</w:t>
      </w:r>
      <w:r w:rsidR="00EF02AF" w:rsidRPr="008201B5">
        <w:rPr>
          <w:rFonts w:ascii="Arial" w:eastAsia="Times New Roman" w:hAnsi="Arial" w:cs="Arial"/>
          <w:color w:val="000000" w:themeColor="text1"/>
          <w:sz w:val="20"/>
          <w:szCs w:val="20"/>
          <w:lang w:eastAsia="uk-UA"/>
        </w:rPr>
        <w:t xml:space="preserve"> The</w:t>
      </w:r>
      <w:r w:rsidR="00161FBD" w:rsidRPr="008201B5">
        <w:rPr>
          <w:rFonts w:ascii="Arial" w:eastAsia="Times New Roman" w:hAnsi="Arial" w:cs="Arial"/>
          <w:color w:val="000000" w:themeColor="text1"/>
          <w:sz w:val="20"/>
          <w:szCs w:val="20"/>
          <w:lang w:eastAsia="uk-UA"/>
        </w:rPr>
        <w:t xml:space="preserve"> </w:t>
      </w:r>
      <w:r w:rsidR="00EF02AF" w:rsidRPr="008201B5">
        <w:rPr>
          <w:rFonts w:ascii="Arial" w:eastAsia="Times New Roman" w:hAnsi="Arial" w:cs="Arial"/>
          <w:color w:val="000000" w:themeColor="text1"/>
          <w:sz w:val="20"/>
          <w:szCs w:val="20"/>
          <w:lang w:eastAsia="uk-UA"/>
        </w:rPr>
        <w:t>a</w:t>
      </w:r>
      <w:r w:rsidRPr="008201B5">
        <w:rPr>
          <w:rFonts w:ascii="Arial" w:eastAsia="Times New Roman" w:hAnsi="Arial" w:cs="Arial"/>
          <w:color w:val="000000" w:themeColor="text1"/>
          <w:sz w:val="20"/>
          <w:szCs w:val="20"/>
          <w:lang w:eastAsia="uk-UA"/>
        </w:rPr>
        <w:t>verage price</w:t>
      </w:r>
      <w:r w:rsidR="00EF02AF" w:rsidRPr="008201B5">
        <w:rPr>
          <w:rFonts w:ascii="Arial" w:eastAsia="Times New Roman" w:hAnsi="Arial" w:cs="Arial"/>
          <w:color w:val="000000" w:themeColor="text1"/>
          <w:sz w:val="20"/>
          <w:szCs w:val="20"/>
          <w:lang w:eastAsia="uk-UA"/>
        </w:rPr>
        <w:t xml:space="preserve"> of chicken meat</w:t>
      </w:r>
      <w:r w:rsidR="00653B7A" w:rsidRPr="008201B5">
        <w:rPr>
          <w:rFonts w:ascii="Arial" w:eastAsia="Times New Roman" w:hAnsi="Arial" w:cs="Arial"/>
          <w:color w:val="000000" w:themeColor="text1"/>
          <w:sz w:val="20"/>
          <w:szCs w:val="20"/>
          <w:lang w:eastAsia="uk-UA"/>
        </w:rPr>
        <w:t xml:space="preserve"> </w:t>
      </w:r>
      <w:r w:rsidR="00CD5F62" w:rsidRPr="008201B5">
        <w:rPr>
          <w:rFonts w:ascii="Arial" w:eastAsia="Times New Roman" w:hAnsi="Arial" w:cs="Arial"/>
          <w:color w:val="000000" w:themeColor="text1"/>
          <w:sz w:val="20"/>
          <w:szCs w:val="20"/>
          <w:lang w:eastAsia="uk-UA"/>
        </w:rPr>
        <w:t>in</w:t>
      </w:r>
      <w:r w:rsidR="00653B7A" w:rsidRPr="008201B5">
        <w:rPr>
          <w:rFonts w:ascii="Arial" w:eastAsia="Times New Roman" w:hAnsi="Arial" w:cs="Arial"/>
          <w:color w:val="000000" w:themeColor="text1"/>
          <w:sz w:val="20"/>
          <w:szCs w:val="20"/>
          <w:lang w:eastAsia="uk-UA"/>
        </w:rPr>
        <w:t>creased by</w:t>
      </w:r>
      <w:r w:rsidR="004646D4" w:rsidRPr="008201B5">
        <w:rPr>
          <w:rFonts w:ascii="Arial" w:eastAsia="Times New Roman" w:hAnsi="Arial" w:cs="Arial"/>
          <w:color w:val="000000" w:themeColor="text1"/>
          <w:sz w:val="20"/>
          <w:szCs w:val="20"/>
          <w:lang w:eastAsia="uk-UA"/>
        </w:rPr>
        <w:t xml:space="preserve"> </w:t>
      </w:r>
      <w:r w:rsidR="00DB5AAE" w:rsidRPr="000D120B">
        <w:rPr>
          <w:rFonts w:ascii="Arial" w:hAnsi="Arial" w:cs="Arial"/>
          <w:sz w:val="20"/>
          <w:szCs w:val="20"/>
        </w:rPr>
        <w:t>25%</w:t>
      </w:r>
      <w:r w:rsidR="00EF02AF" w:rsidRPr="008201B5">
        <w:rPr>
          <w:rFonts w:ascii="Arial" w:hAnsi="Arial" w:cs="Arial"/>
          <w:sz w:val="20"/>
          <w:szCs w:val="20"/>
        </w:rPr>
        <w:t xml:space="preserve"> y/y</w:t>
      </w:r>
      <w:r w:rsidR="004646D4" w:rsidRPr="008201B5">
        <w:rPr>
          <w:rFonts w:ascii="Arial" w:eastAsia="Times New Roman" w:hAnsi="Arial" w:cs="Arial"/>
          <w:color w:val="000000" w:themeColor="text1"/>
          <w:sz w:val="20"/>
          <w:szCs w:val="20"/>
          <w:lang w:eastAsia="uk-UA"/>
        </w:rPr>
        <w:t xml:space="preserve"> </w:t>
      </w:r>
      <w:r w:rsidR="00653B7A" w:rsidRPr="008201B5">
        <w:rPr>
          <w:rFonts w:ascii="Arial" w:eastAsia="Times New Roman" w:hAnsi="Arial" w:cs="Arial"/>
          <w:color w:val="000000" w:themeColor="text1"/>
          <w:sz w:val="20"/>
          <w:szCs w:val="20"/>
          <w:lang w:eastAsia="uk-UA"/>
        </w:rPr>
        <w:t>in Q</w:t>
      </w:r>
      <w:r w:rsidR="00D2118D" w:rsidRPr="008201B5">
        <w:rPr>
          <w:rFonts w:ascii="Arial" w:eastAsia="Times New Roman" w:hAnsi="Arial" w:cs="Arial"/>
          <w:color w:val="000000" w:themeColor="text1"/>
          <w:sz w:val="20"/>
          <w:szCs w:val="20"/>
          <w:lang w:eastAsia="uk-UA"/>
        </w:rPr>
        <w:t>4</w:t>
      </w:r>
      <w:r w:rsidR="00653B7A" w:rsidRPr="008201B5">
        <w:rPr>
          <w:rFonts w:ascii="Arial" w:eastAsia="Times New Roman" w:hAnsi="Arial" w:cs="Arial"/>
          <w:color w:val="000000" w:themeColor="text1"/>
          <w:sz w:val="20"/>
          <w:szCs w:val="20"/>
          <w:lang w:eastAsia="uk-UA"/>
        </w:rPr>
        <w:t xml:space="preserve"> </w:t>
      </w:r>
      <w:r w:rsidR="00E22622" w:rsidRPr="008201B5">
        <w:rPr>
          <w:rFonts w:ascii="Arial" w:eastAsia="Times New Roman" w:hAnsi="Arial" w:cs="Arial"/>
          <w:color w:val="000000" w:themeColor="text1"/>
          <w:sz w:val="20"/>
          <w:szCs w:val="20"/>
          <w:lang w:eastAsia="uk-UA"/>
        </w:rPr>
        <w:t>2022</w:t>
      </w:r>
      <w:r w:rsidR="00653B7A" w:rsidRPr="008201B5">
        <w:rPr>
          <w:rFonts w:ascii="Arial" w:eastAsia="Times New Roman" w:hAnsi="Arial" w:cs="Arial"/>
          <w:color w:val="000000" w:themeColor="text1"/>
          <w:sz w:val="20"/>
          <w:szCs w:val="20"/>
          <w:lang w:eastAsia="uk-UA"/>
        </w:rPr>
        <w:t xml:space="preserve"> to EUR</w:t>
      </w:r>
      <w:r w:rsidR="00CD5F62" w:rsidRPr="008201B5">
        <w:rPr>
          <w:rFonts w:ascii="Arial" w:eastAsia="Times New Roman" w:hAnsi="Arial" w:cs="Arial"/>
          <w:color w:val="000000" w:themeColor="text1"/>
          <w:sz w:val="20"/>
          <w:szCs w:val="20"/>
          <w:lang w:eastAsia="uk-UA"/>
        </w:rPr>
        <w:t xml:space="preserve"> </w:t>
      </w:r>
      <w:r w:rsidR="00DB5AAE" w:rsidRPr="000D120B">
        <w:rPr>
          <w:rFonts w:ascii="Arial" w:hAnsi="Arial" w:cs="Arial"/>
          <w:sz w:val="20"/>
          <w:szCs w:val="20"/>
        </w:rPr>
        <w:t>3.38</w:t>
      </w:r>
      <w:r w:rsidR="00653B7A" w:rsidRPr="008201B5">
        <w:rPr>
          <w:rFonts w:ascii="Arial" w:eastAsia="Times New Roman" w:hAnsi="Arial" w:cs="Arial"/>
          <w:color w:val="000000" w:themeColor="text1"/>
          <w:sz w:val="20"/>
          <w:szCs w:val="20"/>
          <w:lang w:eastAsia="uk-UA"/>
        </w:rPr>
        <w:t xml:space="preserve"> (Q</w:t>
      </w:r>
      <w:r w:rsidR="00D2118D" w:rsidRPr="008201B5">
        <w:rPr>
          <w:rFonts w:ascii="Arial" w:eastAsia="Times New Roman" w:hAnsi="Arial" w:cs="Arial"/>
          <w:color w:val="000000" w:themeColor="text1"/>
          <w:sz w:val="20"/>
          <w:szCs w:val="20"/>
          <w:lang w:eastAsia="uk-UA"/>
        </w:rPr>
        <w:t>4</w:t>
      </w:r>
      <w:r w:rsidR="00653B7A" w:rsidRPr="008201B5">
        <w:rPr>
          <w:rFonts w:ascii="Arial" w:eastAsia="Times New Roman" w:hAnsi="Arial" w:cs="Arial"/>
          <w:color w:val="000000" w:themeColor="text1"/>
          <w:sz w:val="20"/>
          <w:szCs w:val="20"/>
          <w:lang w:eastAsia="uk-UA"/>
        </w:rPr>
        <w:t xml:space="preserve"> </w:t>
      </w:r>
      <w:r w:rsidR="00E22622" w:rsidRPr="008201B5">
        <w:rPr>
          <w:rFonts w:ascii="Arial" w:eastAsia="Times New Roman" w:hAnsi="Arial" w:cs="Arial"/>
          <w:color w:val="000000" w:themeColor="text1"/>
          <w:sz w:val="20"/>
          <w:szCs w:val="20"/>
          <w:lang w:eastAsia="uk-UA"/>
        </w:rPr>
        <w:t>2021</w:t>
      </w:r>
      <w:r w:rsidR="00653B7A" w:rsidRPr="008201B5">
        <w:rPr>
          <w:rFonts w:ascii="Arial" w:eastAsia="Times New Roman" w:hAnsi="Arial" w:cs="Arial"/>
          <w:color w:val="000000" w:themeColor="text1"/>
          <w:sz w:val="20"/>
          <w:szCs w:val="20"/>
          <w:lang w:eastAsia="uk-UA"/>
        </w:rPr>
        <w:t>: EUR</w:t>
      </w:r>
      <w:r w:rsidR="00703C02" w:rsidRPr="008201B5">
        <w:rPr>
          <w:rFonts w:ascii="Arial" w:eastAsia="Times New Roman" w:hAnsi="Arial" w:cs="Arial"/>
          <w:color w:val="000000" w:themeColor="text1"/>
          <w:sz w:val="20"/>
          <w:szCs w:val="20"/>
          <w:lang w:eastAsia="uk-UA"/>
        </w:rPr>
        <w:t xml:space="preserve"> </w:t>
      </w:r>
      <w:r w:rsidR="00DB5AAE" w:rsidRPr="000D120B">
        <w:rPr>
          <w:rFonts w:ascii="Arial" w:hAnsi="Arial" w:cs="Arial"/>
          <w:sz w:val="20"/>
          <w:szCs w:val="20"/>
        </w:rPr>
        <w:t xml:space="preserve"> 2.70</w:t>
      </w:r>
      <w:r w:rsidR="00653B7A" w:rsidRPr="008201B5">
        <w:rPr>
          <w:rFonts w:ascii="Arial" w:eastAsia="Times New Roman" w:hAnsi="Arial" w:cs="Arial"/>
          <w:color w:val="000000" w:themeColor="text1"/>
          <w:sz w:val="20"/>
          <w:szCs w:val="20"/>
          <w:lang w:eastAsia="uk-UA"/>
        </w:rPr>
        <w:t>)</w:t>
      </w:r>
      <w:r w:rsidRPr="008201B5">
        <w:rPr>
          <w:rFonts w:ascii="Arial" w:eastAsia="Times New Roman" w:hAnsi="Arial" w:cs="Arial"/>
          <w:color w:val="000000" w:themeColor="text1"/>
          <w:sz w:val="20"/>
          <w:szCs w:val="20"/>
          <w:lang w:eastAsia="uk-UA"/>
        </w:rPr>
        <w:t xml:space="preserve">. </w:t>
      </w:r>
    </w:p>
    <w:tbl>
      <w:tblPr>
        <w:tblW w:w="5000" w:type="pct"/>
        <w:tblLook w:val="04A0" w:firstRow="1" w:lastRow="0" w:firstColumn="1" w:lastColumn="0" w:noHBand="0" w:noVBand="1"/>
      </w:tblPr>
      <w:tblGrid>
        <w:gridCol w:w="3074"/>
        <w:gridCol w:w="222"/>
        <w:gridCol w:w="953"/>
        <w:gridCol w:w="1021"/>
        <w:gridCol w:w="873"/>
        <w:gridCol w:w="767"/>
        <w:gridCol w:w="873"/>
        <w:gridCol w:w="785"/>
        <w:gridCol w:w="906"/>
        <w:gridCol w:w="873"/>
      </w:tblGrid>
      <w:tr w:rsidR="002B743C" w:rsidRPr="00826D6A" w14:paraId="47EA9111" w14:textId="00CB66F3" w:rsidTr="000D120B">
        <w:trPr>
          <w:trHeight w:val="396"/>
        </w:trPr>
        <w:tc>
          <w:tcPr>
            <w:tcW w:w="1163" w:type="pct"/>
            <w:tcBorders>
              <w:top w:val="single" w:sz="12" w:space="0" w:color="auto"/>
              <w:bottom w:val="single" w:sz="12" w:space="0" w:color="auto"/>
            </w:tcBorders>
            <w:shd w:val="clear" w:color="auto" w:fill="auto"/>
            <w:noWrap/>
            <w:vAlign w:val="center"/>
            <w:hideMark/>
          </w:tcPr>
          <w:p w14:paraId="5B9C4580" w14:textId="5D6CCC9C" w:rsidR="002B743C" w:rsidRPr="00826D6A" w:rsidRDefault="002B743C" w:rsidP="002B743C">
            <w:pPr>
              <w:spacing w:after="0" w:line="240" w:lineRule="auto"/>
              <w:jc w:val="both"/>
              <w:rPr>
                <w:rFonts w:ascii="Arial" w:eastAsia="Times New Roman" w:hAnsi="Arial" w:cs="Arial"/>
                <w:b/>
                <w:bCs/>
                <w:color w:val="000000"/>
                <w:sz w:val="20"/>
                <w:szCs w:val="20"/>
                <w:lang w:eastAsia="ru-RU"/>
              </w:rPr>
            </w:pPr>
            <w:r w:rsidRPr="00826D6A">
              <w:rPr>
                <w:rFonts w:ascii="Arial" w:eastAsia="Times New Roman" w:hAnsi="Arial" w:cs="Arial"/>
                <w:b/>
                <w:bCs/>
                <w:color w:val="000000"/>
                <w:sz w:val="20"/>
                <w:szCs w:val="20"/>
                <w:lang w:eastAsia="ru-RU"/>
              </w:rPr>
              <w:t>Meat processing products</w:t>
            </w:r>
            <w:r w:rsidRPr="00826D6A">
              <w:rPr>
                <w:rFonts w:ascii="Arial" w:eastAsia="Times New Roman" w:hAnsi="Arial" w:cs="Arial"/>
                <w:b/>
                <w:bCs/>
                <w:color w:val="000000"/>
                <w:sz w:val="20"/>
                <w:szCs w:val="20"/>
                <w:vertAlign w:val="superscript"/>
                <w:lang w:eastAsia="ru-RU"/>
              </w:rPr>
              <w:t>1)</w:t>
            </w:r>
          </w:p>
        </w:tc>
        <w:tc>
          <w:tcPr>
            <w:tcW w:w="107" w:type="pct"/>
          </w:tcPr>
          <w:p w14:paraId="152324A8" w14:textId="77777777" w:rsidR="002B743C" w:rsidRPr="00826D6A" w:rsidRDefault="002B743C" w:rsidP="002B743C">
            <w:pPr>
              <w:spacing w:after="0" w:line="240" w:lineRule="auto"/>
              <w:jc w:val="right"/>
              <w:rPr>
                <w:rFonts w:ascii="Arial" w:eastAsia="Times New Roman" w:hAnsi="Arial" w:cs="Arial"/>
                <w:b/>
                <w:bCs/>
                <w:color w:val="000000"/>
                <w:sz w:val="20"/>
                <w:szCs w:val="20"/>
                <w:lang w:eastAsia="ru-RU"/>
              </w:rPr>
            </w:pPr>
          </w:p>
        </w:tc>
        <w:tc>
          <w:tcPr>
            <w:tcW w:w="535" w:type="pct"/>
            <w:tcBorders>
              <w:top w:val="single" w:sz="12" w:space="0" w:color="auto"/>
              <w:bottom w:val="single" w:sz="12" w:space="0" w:color="auto"/>
            </w:tcBorders>
            <w:shd w:val="clear" w:color="auto" w:fill="auto"/>
            <w:vAlign w:val="center"/>
            <w:hideMark/>
          </w:tcPr>
          <w:p w14:paraId="0041FCC1" w14:textId="49766E64" w:rsidR="002B743C" w:rsidRPr="00826D6A" w:rsidRDefault="002B743C" w:rsidP="002B743C">
            <w:pPr>
              <w:spacing w:after="0" w:line="240" w:lineRule="auto"/>
              <w:jc w:val="right"/>
              <w:rPr>
                <w:rFonts w:ascii="Arial" w:eastAsia="Times New Roman" w:hAnsi="Arial" w:cs="Arial"/>
                <w:b/>
                <w:bCs/>
                <w:color w:val="000000"/>
                <w:sz w:val="20"/>
                <w:szCs w:val="20"/>
                <w:lang w:eastAsia="ru-RU"/>
              </w:rPr>
            </w:pPr>
            <w:r w:rsidRPr="00826D6A">
              <w:rPr>
                <w:rFonts w:ascii="Arial" w:eastAsia="Times New Roman" w:hAnsi="Arial" w:cs="Arial"/>
                <w:b/>
                <w:bCs/>
                <w:color w:val="000000"/>
                <w:sz w:val="20"/>
                <w:szCs w:val="20"/>
                <w:lang w:eastAsia="ru-RU"/>
              </w:rPr>
              <w:t>Q</w:t>
            </w:r>
            <w:r w:rsidR="00D2118D" w:rsidRPr="00826D6A">
              <w:rPr>
                <w:rFonts w:ascii="Arial" w:eastAsia="Times New Roman" w:hAnsi="Arial" w:cs="Arial"/>
                <w:b/>
                <w:bCs/>
                <w:color w:val="000000"/>
                <w:sz w:val="20"/>
                <w:szCs w:val="20"/>
                <w:lang w:eastAsia="ru-RU"/>
              </w:rPr>
              <w:t>4</w:t>
            </w:r>
            <w:r w:rsidRPr="00826D6A">
              <w:rPr>
                <w:rFonts w:ascii="Arial" w:eastAsia="Times New Roman" w:hAnsi="Arial" w:cs="Arial"/>
                <w:b/>
                <w:bCs/>
                <w:color w:val="000000"/>
                <w:sz w:val="20"/>
                <w:szCs w:val="20"/>
                <w:lang w:eastAsia="ru-RU"/>
              </w:rPr>
              <w:t xml:space="preserve"> 2022</w:t>
            </w:r>
          </w:p>
        </w:tc>
        <w:tc>
          <w:tcPr>
            <w:tcW w:w="568" w:type="pct"/>
            <w:tcBorders>
              <w:top w:val="single" w:sz="12" w:space="0" w:color="auto"/>
              <w:bottom w:val="single" w:sz="12" w:space="0" w:color="auto"/>
            </w:tcBorders>
            <w:shd w:val="clear" w:color="auto" w:fill="auto"/>
            <w:vAlign w:val="center"/>
            <w:hideMark/>
          </w:tcPr>
          <w:p w14:paraId="686D16E7" w14:textId="46F80A58" w:rsidR="002B743C" w:rsidRPr="00826D6A" w:rsidRDefault="002B743C" w:rsidP="002B743C">
            <w:pPr>
              <w:spacing w:after="0" w:line="240" w:lineRule="auto"/>
              <w:jc w:val="right"/>
              <w:rPr>
                <w:rFonts w:ascii="Arial" w:eastAsia="Times New Roman" w:hAnsi="Arial" w:cs="Arial"/>
                <w:bCs/>
                <w:color w:val="000000"/>
                <w:sz w:val="20"/>
                <w:szCs w:val="20"/>
                <w:lang w:eastAsia="ru-RU"/>
              </w:rPr>
            </w:pPr>
            <w:r w:rsidRPr="00826D6A">
              <w:rPr>
                <w:rFonts w:ascii="Arial" w:eastAsia="Times New Roman" w:hAnsi="Arial" w:cs="Arial"/>
                <w:b/>
                <w:bCs/>
                <w:color w:val="000000"/>
                <w:sz w:val="20"/>
                <w:szCs w:val="20"/>
                <w:lang w:eastAsia="ru-RU"/>
              </w:rPr>
              <w:t>Q</w:t>
            </w:r>
            <w:r w:rsidR="00D2118D" w:rsidRPr="00826D6A">
              <w:rPr>
                <w:rFonts w:ascii="Arial" w:eastAsia="Times New Roman" w:hAnsi="Arial" w:cs="Arial"/>
                <w:b/>
                <w:bCs/>
                <w:color w:val="000000"/>
                <w:sz w:val="20"/>
                <w:szCs w:val="20"/>
                <w:lang w:eastAsia="ru-RU"/>
              </w:rPr>
              <w:t>4</w:t>
            </w:r>
            <w:r w:rsidRPr="00826D6A">
              <w:rPr>
                <w:rFonts w:ascii="Arial" w:eastAsia="Times New Roman" w:hAnsi="Arial" w:cs="Arial"/>
                <w:b/>
                <w:bCs/>
                <w:color w:val="000000"/>
                <w:sz w:val="20"/>
                <w:szCs w:val="20"/>
                <w:lang w:eastAsia="ru-RU"/>
              </w:rPr>
              <w:t xml:space="preserve"> 2021</w:t>
            </w:r>
          </w:p>
        </w:tc>
        <w:tc>
          <w:tcPr>
            <w:tcW w:w="435" w:type="pct"/>
            <w:tcBorders>
              <w:top w:val="single" w:sz="12" w:space="0" w:color="auto"/>
              <w:bottom w:val="single" w:sz="12" w:space="0" w:color="auto"/>
            </w:tcBorders>
            <w:vAlign w:val="center"/>
          </w:tcPr>
          <w:p w14:paraId="451BCE58" w14:textId="368A9968" w:rsidR="002B743C" w:rsidRPr="00826D6A" w:rsidRDefault="002B743C" w:rsidP="002B743C">
            <w:pPr>
              <w:spacing w:after="0" w:line="240" w:lineRule="auto"/>
              <w:jc w:val="right"/>
              <w:rPr>
                <w:rFonts w:ascii="Arial" w:eastAsia="Times New Roman" w:hAnsi="Arial" w:cs="Arial"/>
                <w:i/>
                <w:iCs/>
                <w:color w:val="000000"/>
                <w:sz w:val="20"/>
                <w:szCs w:val="20"/>
                <w:lang w:eastAsia="ru-RU"/>
              </w:rPr>
            </w:pPr>
            <w:r w:rsidRPr="00826D6A">
              <w:rPr>
                <w:rFonts w:ascii="Arial" w:eastAsia="Times New Roman" w:hAnsi="Arial" w:cs="Arial"/>
                <w:i/>
                <w:color w:val="000000"/>
                <w:sz w:val="20"/>
                <w:szCs w:val="20"/>
                <w:lang w:eastAsia="ru-RU"/>
              </w:rPr>
              <w:t>% change y/y</w:t>
            </w:r>
          </w:p>
        </w:tc>
        <w:tc>
          <w:tcPr>
            <w:tcW w:w="448" w:type="pct"/>
            <w:tcBorders>
              <w:top w:val="single" w:sz="12" w:space="0" w:color="auto"/>
              <w:bottom w:val="single" w:sz="12" w:space="0" w:color="auto"/>
            </w:tcBorders>
            <w:vAlign w:val="center"/>
          </w:tcPr>
          <w:p w14:paraId="1EA712E7" w14:textId="1CB7914A" w:rsidR="002B743C" w:rsidRPr="00826D6A" w:rsidRDefault="002B743C" w:rsidP="002B743C">
            <w:pPr>
              <w:spacing w:after="0" w:line="240" w:lineRule="auto"/>
              <w:jc w:val="right"/>
              <w:rPr>
                <w:rFonts w:ascii="Arial" w:eastAsia="Times New Roman" w:hAnsi="Arial" w:cs="Arial"/>
                <w:i/>
                <w:iCs/>
                <w:color w:val="000000"/>
                <w:sz w:val="20"/>
                <w:szCs w:val="20"/>
                <w:lang w:eastAsia="ru-RU"/>
              </w:rPr>
            </w:pPr>
            <w:r w:rsidRPr="00826D6A">
              <w:rPr>
                <w:rFonts w:ascii="Arial" w:eastAsia="Times New Roman" w:hAnsi="Arial" w:cs="Arial"/>
                <w:b/>
                <w:color w:val="000000"/>
                <w:sz w:val="20"/>
                <w:szCs w:val="20"/>
                <w:lang w:eastAsia="ru-RU"/>
              </w:rPr>
              <w:t>Q</w:t>
            </w:r>
            <w:r w:rsidR="00D2118D" w:rsidRPr="00826D6A">
              <w:rPr>
                <w:rFonts w:ascii="Arial" w:eastAsia="Times New Roman" w:hAnsi="Arial" w:cs="Arial"/>
                <w:b/>
                <w:color w:val="000000"/>
                <w:sz w:val="20"/>
                <w:szCs w:val="20"/>
                <w:lang w:eastAsia="ru-RU"/>
              </w:rPr>
              <w:t>3</w:t>
            </w:r>
            <w:r w:rsidRPr="00826D6A">
              <w:rPr>
                <w:rFonts w:ascii="Arial" w:eastAsia="Times New Roman" w:hAnsi="Arial" w:cs="Arial"/>
                <w:b/>
                <w:color w:val="000000"/>
                <w:sz w:val="20"/>
                <w:szCs w:val="20"/>
                <w:lang w:eastAsia="ru-RU"/>
              </w:rPr>
              <w:t xml:space="preserve"> 2022</w:t>
            </w:r>
          </w:p>
        </w:tc>
        <w:tc>
          <w:tcPr>
            <w:tcW w:w="347" w:type="pct"/>
            <w:tcBorders>
              <w:top w:val="single" w:sz="12" w:space="0" w:color="auto"/>
              <w:bottom w:val="single" w:sz="12" w:space="0" w:color="auto"/>
            </w:tcBorders>
            <w:vAlign w:val="center"/>
          </w:tcPr>
          <w:p w14:paraId="241C0637" w14:textId="79865BC2" w:rsidR="002B743C" w:rsidRPr="00826D6A" w:rsidRDefault="002B743C" w:rsidP="002B743C">
            <w:pPr>
              <w:spacing w:after="0" w:line="240" w:lineRule="auto"/>
              <w:jc w:val="right"/>
              <w:rPr>
                <w:rFonts w:ascii="Arial" w:eastAsia="Times New Roman" w:hAnsi="Arial" w:cs="Arial"/>
                <w:i/>
                <w:iCs/>
                <w:color w:val="000000"/>
                <w:sz w:val="20"/>
                <w:szCs w:val="20"/>
                <w:lang w:eastAsia="ru-RU"/>
              </w:rPr>
            </w:pPr>
            <w:r w:rsidRPr="00826D6A">
              <w:rPr>
                <w:rFonts w:ascii="Arial" w:eastAsia="Times New Roman" w:hAnsi="Arial" w:cs="Arial"/>
                <w:i/>
                <w:color w:val="000000"/>
                <w:sz w:val="20"/>
                <w:szCs w:val="20"/>
                <w:lang w:eastAsia="ru-RU"/>
              </w:rPr>
              <w:t>% change q/q</w:t>
            </w:r>
          </w:p>
        </w:tc>
        <w:tc>
          <w:tcPr>
            <w:tcW w:w="512" w:type="pct"/>
            <w:tcBorders>
              <w:top w:val="single" w:sz="12" w:space="0" w:color="auto"/>
              <w:bottom w:val="single" w:sz="12" w:space="0" w:color="auto"/>
            </w:tcBorders>
          </w:tcPr>
          <w:p w14:paraId="61DF193F" w14:textId="6DAF8177" w:rsidR="002B743C" w:rsidRPr="00826D6A" w:rsidRDefault="00D2118D" w:rsidP="002B743C">
            <w:pPr>
              <w:spacing w:after="0" w:line="240" w:lineRule="auto"/>
              <w:jc w:val="right"/>
              <w:rPr>
                <w:rFonts w:ascii="Arial" w:eastAsia="Times New Roman" w:hAnsi="Arial" w:cs="Arial"/>
                <w:i/>
                <w:color w:val="000000"/>
                <w:sz w:val="20"/>
                <w:szCs w:val="20"/>
                <w:lang w:eastAsia="ru-RU"/>
              </w:rPr>
            </w:pPr>
            <w:r w:rsidRPr="00826D6A">
              <w:rPr>
                <w:rFonts w:ascii="Arial" w:eastAsia="Times New Roman" w:hAnsi="Arial" w:cs="Arial"/>
                <w:b/>
                <w:bCs/>
                <w:color w:val="000000"/>
                <w:sz w:val="20"/>
                <w:szCs w:val="20"/>
                <w:lang w:eastAsia="ru-RU"/>
              </w:rPr>
              <w:t>12</w:t>
            </w:r>
            <w:r w:rsidR="007C51B3" w:rsidRPr="00826D6A">
              <w:rPr>
                <w:rFonts w:ascii="Arial" w:eastAsia="Times New Roman" w:hAnsi="Arial" w:cs="Arial"/>
                <w:b/>
                <w:bCs/>
                <w:color w:val="000000"/>
                <w:sz w:val="20"/>
                <w:szCs w:val="20"/>
                <w:lang w:eastAsia="ru-RU"/>
              </w:rPr>
              <w:t>M</w:t>
            </w:r>
            <w:r w:rsidR="002B743C" w:rsidRPr="00826D6A">
              <w:rPr>
                <w:rFonts w:ascii="Arial" w:eastAsia="Times New Roman" w:hAnsi="Arial" w:cs="Arial"/>
                <w:b/>
                <w:bCs/>
                <w:color w:val="000000"/>
                <w:sz w:val="20"/>
                <w:szCs w:val="20"/>
                <w:lang w:eastAsia="ru-RU"/>
              </w:rPr>
              <w:t xml:space="preserve"> 2022</w:t>
            </w:r>
          </w:p>
        </w:tc>
        <w:tc>
          <w:tcPr>
            <w:tcW w:w="512" w:type="pct"/>
            <w:tcBorders>
              <w:top w:val="single" w:sz="12" w:space="0" w:color="auto"/>
              <w:bottom w:val="single" w:sz="12" w:space="0" w:color="auto"/>
            </w:tcBorders>
          </w:tcPr>
          <w:p w14:paraId="70C52DEE" w14:textId="6612B26E" w:rsidR="002B743C" w:rsidRPr="00826D6A" w:rsidRDefault="00D2118D" w:rsidP="002B743C">
            <w:pPr>
              <w:spacing w:after="0" w:line="240" w:lineRule="auto"/>
              <w:jc w:val="right"/>
              <w:rPr>
                <w:rFonts w:ascii="Arial" w:eastAsia="Times New Roman" w:hAnsi="Arial" w:cs="Arial"/>
                <w:i/>
                <w:color w:val="000000"/>
                <w:sz w:val="20"/>
                <w:szCs w:val="20"/>
                <w:lang w:eastAsia="ru-RU"/>
              </w:rPr>
            </w:pPr>
            <w:r w:rsidRPr="00826D6A">
              <w:rPr>
                <w:rFonts w:ascii="Arial" w:eastAsia="Times New Roman" w:hAnsi="Arial" w:cs="Arial"/>
                <w:b/>
                <w:bCs/>
                <w:color w:val="000000"/>
                <w:sz w:val="20"/>
                <w:szCs w:val="20"/>
                <w:lang w:eastAsia="ru-RU"/>
              </w:rPr>
              <w:t>12</w:t>
            </w:r>
            <w:r w:rsidR="007C51B3" w:rsidRPr="00826D6A">
              <w:rPr>
                <w:rFonts w:ascii="Arial" w:eastAsia="Times New Roman" w:hAnsi="Arial" w:cs="Arial"/>
                <w:b/>
                <w:bCs/>
                <w:color w:val="000000"/>
                <w:sz w:val="20"/>
                <w:szCs w:val="20"/>
                <w:lang w:eastAsia="ru-RU"/>
              </w:rPr>
              <w:t>M</w:t>
            </w:r>
            <w:r w:rsidR="002B743C" w:rsidRPr="00826D6A">
              <w:rPr>
                <w:rFonts w:ascii="Arial" w:eastAsia="Times New Roman" w:hAnsi="Arial" w:cs="Arial"/>
                <w:b/>
                <w:bCs/>
                <w:color w:val="000000"/>
                <w:sz w:val="20"/>
                <w:szCs w:val="20"/>
                <w:lang w:eastAsia="ru-RU"/>
              </w:rPr>
              <w:t xml:space="preserve"> 2021</w:t>
            </w:r>
          </w:p>
        </w:tc>
        <w:tc>
          <w:tcPr>
            <w:tcW w:w="371" w:type="pct"/>
            <w:tcBorders>
              <w:top w:val="single" w:sz="12" w:space="0" w:color="auto"/>
              <w:bottom w:val="single" w:sz="12" w:space="0" w:color="auto"/>
            </w:tcBorders>
          </w:tcPr>
          <w:p w14:paraId="1639198C" w14:textId="205E7DB7" w:rsidR="002B743C" w:rsidRPr="00826D6A" w:rsidRDefault="002B743C" w:rsidP="002B743C">
            <w:pPr>
              <w:spacing w:after="0" w:line="240" w:lineRule="auto"/>
              <w:jc w:val="right"/>
              <w:rPr>
                <w:rFonts w:ascii="Arial" w:eastAsia="Times New Roman" w:hAnsi="Arial" w:cs="Arial"/>
                <w:i/>
                <w:color w:val="000000"/>
                <w:sz w:val="20"/>
                <w:szCs w:val="20"/>
                <w:lang w:eastAsia="ru-RU"/>
              </w:rPr>
            </w:pPr>
            <w:r w:rsidRPr="00826D6A">
              <w:rPr>
                <w:rFonts w:ascii="Arial" w:eastAsia="Times New Roman" w:hAnsi="Arial" w:cs="Arial"/>
                <w:bCs/>
                <w:color w:val="000000"/>
                <w:sz w:val="20"/>
                <w:szCs w:val="20"/>
                <w:lang w:eastAsia="ru-RU"/>
              </w:rPr>
              <w:t>% change</w:t>
            </w:r>
            <w:r w:rsidR="0050198D">
              <w:rPr>
                <w:rFonts w:ascii="Arial" w:eastAsia="Times New Roman" w:hAnsi="Arial" w:cs="Arial"/>
                <w:bCs/>
                <w:color w:val="000000"/>
                <w:sz w:val="20"/>
                <w:szCs w:val="20"/>
                <w:lang w:eastAsia="ru-RU"/>
              </w:rPr>
              <w:t xml:space="preserve"> y/y</w:t>
            </w:r>
          </w:p>
        </w:tc>
      </w:tr>
      <w:tr w:rsidR="002B743C" w:rsidRPr="00826D6A" w14:paraId="6BC51644" w14:textId="2795DC37" w:rsidTr="000D120B">
        <w:trPr>
          <w:trHeight w:hRule="exact" w:val="104"/>
        </w:trPr>
        <w:tc>
          <w:tcPr>
            <w:tcW w:w="1163" w:type="pct"/>
            <w:shd w:val="clear" w:color="auto" w:fill="auto"/>
            <w:noWrap/>
            <w:vAlign w:val="center"/>
          </w:tcPr>
          <w:p w14:paraId="0CCC05D5" w14:textId="77777777" w:rsidR="002B743C" w:rsidRPr="00826D6A" w:rsidRDefault="002B743C" w:rsidP="002B743C">
            <w:pPr>
              <w:spacing w:after="0" w:line="240" w:lineRule="auto"/>
              <w:jc w:val="both"/>
              <w:rPr>
                <w:rFonts w:ascii="Arial" w:eastAsia="Times New Roman" w:hAnsi="Arial" w:cs="Arial"/>
                <w:color w:val="000000"/>
                <w:sz w:val="20"/>
                <w:szCs w:val="20"/>
                <w:lang w:eastAsia="ru-RU"/>
              </w:rPr>
            </w:pPr>
          </w:p>
        </w:tc>
        <w:tc>
          <w:tcPr>
            <w:tcW w:w="107" w:type="pct"/>
          </w:tcPr>
          <w:p w14:paraId="0A0868E4" w14:textId="77777777" w:rsidR="002B743C" w:rsidRPr="00826D6A" w:rsidRDefault="002B743C" w:rsidP="002B743C">
            <w:pPr>
              <w:spacing w:after="0" w:line="240" w:lineRule="auto"/>
              <w:jc w:val="right"/>
              <w:rPr>
                <w:rFonts w:ascii="Arial" w:eastAsia="Times New Roman" w:hAnsi="Arial" w:cs="Arial"/>
                <w:color w:val="000000"/>
                <w:sz w:val="20"/>
                <w:szCs w:val="20"/>
                <w:lang w:eastAsia="ru-RU"/>
              </w:rPr>
            </w:pPr>
          </w:p>
        </w:tc>
        <w:tc>
          <w:tcPr>
            <w:tcW w:w="535" w:type="pct"/>
            <w:shd w:val="clear" w:color="auto" w:fill="auto"/>
            <w:vAlign w:val="center"/>
          </w:tcPr>
          <w:p w14:paraId="7FACA241" w14:textId="77777777" w:rsidR="002B743C" w:rsidRPr="00826D6A" w:rsidRDefault="002B743C" w:rsidP="002B743C">
            <w:pPr>
              <w:spacing w:after="0" w:line="240" w:lineRule="auto"/>
              <w:jc w:val="right"/>
              <w:rPr>
                <w:rFonts w:ascii="Arial" w:eastAsia="Times New Roman" w:hAnsi="Arial" w:cs="Arial"/>
                <w:color w:val="000000"/>
                <w:sz w:val="20"/>
                <w:szCs w:val="20"/>
                <w:lang w:eastAsia="ru-RU"/>
              </w:rPr>
            </w:pPr>
          </w:p>
        </w:tc>
        <w:tc>
          <w:tcPr>
            <w:tcW w:w="568" w:type="pct"/>
            <w:shd w:val="clear" w:color="auto" w:fill="auto"/>
            <w:noWrap/>
            <w:vAlign w:val="center"/>
          </w:tcPr>
          <w:p w14:paraId="62826005" w14:textId="77777777" w:rsidR="002B743C" w:rsidRPr="00826D6A" w:rsidRDefault="002B743C" w:rsidP="002B743C">
            <w:pPr>
              <w:spacing w:after="0" w:line="240" w:lineRule="auto"/>
              <w:jc w:val="right"/>
              <w:rPr>
                <w:rFonts w:ascii="Arial" w:eastAsia="Times New Roman" w:hAnsi="Arial" w:cs="Arial"/>
                <w:color w:val="000000"/>
                <w:sz w:val="20"/>
                <w:szCs w:val="20"/>
                <w:lang w:eastAsia="ru-RU"/>
              </w:rPr>
            </w:pPr>
          </w:p>
        </w:tc>
        <w:tc>
          <w:tcPr>
            <w:tcW w:w="435" w:type="pct"/>
            <w:vAlign w:val="center"/>
          </w:tcPr>
          <w:p w14:paraId="07D48926" w14:textId="77777777" w:rsidR="002B743C" w:rsidRPr="00826D6A" w:rsidRDefault="002B743C" w:rsidP="002B743C">
            <w:pPr>
              <w:spacing w:after="0" w:line="240" w:lineRule="auto"/>
              <w:jc w:val="right"/>
              <w:rPr>
                <w:rFonts w:ascii="Arial" w:eastAsia="Times New Roman" w:hAnsi="Arial" w:cs="Arial"/>
                <w:color w:val="000000"/>
                <w:sz w:val="20"/>
                <w:szCs w:val="20"/>
                <w:lang w:eastAsia="ru-RU"/>
              </w:rPr>
            </w:pPr>
          </w:p>
        </w:tc>
        <w:tc>
          <w:tcPr>
            <w:tcW w:w="448" w:type="pct"/>
          </w:tcPr>
          <w:p w14:paraId="59FFF565" w14:textId="77777777" w:rsidR="002B743C" w:rsidRPr="00826D6A" w:rsidRDefault="002B743C" w:rsidP="002B743C">
            <w:pPr>
              <w:spacing w:after="0" w:line="240" w:lineRule="auto"/>
              <w:jc w:val="right"/>
              <w:rPr>
                <w:rFonts w:ascii="Arial" w:eastAsia="Times New Roman" w:hAnsi="Arial" w:cs="Arial"/>
                <w:color w:val="000000"/>
                <w:sz w:val="20"/>
                <w:szCs w:val="20"/>
                <w:lang w:eastAsia="ru-RU"/>
              </w:rPr>
            </w:pPr>
          </w:p>
        </w:tc>
        <w:tc>
          <w:tcPr>
            <w:tcW w:w="347" w:type="pct"/>
          </w:tcPr>
          <w:p w14:paraId="156F74D4" w14:textId="77777777" w:rsidR="002B743C" w:rsidRPr="00826D6A" w:rsidRDefault="002B743C" w:rsidP="002B743C">
            <w:pPr>
              <w:spacing w:after="0" w:line="240" w:lineRule="auto"/>
              <w:jc w:val="right"/>
              <w:rPr>
                <w:rFonts w:ascii="Arial" w:eastAsia="Times New Roman" w:hAnsi="Arial" w:cs="Arial"/>
                <w:color w:val="000000"/>
                <w:sz w:val="20"/>
                <w:szCs w:val="20"/>
                <w:lang w:eastAsia="ru-RU"/>
              </w:rPr>
            </w:pPr>
          </w:p>
        </w:tc>
        <w:tc>
          <w:tcPr>
            <w:tcW w:w="512" w:type="pct"/>
          </w:tcPr>
          <w:p w14:paraId="77196603" w14:textId="77777777" w:rsidR="002B743C" w:rsidRPr="00826D6A" w:rsidRDefault="002B743C" w:rsidP="002B743C">
            <w:pPr>
              <w:spacing w:after="0" w:line="240" w:lineRule="auto"/>
              <w:jc w:val="right"/>
              <w:rPr>
                <w:rFonts w:ascii="Arial" w:eastAsia="Times New Roman" w:hAnsi="Arial" w:cs="Arial"/>
                <w:color w:val="000000"/>
                <w:sz w:val="20"/>
                <w:szCs w:val="20"/>
                <w:lang w:eastAsia="ru-RU"/>
              </w:rPr>
            </w:pPr>
          </w:p>
        </w:tc>
        <w:tc>
          <w:tcPr>
            <w:tcW w:w="512" w:type="pct"/>
          </w:tcPr>
          <w:p w14:paraId="610BB144" w14:textId="77777777" w:rsidR="002B743C" w:rsidRPr="00826D6A" w:rsidRDefault="002B743C" w:rsidP="002B743C">
            <w:pPr>
              <w:spacing w:after="0" w:line="240" w:lineRule="auto"/>
              <w:jc w:val="right"/>
              <w:rPr>
                <w:rFonts w:ascii="Arial" w:eastAsia="Times New Roman" w:hAnsi="Arial" w:cs="Arial"/>
                <w:color w:val="000000"/>
                <w:sz w:val="20"/>
                <w:szCs w:val="20"/>
                <w:lang w:eastAsia="ru-RU"/>
              </w:rPr>
            </w:pPr>
          </w:p>
        </w:tc>
        <w:tc>
          <w:tcPr>
            <w:tcW w:w="371" w:type="pct"/>
          </w:tcPr>
          <w:p w14:paraId="3B2DEC7B" w14:textId="77777777" w:rsidR="002B743C" w:rsidRPr="00826D6A" w:rsidRDefault="002B743C" w:rsidP="002B743C">
            <w:pPr>
              <w:spacing w:after="0" w:line="240" w:lineRule="auto"/>
              <w:jc w:val="right"/>
              <w:rPr>
                <w:rFonts w:ascii="Arial" w:eastAsia="Times New Roman" w:hAnsi="Arial" w:cs="Arial"/>
                <w:color w:val="000000"/>
                <w:sz w:val="20"/>
                <w:szCs w:val="20"/>
                <w:lang w:eastAsia="ru-RU"/>
              </w:rPr>
            </w:pPr>
          </w:p>
        </w:tc>
      </w:tr>
      <w:tr w:rsidR="002B743C" w:rsidRPr="00826D6A" w14:paraId="7633EEB6" w14:textId="6BD5F93E" w:rsidTr="000D120B">
        <w:trPr>
          <w:trHeight w:val="265"/>
        </w:trPr>
        <w:tc>
          <w:tcPr>
            <w:tcW w:w="1163" w:type="pct"/>
            <w:shd w:val="clear" w:color="auto" w:fill="auto"/>
            <w:noWrap/>
            <w:vAlign w:val="center"/>
            <w:hideMark/>
          </w:tcPr>
          <w:p w14:paraId="02F41D87" w14:textId="0C646ACE" w:rsidR="002B743C" w:rsidRPr="00826D6A" w:rsidRDefault="002B743C" w:rsidP="002B743C">
            <w:pPr>
              <w:spacing w:after="0" w:line="240" w:lineRule="auto"/>
              <w:jc w:val="both"/>
              <w:rPr>
                <w:rFonts w:ascii="Arial" w:eastAsia="Times New Roman" w:hAnsi="Arial" w:cs="Arial"/>
                <w:color w:val="000000"/>
                <w:sz w:val="20"/>
                <w:szCs w:val="20"/>
                <w:lang w:eastAsia="ru-RU"/>
              </w:rPr>
            </w:pPr>
            <w:r w:rsidRPr="00826D6A">
              <w:rPr>
                <w:rFonts w:ascii="Arial" w:eastAsia="Times New Roman" w:hAnsi="Arial" w:cs="Arial"/>
                <w:color w:val="000000"/>
                <w:sz w:val="20"/>
                <w:szCs w:val="20"/>
                <w:lang w:eastAsia="ru-RU"/>
              </w:rPr>
              <w:t>Sales volume, third part</w:t>
            </w:r>
            <w:r w:rsidR="00AD300D">
              <w:rPr>
                <w:rFonts w:ascii="Arial" w:eastAsia="Times New Roman" w:hAnsi="Arial" w:cs="Arial"/>
                <w:color w:val="000000"/>
                <w:sz w:val="20"/>
                <w:szCs w:val="20"/>
                <w:lang w:eastAsia="ru-RU"/>
              </w:rPr>
              <w:t>y</w:t>
            </w:r>
            <w:r w:rsidRPr="00826D6A">
              <w:rPr>
                <w:rFonts w:ascii="Arial" w:eastAsia="Times New Roman" w:hAnsi="Arial" w:cs="Arial"/>
                <w:color w:val="000000"/>
                <w:sz w:val="20"/>
                <w:szCs w:val="20"/>
                <w:lang w:eastAsia="ru-RU"/>
              </w:rPr>
              <w:t xml:space="preserve"> </w:t>
            </w:r>
            <w:proofErr w:type="spellStart"/>
            <w:r w:rsidRPr="00826D6A">
              <w:rPr>
                <w:rFonts w:ascii="Arial" w:eastAsia="Times New Roman" w:hAnsi="Arial" w:cs="Arial"/>
                <w:color w:val="000000"/>
                <w:sz w:val="20"/>
                <w:szCs w:val="20"/>
                <w:lang w:eastAsia="ru-RU"/>
              </w:rPr>
              <w:t>tonnes</w:t>
            </w:r>
            <w:proofErr w:type="spellEnd"/>
          </w:p>
        </w:tc>
        <w:tc>
          <w:tcPr>
            <w:tcW w:w="107" w:type="pct"/>
          </w:tcPr>
          <w:p w14:paraId="6A1D6A08" w14:textId="77777777" w:rsidR="002B743C" w:rsidRPr="00826D6A" w:rsidRDefault="002B743C" w:rsidP="002B743C">
            <w:pPr>
              <w:spacing w:after="0" w:line="240" w:lineRule="auto"/>
              <w:jc w:val="right"/>
              <w:rPr>
                <w:rFonts w:ascii="Arial" w:eastAsia="Times New Roman" w:hAnsi="Arial" w:cs="Arial"/>
                <w:color w:val="000000"/>
                <w:sz w:val="20"/>
                <w:szCs w:val="20"/>
                <w:lang w:eastAsia="ru-RU"/>
              </w:rPr>
            </w:pPr>
          </w:p>
        </w:tc>
        <w:tc>
          <w:tcPr>
            <w:tcW w:w="535" w:type="pct"/>
            <w:shd w:val="clear" w:color="auto" w:fill="auto"/>
            <w:vAlign w:val="center"/>
          </w:tcPr>
          <w:p w14:paraId="05799246" w14:textId="3599531A" w:rsidR="002B743C" w:rsidRPr="008201B5" w:rsidRDefault="00DB5AAE" w:rsidP="001131B6">
            <w:pPr>
              <w:spacing w:after="0" w:line="240" w:lineRule="auto"/>
              <w:jc w:val="right"/>
              <w:rPr>
                <w:rFonts w:ascii="Arial" w:hAnsi="Arial" w:cs="Arial"/>
                <w:sz w:val="18"/>
                <w:szCs w:val="18"/>
              </w:rPr>
            </w:pPr>
            <w:r w:rsidRPr="000D120B">
              <w:rPr>
                <w:rFonts w:ascii="Arial" w:hAnsi="Arial" w:cs="Arial"/>
                <w:sz w:val="18"/>
                <w:szCs w:val="18"/>
              </w:rPr>
              <w:t xml:space="preserve"> 11,162</w:t>
            </w:r>
          </w:p>
        </w:tc>
        <w:tc>
          <w:tcPr>
            <w:tcW w:w="568" w:type="pct"/>
            <w:shd w:val="clear" w:color="auto" w:fill="auto"/>
            <w:noWrap/>
            <w:vAlign w:val="center"/>
          </w:tcPr>
          <w:p w14:paraId="5E898CFF" w14:textId="4AEA06BF" w:rsidR="002B743C" w:rsidRPr="008201B5" w:rsidRDefault="00785C45" w:rsidP="001131B6">
            <w:pPr>
              <w:spacing w:after="0" w:line="240" w:lineRule="auto"/>
              <w:jc w:val="right"/>
              <w:rPr>
                <w:rFonts w:ascii="Arial" w:hAnsi="Arial" w:cs="Arial"/>
                <w:sz w:val="18"/>
                <w:szCs w:val="18"/>
              </w:rPr>
            </w:pPr>
            <w:r w:rsidRPr="008201B5">
              <w:rPr>
                <w:rFonts w:ascii="Arial" w:hAnsi="Arial" w:cs="Arial"/>
                <w:sz w:val="18"/>
                <w:szCs w:val="18"/>
              </w:rPr>
              <w:t xml:space="preserve"> </w:t>
            </w:r>
            <w:r w:rsidR="00DB5AAE" w:rsidRPr="000D120B">
              <w:rPr>
                <w:rFonts w:ascii="Arial" w:hAnsi="Arial" w:cs="Arial"/>
                <w:sz w:val="18"/>
                <w:szCs w:val="18"/>
              </w:rPr>
              <w:t xml:space="preserve"> 10,321</w:t>
            </w:r>
          </w:p>
        </w:tc>
        <w:tc>
          <w:tcPr>
            <w:tcW w:w="435" w:type="pct"/>
            <w:vAlign w:val="center"/>
          </w:tcPr>
          <w:p w14:paraId="70EE8930" w14:textId="4188AA22" w:rsidR="002B743C" w:rsidRPr="008201B5" w:rsidRDefault="00DB5AAE" w:rsidP="001131B6">
            <w:pPr>
              <w:spacing w:after="0" w:line="240" w:lineRule="auto"/>
              <w:jc w:val="right"/>
              <w:rPr>
                <w:rFonts w:ascii="Arial" w:hAnsi="Arial" w:cs="Arial"/>
                <w:sz w:val="18"/>
                <w:szCs w:val="18"/>
              </w:rPr>
            </w:pPr>
            <w:r w:rsidRPr="000D120B">
              <w:rPr>
                <w:rFonts w:ascii="Arial" w:hAnsi="Arial" w:cs="Arial"/>
                <w:sz w:val="18"/>
                <w:szCs w:val="18"/>
              </w:rPr>
              <w:t>8%</w:t>
            </w:r>
          </w:p>
        </w:tc>
        <w:tc>
          <w:tcPr>
            <w:tcW w:w="448" w:type="pct"/>
            <w:vAlign w:val="center"/>
          </w:tcPr>
          <w:p w14:paraId="0AC5427A" w14:textId="4186F3E0" w:rsidR="002B743C" w:rsidRPr="008201B5" w:rsidRDefault="00DB5AAE" w:rsidP="001131B6">
            <w:pPr>
              <w:spacing w:after="0" w:line="240" w:lineRule="auto"/>
              <w:jc w:val="right"/>
              <w:rPr>
                <w:rFonts w:ascii="Arial" w:hAnsi="Arial" w:cs="Arial"/>
                <w:sz w:val="18"/>
                <w:szCs w:val="18"/>
              </w:rPr>
            </w:pPr>
            <w:r w:rsidRPr="000D120B">
              <w:rPr>
                <w:rFonts w:ascii="Arial" w:hAnsi="Arial" w:cs="Arial"/>
                <w:sz w:val="18"/>
                <w:szCs w:val="18"/>
              </w:rPr>
              <w:t>11,960</w:t>
            </w:r>
          </w:p>
        </w:tc>
        <w:tc>
          <w:tcPr>
            <w:tcW w:w="347" w:type="pct"/>
            <w:vAlign w:val="center"/>
          </w:tcPr>
          <w:p w14:paraId="3FF50026" w14:textId="0737A504" w:rsidR="002B743C" w:rsidRPr="008201B5" w:rsidRDefault="00DB5AAE" w:rsidP="001131B6">
            <w:pPr>
              <w:spacing w:after="0" w:line="240" w:lineRule="auto"/>
              <w:jc w:val="right"/>
              <w:rPr>
                <w:rFonts w:ascii="Arial" w:hAnsi="Arial" w:cs="Arial"/>
                <w:sz w:val="18"/>
                <w:szCs w:val="18"/>
              </w:rPr>
            </w:pPr>
            <w:r w:rsidRPr="000D120B">
              <w:rPr>
                <w:rFonts w:ascii="Arial" w:hAnsi="Arial" w:cs="Arial"/>
                <w:sz w:val="18"/>
                <w:szCs w:val="18"/>
              </w:rPr>
              <w:t>-7%</w:t>
            </w:r>
          </w:p>
        </w:tc>
        <w:tc>
          <w:tcPr>
            <w:tcW w:w="512" w:type="pct"/>
            <w:vAlign w:val="center"/>
          </w:tcPr>
          <w:p w14:paraId="4C48E09D" w14:textId="4296547B" w:rsidR="002B743C" w:rsidRPr="008201B5" w:rsidRDefault="00DB5AAE" w:rsidP="001131B6">
            <w:pPr>
              <w:spacing w:after="0" w:line="240" w:lineRule="auto"/>
              <w:jc w:val="right"/>
              <w:rPr>
                <w:rFonts w:ascii="Arial" w:hAnsi="Arial" w:cs="Arial"/>
                <w:sz w:val="18"/>
                <w:szCs w:val="18"/>
              </w:rPr>
            </w:pPr>
            <w:r w:rsidRPr="000D120B">
              <w:rPr>
                <w:rFonts w:ascii="Arial" w:hAnsi="Arial" w:cs="Arial"/>
                <w:sz w:val="18"/>
                <w:szCs w:val="18"/>
              </w:rPr>
              <w:t>43,277</w:t>
            </w:r>
          </w:p>
        </w:tc>
        <w:tc>
          <w:tcPr>
            <w:tcW w:w="512" w:type="pct"/>
            <w:vAlign w:val="center"/>
          </w:tcPr>
          <w:p w14:paraId="4197D881" w14:textId="0A66CB13" w:rsidR="002B743C" w:rsidRPr="008201B5" w:rsidRDefault="00DB5AAE" w:rsidP="001131B6">
            <w:pPr>
              <w:spacing w:after="0" w:line="240" w:lineRule="auto"/>
              <w:jc w:val="right"/>
              <w:rPr>
                <w:rFonts w:ascii="Arial" w:hAnsi="Arial" w:cs="Arial"/>
                <w:sz w:val="18"/>
                <w:szCs w:val="18"/>
              </w:rPr>
            </w:pPr>
            <w:r w:rsidRPr="000D120B">
              <w:rPr>
                <w:rFonts w:ascii="Arial" w:hAnsi="Arial" w:cs="Arial"/>
                <w:sz w:val="18"/>
                <w:szCs w:val="18"/>
              </w:rPr>
              <w:t>40,366</w:t>
            </w:r>
          </w:p>
        </w:tc>
        <w:tc>
          <w:tcPr>
            <w:tcW w:w="371" w:type="pct"/>
            <w:vAlign w:val="center"/>
          </w:tcPr>
          <w:p w14:paraId="0AC7BDDB" w14:textId="1E25599F" w:rsidR="002B743C" w:rsidRPr="008201B5" w:rsidRDefault="00DB5AAE" w:rsidP="001131B6">
            <w:pPr>
              <w:spacing w:after="0" w:line="240" w:lineRule="auto"/>
              <w:jc w:val="right"/>
              <w:rPr>
                <w:rFonts w:ascii="Arial" w:hAnsi="Arial" w:cs="Arial"/>
                <w:sz w:val="18"/>
                <w:szCs w:val="18"/>
              </w:rPr>
            </w:pPr>
            <w:r w:rsidRPr="000D120B">
              <w:rPr>
                <w:rFonts w:ascii="Arial" w:hAnsi="Arial" w:cs="Arial"/>
                <w:sz w:val="18"/>
                <w:szCs w:val="18"/>
              </w:rPr>
              <w:t>7%</w:t>
            </w:r>
          </w:p>
        </w:tc>
      </w:tr>
      <w:tr w:rsidR="002B743C" w:rsidRPr="00826D6A" w14:paraId="04865A77" w14:textId="2BCB37A0" w:rsidTr="000D120B">
        <w:trPr>
          <w:trHeight w:val="265"/>
        </w:trPr>
        <w:tc>
          <w:tcPr>
            <w:tcW w:w="1163" w:type="pct"/>
            <w:tcBorders>
              <w:bottom w:val="single" w:sz="2" w:space="0" w:color="auto"/>
            </w:tcBorders>
            <w:shd w:val="clear" w:color="auto" w:fill="auto"/>
            <w:noWrap/>
            <w:vAlign w:val="center"/>
            <w:hideMark/>
          </w:tcPr>
          <w:p w14:paraId="4159AC6F" w14:textId="77777777" w:rsidR="002B743C" w:rsidRPr="00826D6A" w:rsidRDefault="002B743C" w:rsidP="002B743C">
            <w:pPr>
              <w:spacing w:after="0" w:line="240" w:lineRule="auto"/>
              <w:jc w:val="both"/>
              <w:rPr>
                <w:rFonts w:ascii="Arial" w:eastAsia="Times New Roman" w:hAnsi="Arial" w:cs="Arial"/>
                <w:color w:val="000000"/>
                <w:sz w:val="20"/>
                <w:szCs w:val="20"/>
                <w:lang w:val="nl-NL" w:eastAsia="ru-RU"/>
              </w:rPr>
            </w:pPr>
            <w:r w:rsidRPr="00826D6A">
              <w:rPr>
                <w:rFonts w:ascii="Arial" w:eastAsia="Times New Roman" w:hAnsi="Arial" w:cs="Arial"/>
                <w:color w:val="000000"/>
                <w:sz w:val="20"/>
                <w:szCs w:val="20"/>
                <w:lang w:val="nl-NL" w:eastAsia="ru-RU"/>
              </w:rPr>
              <w:t>Price per 1 kg net VAT, EUR</w:t>
            </w:r>
          </w:p>
        </w:tc>
        <w:tc>
          <w:tcPr>
            <w:tcW w:w="107" w:type="pct"/>
          </w:tcPr>
          <w:p w14:paraId="283902F4" w14:textId="77777777" w:rsidR="002B743C" w:rsidRPr="00826D6A" w:rsidRDefault="002B743C" w:rsidP="002B743C">
            <w:pPr>
              <w:spacing w:after="0" w:line="240" w:lineRule="auto"/>
              <w:jc w:val="right"/>
              <w:rPr>
                <w:rFonts w:ascii="Arial" w:eastAsia="Times New Roman" w:hAnsi="Arial" w:cs="Arial"/>
                <w:color w:val="000000"/>
                <w:sz w:val="20"/>
                <w:szCs w:val="20"/>
                <w:lang w:val="nl-NL" w:eastAsia="ru-RU"/>
              </w:rPr>
            </w:pPr>
          </w:p>
        </w:tc>
        <w:tc>
          <w:tcPr>
            <w:tcW w:w="535" w:type="pct"/>
            <w:tcBorders>
              <w:bottom w:val="single" w:sz="2" w:space="0" w:color="auto"/>
            </w:tcBorders>
            <w:shd w:val="clear" w:color="auto" w:fill="auto"/>
            <w:vAlign w:val="center"/>
          </w:tcPr>
          <w:p w14:paraId="2E33224F" w14:textId="75665748" w:rsidR="002B743C" w:rsidRPr="008201B5" w:rsidRDefault="00DB5AAE" w:rsidP="001131B6">
            <w:pPr>
              <w:spacing w:after="0" w:line="240" w:lineRule="auto"/>
              <w:jc w:val="right"/>
              <w:rPr>
                <w:rFonts w:ascii="Arial" w:hAnsi="Arial" w:cs="Arial"/>
                <w:sz w:val="18"/>
                <w:szCs w:val="18"/>
                <w:lang w:val="nl-NL"/>
              </w:rPr>
            </w:pPr>
            <w:r w:rsidRPr="000D120B">
              <w:rPr>
                <w:rFonts w:ascii="Arial" w:hAnsi="Arial" w:cs="Arial"/>
                <w:sz w:val="18"/>
                <w:szCs w:val="18"/>
                <w:lang w:val="nl-NL"/>
              </w:rPr>
              <w:t xml:space="preserve"> </w:t>
            </w:r>
            <w:r w:rsidRPr="000D120B">
              <w:rPr>
                <w:rFonts w:ascii="Arial" w:hAnsi="Arial" w:cs="Arial"/>
                <w:sz w:val="18"/>
                <w:szCs w:val="18"/>
              </w:rPr>
              <w:t>3.19</w:t>
            </w:r>
          </w:p>
        </w:tc>
        <w:tc>
          <w:tcPr>
            <w:tcW w:w="568" w:type="pct"/>
            <w:tcBorders>
              <w:bottom w:val="single" w:sz="2" w:space="0" w:color="auto"/>
            </w:tcBorders>
            <w:shd w:val="clear" w:color="auto" w:fill="auto"/>
            <w:noWrap/>
            <w:vAlign w:val="center"/>
          </w:tcPr>
          <w:p w14:paraId="7EB6019E" w14:textId="7D4936DA" w:rsidR="002B743C" w:rsidRPr="008201B5" w:rsidRDefault="00DB5AAE" w:rsidP="001131B6">
            <w:pPr>
              <w:spacing w:after="0" w:line="240" w:lineRule="auto"/>
              <w:jc w:val="right"/>
              <w:rPr>
                <w:rFonts w:ascii="Arial" w:hAnsi="Arial" w:cs="Arial"/>
                <w:sz w:val="18"/>
                <w:szCs w:val="18"/>
                <w:lang w:val="nl-NL"/>
              </w:rPr>
            </w:pPr>
            <w:r w:rsidRPr="000D120B">
              <w:rPr>
                <w:rFonts w:ascii="Arial" w:hAnsi="Arial" w:cs="Arial"/>
                <w:sz w:val="18"/>
                <w:szCs w:val="18"/>
              </w:rPr>
              <w:t xml:space="preserve"> 2.83</w:t>
            </w:r>
          </w:p>
        </w:tc>
        <w:tc>
          <w:tcPr>
            <w:tcW w:w="435" w:type="pct"/>
            <w:tcBorders>
              <w:bottom w:val="single" w:sz="2" w:space="0" w:color="auto"/>
            </w:tcBorders>
            <w:vAlign w:val="center"/>
          </w:tcPr>
          <w:p w14:paraId="43E084AF" w14:textId="19395DA1" w:rsidR="002B743C" w:rsidRPr="008201B5" w:rsidRDefault="00DB5AAE" w:rsidP="001131B6">
            <w:pPr>
              <w:spacing w:after="0" w:line="240" w:lineRule="auto"/>
              <w:jc w:val="right"/>
              <w:rPr>
                <w:rFonts w:ascii="Arial" w:hAnsi="Arial" w:cs="Arial"/>
                <w:sz w:val="18"/>
                <w:szCs w:val="18"/>
                <w:lang w:val="nl-NL"/>
              </w:rPr>
            </w:pPr>
            <w:r w:rsidRPr="000D120B">
              <w:rPr>
                <w:rFonts w:ascii="Arial" w:hAnsi="Arial" w:cs="Arial"/>
                <w:sz w:val="18"/>
                <w:szCs w:val="18"/>
              </w:rPr>
              <w:t>13%</w:t>
            </w:r>
          </w:p>
        </w:tc>
        <w:tc>
          <w:tcPr>
            <w:tcW w:w="448" w:type="pct"/>
            <w:tcBorders>
              <w:bottom w:val="single" w:sz="2" w:space="0" w:color="auto"/>
            </w:tcBorders>
            <w:vAlign w:val="center"/>
          </w:tcPr>
          <w:p w14:paraId="61AB7767" w14:textId="5ACF1E4A" w:rsidR="002B743C" w:rsidRPr="008201B5" w:rsidRDefault="00DB5AAE" w:rsidP="001131B6">
            <w:pPr>
              <w:spacing w:after="0" w:line="240" w:lineRule="auto"/>
              <w:jc w:val="right"/>
              <w:rPr>
                <w:rFonts w:ascii="Arial" w:hAnsi="Arial" w:cs="Arial"/>
                <w:sz w:val="18"/>
                <w:szCs w:val="18"/>
                <w:lang w:val="nl-NL"/>
              </w:rPr>
            </w:pPr>
            <w:r w:rsidRPr="000D120B">
              <w:rPr>
                <w:rFonts w:ascii="Arial" w:hAnsi="Arial" w:cs="Arial"/>
                <w:sz w:val="18"/>
                <w:szCs w:val="18"/>
              </w:rPr>
              <w:t xml:space="preserve"> 3.11  </w:t>
            </w:r>
          </w:p>
        </w:tc>
        <w:tc>
          <w:tcPr>
            <w:tcW w:w="347" w:type="pct"/>
            <w:tcBorders>
              <w:bottom w:val="single" w:sz="2" w:space="0" w:color="auto"/>
            </w:tcBorders>
            <w:vAlign w:val="center"/>
          </w:tcPr>
          <w:p w14:paraId="49D58B21" w14:textId="6E323BEF" w:rsidR="002B743C" w:rsidRPr="008201B5" w:rsidRDefault="00DB5AAE" w:rsidP="001131B6">
            <w:pPr>
              <w:spacing w:after="0" w:line="240" w:lineRule="auto"/>
              <w:jc w:val="right"/>
              <w:rPr>
                <w:rFonts w:ascii="Arial" w:hAnsi="Arial" w:cs="Arial"/>
                <w:sz w:val="18"/>
                <w:szCs w:val="18"/>
                <w:lang w:val="nl-NL"/>
              </w:rPr>
            </w:pPr>
            <w:r w:rsidRPr="000D120B">
              <w:rPr>
                <w:rFonts w:ascii="Arial" w:hAnsi="Arial" w:cs="Arial"/>
                <w:sz w:val="18"/>
                <w:szCs w:val="18"/>
              </w:rPr>
              <w:t>3%</w:t>
            </w:r>
          </w:p>
        </w:tc>
        <w:tc>
          <w:tcPr>
            <w:tcW w:w="512" w:type="pct"/>
            <w:tcBorders>
              <w:bottom w:val="single" w:sz="2" w:space="0" w:color="auto"/>
            </w:tcBorders>
            <w:vAlign w:val="center"/>
          </w:tcPr>
          <w:p w14:paraId="2E9C55CD" w14:textId="5D912526" w:rsidR="002B743C" w:rsidRPr="008201B5" w:rsidRDefault="00DB5AAE" w:rsidP="001131B6">
            <w:pPr>
              <w:spacing w:after="0" w:line="240" w:lineRule="auto"/>
              <w:jc w:val="right"/>
              <w:rPr>
                <w:rFonts w:ascii="Arial" w:hAnsi="Arial" w:cs="Arial"/>
                <w:sz w:val="18"/>
                <w:szCs w:val="18"/>
                <w:lang w:val="nl-NL"/>
              </w:rPr>
            </w:pPr>
            <w:r w:rsidRPr="000D120B">
              <w:rPr>
                <w:rFonts w:ascii="Arial" w:hAnsi="Arial" w:cs="Arial"/>
                <w:sz w:val="18"/>
                <w:szCs w:val="18"/>
              </w:rPr>
              <w:t xml:space="preserve"> 3.09</w:t>
            </w:r>
          </w:p>
        </w:tc>
        <w:tc>
          <w:tcPr>
            <w:tcW w:w="512" w:type="pct"/>
            <w:tcBorders>
              <w:bottom w:val="single" w:sz="2" w:space="0" w:color="auto"/>
            </w:tcBorders>
            <w:vAlign w:val="center"/>
          </w:tcPr>
          <w:p w14:paraId="7E2986E6" w14:textId="0D1F6884" w:rsidR="002B743C" w:rsidRPr="008201B5" w:rsidRDefault="00DB5AAE" w:rsidP="001131B6">
            <w:pPr>
              <w:spacing w:after="0" w:line="240" w:lineRule="auto"/>
              <w:jc w:val="right"/>
              <w:rPr>
                <w:rFonts w:ascii="Arial" w:hAnsi="Arial" w:cs="Arial"/>
                <w:sz w:val="18"/>
                <w:szCs w:val="18"/>
                <w:lang w:val="nl-NL"/>
              </w:rPr>
            </w:pPr>
            <w:r w:rsidRPr="000D120B">
              <w:rPr>
                <w:rFonts w:ascii="Arial" w:hAnsi="Arial" w:cs="Arial"/>
                <w:sz w:val="18"/>
                <w:szCs w:val="18"/>
              </w:rPr>
              <w:t xml:space="preserve"> 2.78</w:t>
            </w:r>
          </w:p>
        </w:tc>
        <w:tc>
          <w:tcPr>
            <w:tcW w:w="371" w:type="pct"/>
            <w:tcBorders>
              <w:bottom w:val="single" w:sz="2" w:space="0" w:color="auto"/>
            </w:tcBorders>
            <w:vAlign w:val="center"/>
          </w:tcPr>
          <w:p w14:paraId="2E21D064" w14:textId="5A5B69DC" w:rsidR="002B743C" w:rsidRPr="008201B5" w:rsidRDefault="00DB5AAE" w:rsidP="001131B6">
            <w:pPr>
              <w:spacing w:after="0" w:line="240" w:lineRule="auto"/>
              <w:jc w:val="right"/>
              <w:rPr>
                <w:rFonts w:ascii="Arial" w:hAnsi="Arial" w:cs="Arial"/>
                <w:sz w:val="18"/>
                <w:szCs w:val="18"/>
                <w:lang w:val="nl-NL"/>
              </w:rPr>
            </w:pPr>
            <w:r w:rsidRPr="000D120B">
              <w:rPr>
                <w:rFonts w:ascii="Arial" w:hAnsi="Arial" w:cs="Arial"/>
                <w:sz w:val="18"/>
                <w:szCs w:val="18"/>
              </w:rPr>
              <w:t>11%</w:t>
            </w:r>
          </w:p>
        </w:tc>
      </w:tr>
    </w:tbl>
    <w:p w14:paraId="161BAD7C" w14:textId="78A4F121" w:rsidR="00C57F50" w:rsidRPr="00826D6A" w:rsidRDefault="00611547" w:rsidP="00B008E9">
      <w:pPr>
        <w:spacing w:line="240" w:lineRule="auto"/>
        <w:jc w:val="both"/>
        <w:rPr>
          <w:rFonts w:ascii="Arial" w:eastAsia="Times New Roman" w:hAnsi="Arial" w:cs="Arial"/>
          <w:i/>
          <w:color w:val="000000"/>
          <w:sz w:val="16"/>
          <w:szCs w:val="16"/>
          <w:lang w:eastAsia="uk-UA"/>
        </w:rPr>
      </w:pPr>
      <w:r w:rsidRPr="00826D6A">
        <w:rPr>
          <w:rFonts w:ascii="Arial" w:eastAsia="Times New Roman" w:hAnsi="Arial" w:cs="Arial"/>
          <w:i/>
          <w:color w:val="000000"/>
          <w:sz w:val="16"/>
          <w:szCs w:val="16"/>
          <w:vertAlign w:val="superscript"/>
          <w:lang w:eastAsia="uk-UA"/>
        </w:rPr>
        <w:t>1)</w:t>
      </w:r>
      <w:r w:rsidR="00C57F50" w:rsidRPr="00826D6A">
        <w:rPr>
          <w:rFonts w:ascii="Arial" w:eastAsia="Times New Roman" w:hAnsi="Arial" w:cs="Arial"/>
          <w:i/>
          <w:color w:val="000000"/>
          <w:sz w:val="16"/>
          <w:szCs w:val="16"/>
          <w:lang w:eastAsia="uk-UA"/>
        </w:rPr>
        <w:t xml:space="preserve"> includes sausages and convenience foods</w:t>
      </w:r>
    </w:p>
    <w:p w14:paraId="411287A5" w14:textId="115569B3" w:rsidR="00EE3B7D" w:rsidRPr="008201B5" w:rsidRDefault="001F33B0" w:rsidP="00F7619F">
      <w:pPr>
        <w:autoSpaceDE w:val="0"/>
        <w:spacing w:before="120" w:after="120"/>
        <w:jc w:val="both"/>
        <w:rPr>
          <w:rFonts w:ascii="Arial" w:eastAsia="Times New Roman" w:hAnsi="Arial" w:cs="Arial"/>
          <w:color w:val="000000" w:themeColor="text1"/>
          <w:sz w:val="20"/>
          <w:szCs w:val="20"/>
          <w:lang w:eastAsia="uk-UA"/>
        </w:rPr>
      </w:pPr>
      <w:r w:rsidRPr="008201B5">
        <w:rPr>
          <w:rFonts w:ascii="Arial" w:eastAsia="Times New Roman" w:hAnsi="Arial" w:cs="Arial"/>
          <w:color w:val="000000" w:themeColor="text1"/>
          <w:sz w:val="20"/>
          <w:szCs w:val="20"/>
          <w:lang w:eastAsia="uk-UA"/>
        </w:rPr>
        <w:t>Meat processing product sales</w:t>
      </w:r>
      <w:r w:rsidR="00D93B5E" w:rsidRPr="008201B5">
        <w:rPr>
          <w:rFonts w:ascii="Arial" w:eastAsia="Times New Roman" w:hAnsi="Arial" w:cs="Arial"/>
          <w:color w:val="000000" w:themeColor="text1"/>
          <w:sz w:val="20"/>
          <w:szCs w:val="20"/>
          <w:lang w:eastAsia="uk-UA"/>
        </w:rPr>
        <w:t xml:space="preserve"> at the European Operating Segments</w:t>
      </w:r>
      <w:r w:rsidRPr="008201B5">
        <w:rPr>
          <w:rFonts w:ascii="Arial" w:eastAsia="Times New Roman" w:hAnsi="Arial" w:cs="Arial"/>
          <w:color w:val="000000" w:themeColor="text1"/>
          <w:sz w:val="20"/>
          <w:szCs w:val="20"/>
          <w:lang w:eastAsia="uk-UA"/>
        </w:rPr>
        <w:t xml:space="preserve"> </w:t>
      </w:r>
      <w:r w:rsidR="00D93B5E" w:rsidRPr="008201B5">
        <w:rPr>
          <w:rFonts w:ascii="Arial" w:eastAsia="Times New Roman" w:hAnsi="Arial" w:cs="Arial"/>
          <w:color w:val="000000" w:themeColor="text1"/>
          <w:sz w:val="20"/>
          <w:szCs w:val="20"/>
          <w:lang w:eastAsia="uk-UA"/>
        </w:rPr>
        <w:t>increased</w:t>
      </w:r>
      <w:r w:rsidR="00BA02AF" w:rsidRPr="008201B5">
        <w:rPr>
          <w:rFonts w:ascii="Arial" w:eastAsia="Times New Roman" w:hAnsi="Arial" w:cs="Arial"/>
          <w:color w:val="000000" w:themeColor="text1"/>
          <w:sz w:val="20"/>
          <w:szCs w:val="20"/>
          <w:lang w:eastAsia="uk-UA"/>
        </w:rPr>
        <w:t xml:space="preserve"> </w:t>
      </w:r>
      <w:r w:rsidR="009E2878" w:rsidRPr="008201B5">
        <w:rPr>
          <w:rFonts w:ascii="Arial" w:eastAsia="Times New Roman" w:hAnsi="Arial" w:cs="Arial"/>
          <w:color w:val="000000" w:themeColor="text1"/>
          <w:sz w:val="20"/>
          <w:szCs w:val="20"/>
          <w:lang w:eastAsia="uk-UA"/>
        </w:rPr>
        <w:t xml:space="preserve">by </w:t>
      </w:r>
      <w:r w:rsidR="00DB5AAE" w:rsidRPr="000D120B">
        <w:rPr>
          <w:rFonts w:ascii="Arial" w:hAnsi="Arial" w:cs="Arial"/>
          <w:sz w:val="20"/>
          <w:szCs w:val="20"/>
        </w:rPr>
        <w:t>8%</w:t>
      </w:r>
      <w:r w:rsidRPr="008201B5">
        <w:rPr>
          <w:rFonts w:ascii="Arial" w:eastAsia="Times New Roman" w:hAnsi="Arial" w:cs="Arial"/>
          <w:color w:val="000000" w:themeColor="text1"/>
          <w:sz w:val="20"/>
          <w:szCs w:val="20"/>
          <w:lang w:eastAsia="uk-UA"/>
        </w:rPr>
        <w:t xml:space="preserve"> </w:t>
      </w:r>
      <w:r w:rsidR="009E2878" w:rsidRPr="008201B5">
        <w:rPr>
          <w:rFonts w:ascii="Arial" w:eastAsia="Times New Roman" w:hAnsi="Arial" w:cs="Arial"/>
          <w:color w:val="000000" w:themeColor="text1"/>
          <w:sz w:val="20"/>
          <w:szCs w:val="20"/>
          <w:lang w:eastAsia="uk-UA"/>
        </w:rPr>
        <w:t>y/y</w:t>
      </w:r>
      <w:r w:rsidRPr="008201B5">
        <w:rPr>
          <w:rFonts w:ascii="Arial" w:eastAsia="Times New Roman" w:hAnsi="Arial" w:cs="Arial"/>
          <w:color w:val="000000" w:themeColor="text1"/>
          <w:sz w:val="20"/>
          <w:szCs w:val="20"/>
          <w:lang w:eastAsia="uk-UA"/>
        </w:rPr>
        <w:t xml:space="preserve"> to </w:t>
      </w:r>
      <w:r w:rsidR="00DB5AAE" w:rsidRPr="000D120B">
        <w:rPr>
          <w:rFonts w:ascii="Arial" w:hAnsi="Arial" w:cs="Arial"/>
          <w:sz w:val="20"/>
          <w:szCs w:val="20"/>
        </w:rPr>
        <w:t>11,162</w:t>
      </w:r>
      <w:r w:rsidRPr="008201B5">
        <w:rPr>
          <w:rFonts w:ascii="Arial" w:eastAsia="Times New Roman" w:hAnsi="Arial" w:cs="Arial"/>
          <w:color w:val="000000" w:themeColor="text1"/>
          <w:sz w:val="20"/>
          <w:szCs w:val="20"/>
          <w:lang w:eastAsia="uk-UA"/>
        </w:rPr>
        <w:t xml:space="preserve"> </w:t>
      </w:r>
      <w:proofErr w:type="spellStart"/>
      <w:r w:rsidRPr="008201B5">
        <w:rPr>
          <w:rFonts w:ascii="Arial" w:eastAsia="Times New Roman" w:hAnsi="Arial" w:cs="Arial"/>
          <w:color w:val="000000" w:themeColor="text1"/>
          <w:sz w:val="20"/>
          <w:szCs w:val="20"/>
          <w:lang w:eastAsia="uk-UA"/>
        </w:rPr>
        <w:t>tonnes</w:t>
      </w:r>
      <w:proofErr w:type="spellEnd"/>
      <w:r w:rsidRPr="008201B5">
        <w:rPr>
          <w:rFonts w:ascii="Arial" w:eastAsia="Times New Roman" w:hAnsi="Arial" w:cs="Arial"/>
          <w:color w:val="000000" w:themeColor="text1"/>
          <w:sz w:val="20"/>
          <w:szCs w:val="20"/>
          <w:lang w:eastAsia="uk-UA"/>
        </w:rPr>
        <w:t xml:space="preserve"> in Q</w:t>
      </w:r>
      <w:r w:rsidR="00D2118D" w:rsidRPr="008201B5">
        <w:rPr>
          <w:rFonts w:ascii="Arial" w:eastAsia="Times New Roman" w:hAnsi="Arial" w:cs="Arial"/>
          <w:color w:val="000000" w:themeColor="text1"/>
          <w:sz w:val="20"/>
          <w:szCs w:val="20"/>
          <w:lang w:eastAsia="uk-UA"/>
        </w:rPr>
        <w:t>4</w:t>
      </w:r>
      <w:r w:rsidRPr="008201B5">
        <w:rPr>
          <w:rFonts w:ascii="Arial" w:eastAsia="Times New Roman" w:hAnsi="Arial" w:cs="Arial"/>
          <w:color w:val="000000" w:themeColor="text1"/>
          <w:sz w:val="20"/>
          <w:szCs w:val="20"/>
          <w:lang w:eastAsia="uk-UA"/>
        </w:rPr>
        <w:t xml:space="preserve"> 2022 (Q</w:t>
      </w:r>
      <w:r w:rsidR="00D2118D" w:rsidRPr="008201B5">
        <w:rPr>
          <w:rFonts w:ascii="Arial" w:eastAsia="Times New Roman" w:hAnsi="Arial" w:cs="Arial"/>
          <w:color w:val="000000" w:themeColor="text1"/>
          <w:sz w:val="20"/>
          <w:szCs w:val="20"/>
          <w:lang w:eastAsia="uk-UA"/>
        </w:rPr>
        <w:t>4</w:t>
      </w:r>
      <w:r w:rsidRPr="008201B5">
        <w:rPr>
          <w:rFonts w:ascii="Arial" w:eastAsia="Times New Roman" w:hAnsi="Arial" w:cs="Arial"/>
          <w:color w:val="000000" w:themeColor="text1"/>
          <w:sz w:val="20"/>
          <w:szCs w:val="20"/>
          <w:lang w:eastAsia="uk-UA"/>
        </w:rPr>
        <w:t xml:space="preserve"> 2021: </w:t>
      </w:r>
      <w:r w:rsidR="00DB5AAE" w:rsidRPr="000D120B">
        <w:rPr>
          <w:rFonts w:ascii="Arial" w:hAnsi="Arial" w:cs="Arial"/>
          <w:sz w:val="20"/>
          <w:szCs w:val="20"/>
        </w:rPr>
        <w:t>10,321</w:t>
      </w:r>
      <w:r w:rsidRPr="008201B5">
        <w:rPr>
          <w:rFonts w:ascii="Arial" w:eastAsia="Times New Roman" w:hAnsi="Arial" w:cs="Arial"/>
          <w:color w:val="000000" w:themeColor="text1"/>
          <w:sz w:val="20"/>
          <w:szCs w:val="20"/>
          <w:lang w:eastAsia="uk-UA"/>
        </w:rPr>
        <w:t xml:space="preserve"> </w:t>
      </w:r>
      <w:proofErr w:type="spellStart"/>
      <w:r w:rsidRPr="008201B5">
        <w:rPr>
          <w:rFonts w:ascii="Arial" w:eastAsia="Times New Roman" w:hAnsi="Arial" w:cs="Arial"/>
          <w:color w:val="000000" w:themeColor="text1"/>
          <w:sz w:val="20"/>
          <w:szCs w:val="20"/>
          <w:lang w:eastAsia="uk-UA"/>
        </w:rPr>
        <w:t>tonnes</w:t>
      </w:r>
      <w:proofErr w:type="spellEnd"/>
      <w:r w:rsidRPr="008201B5">
        <w:rPr>
          <w:rFonts w:ascii="Arial" w:eastAsia="Times New Roman" w:hAnsi="Arial" w:cs="Arial"/>
          <w:color w:val="000000" w:themeColor="text1"/>
          <w:sz w:val="20"/>
          <w:szCs w:val="20"/>
          <w:lang w:eastAsia="uk-UA"/>
        </w:rPr>
        <w:t>)</w:t>
      </w:r>
      <w:r w:rsidR="00E02993" w:rsidRPr="008201B5">
        <w:rPr>
          <w:rFonts w:ascii="Arial" w:eastAsia="Times New Roman" w:hAnsi="Arial" w:cs="Arial"/>
          <w:color w:val="000000" w:themeColor="text1"/>
          <w:sz w:val="20"/>
          <w:szCs w:val="20"/>
          <w:lang w:eastAsia="uk-UA"/>
        </w:rPr>
        <w:t>,</w:t>
      </w:r>
      <w:r w:rsidRPr="008201B5">
        <w:rPr>
          <w:rFonts w:ascii="Arial" w:eastAsia="Times New Roman" w:hAnsi="Arial" w:cs="Arial"/>
          <w:color w:val="000000" w:themeColor="text1"/>
          <w:sz w:val="20"/>
          <w:szCs w:val="20"/>
          <w:lang w:eastAsia="uk-UA"/>
        </w:rPr>
        <w:t xml:space="preserve"> </w:t>
      </w:r>
      <w:r w:rsidR="00D93B5E" w:rsidRPr="008201B5">
        <w:rPr>
          <w:rFonts w:ascii="Arial" w:eastAsia="Times New Roman" w:hAnsi="Arial" w:cs="Arial"/>
          <w:color w:val="000000" w:themeColor="text1"/>
          <w:sz w:val="20"/>
          <w:szCs w:val="20"/>
          <w:lang w:eastAsia="uk-UA"/>
        </w:rPr>
        <w:t>but</w:t>
      </w:r>
      <w:r w:rsidR="009E2878" w:rsidRPr="008201B5">
        <w:rPr>
          <w:rFonts w:ascii="Arial" w:eastAsia="Times New Roman" w:hAnsi="Arial" w:cs="Arial"/>
          <w:color w:val="000000" w:themeColor="text1"/>
          <w:sz w:val="20"/>
          <w:szCs w:val="20"/>
          <w:lang w:eastAsia="uk-UA"/>
        </w:rPr>
        <w:t xml:space="preserve"> </w:t>
      </w:r>
      <w:r w:rsidR="003E2E1A" w:rsidRPr="008201B5">
        <w:rPr>
          <w:rFonts w:ascii="Arial" w:eastAsia="Times New Roman" w:hAnsi="Arial" w:cs="Arial"/>
          <w:color w:val="000000" w:themeColor="text1"/>
          <w:sz w:val="20"/>
          <w:szCs w:val="20"/>
          <w:lang w:eastAsia="uk-UA"/>
        </w:rPr>
        <w:t>de</w:t>
      </w:r>
      <w:r w:rsidR="009E2878" w:rsidRPr="008201B5">
        <w:rPr>
          <w:rFonts w:ascii="Arial" w:eastAsia="Times New Roman" w:hAnsi="Arial" w:cs="Arial"/>
          <w:color w:val="000000" w:themeColor="text1"/>
          <w:sz w:val="20"/>
          <w:szCs w:val="20"/>
          <w:lang w:eastAsia="uk-UA"/>
        </w:rPr>
        <w:t xml:space="preserve">creased </w:t>
      </w:r>
      <w:r w:rsidR="00DB5AAE" w:rsidRPr="000D120B">
        <w:rPr>
          <w:rFonts w:ascii="Arial" w:hAnsi="Arial" w:cs="Arial"/>
          <w:sz w:val="20"/>
          <w:szCs w:val="20"/>
        </w:rPr>
        <w:t>7%</w:t>
      </w:r>
      <w:r w:rsidRPr="008201B5">
        <w:rPr>
          <w:rFonts w:ascii="Arial" w:eastAsia="Times New Roman" w:hAnsi="Arial" w:cs="Arial"/>
          <w:color w:val="000000" w:themeColor="text1"/>
          <w:sz w:val="20"/>
          <w:szCs w:val="20"/>
          <w:lang w:eastAsia="uk-UA"/>
        </w:rPr>
        <w:t xml:space="preserve"> </w:t>
      </w:r>
      <w:r w:rsidR="00D93B5E" w:rsidRPr="008201B5">
        <w:rPr>
          <w:rFonts w:ascii="Arial" w:eastAsia="Times New Roman" w:hAnsi="Arial" w:cs="Arial"/>
          <w:color w:val="000000" w:themeColor="text1"/>
          <w:sz w:val="20"/>
          <w:szCs w:val="20"/>
          <w:lang w:eastAsia="uk-UA"/>
        </w:rPr>
        <w:t xml:space="preserve">when </w:t>
      </w:r>
      <w:r w:rsidR="00F660AA" w:rsidRPr="008201B5">
        <w:rPr>
          <w:rFonts w:ascii="Arial" w:eastAsia="Times New Roman" w:hAnsi="Arial" w:cs="Arial"/>
          <w:color w:val="000000" w:themeColor="text1"/>
          <w:sz w:val="20"/>
          <w:szCs w:val="20"/>
          <w:lang w:eastAsia="uk-UA"/>
        </w:rPr>
        <w:t>compared with Q</w:t>
      </w:r>
      <w:r w:rsidR="003E2E1A" w:rsidRPr="008201B5">
        <w:rPr>
          <w:rFonts w:ascii="Arial" w:eastAsia="Times New Roman" w:hAnsi="Arial" w:cs="Arial"/>
          <w:color w:val="000000" w:themeColor="text1"/>
          <w:sz w:val="20"/>
          <w:szCs w:val="20"/>
          <w:lang w:eastAsia="uk-UA"/>
        </w:rPr>
        <w:t>3</w:t>
      </w:r>
      <w:r w:rsidRPr="008201B5">
        <w:rPr>
          <w:rFonts w:ascii="Arial" w:eastAsia="Times New Roman" w:hAnsi="Arial" w:cs="Arial"/>
          <w:color w:val="000000" w:themeColor="text1"/>
          <w:sz w:val="20"/>
          <w:szCs w:val="20"/>
          <w:lang w:eastAsia="uk-UA"/>
        </w:rPr>
        <w:t xml:space="preserve">. </w:t>
      </w:r>
      <w:r w:rsidR="00D93B5E" w:rsidRPr="008201B5">
        <w:rPr>
          <w:rFonts w:ascii="Arial" w:eastAsia="Times New Roman" w:hAnsi="Arial" w:cs="Arial"/>
          <w:color w:val="000000" w:themeColor="text1"/>
          <w:sz w:val="20"/>
          <w:szCs w:val="20"/>
          <w:lang w:eastAsia="uk-UA"/>
        </w:rPr>
        <w:t>The a</w:t>
      </w:r>
      <w:r w:rsidRPr="008201B5">
        <w:rPr>
          <w:rFonts w:ascii="Arial" w:eastAsia="Times New Roman" w:hAnsi="Arial" w:cs="Arial"/>
          <w:color w:val="000000" w:themeColor="text1"/>
          <w:sz w:val="20"/>
          <w:szCs w:val="20"/>
          <w:lang w:eastAsia="uk-UA"/>
        </w:rPr>
        <w:t>verage price</w:t>
      </w:r>
      <w:r w:rsidR="00D93B5E" w:rsidRPr="008201B5">
        <w:rPr>
          <w:rFonts w:ascii="Arial" w:eastAsia="Times New Roman" w:hAnsi="Arial" w:cs="Arial"/>
          <w:color w:val="000000" w:themeColor="text1"/>
          <w:sz w:val="20"/>
          <w:szCs w:val="20"/>
          <w:lang w:eastAsia="uk-UA"/>
        </w:rPr>
        <w:t xml:space="preserve"> of meat processing products</w:t>
      </w:r>
      <w:r w:rsidRPr="008201B5">
        <w:rPr>
          <w:rFonts w:ascii="Arial" w:eastAsia="Times New Roman" w:hAnsi="Arial" w:cs="Arial"/>
          <w:color w:val="000000" w:themeColor="text1"/>
          <w:sz w:val="20"/>
          <w:szCs w:val="20"/>
          <w:lang w:eastAsia="uk-UA"/>
        </w:rPr>
        <w:t xml:space="preserve"> in Q</w:t>
      </w:r>
      <w:r w:rsidR="00D2118D" w:rsidRPr="008201B5">
        <w:rPr>
          <w:rFonts w:ascii="Arial" w:eastAsia="Times New Roman" w:hAnsi="Arial" w:cs="Arial"/>
          <w:color w:val="000000" w:themeColor="text1"/>
          <w:sz w:val="20"/>
          <w:szCs w:val="20"/>
          <w:lang w:eastAsia="uk-UA"/>
        </w:rPr>
        <w:t>4</w:t>
      </w:r>
      <w:r w:rsidRPr="008201B5">
        <w:rPr>
          <w:rFonts w:ascii="Arial" w:eastAsia="Times New Roman" w:hAnsi="Arial" w:cs="Arial"/>
          <w:color w:val="000000" w:themeColor="text1"/>
          <w:sz w:val="20"/>
          <w:szCs w:val="20"/>
          <w:lang w:eastAsia="uk-UA"/>
        </w:rPr>
        <w:t xml:space="preserve"> 2022 increased by </w:t>
      </w:r>
      <w:r w:rsidR="00DB5AAE" w:rsidRPr="000D120B">
        <w:rPr>
          <w:rFonts w:ascii="Arial" w:hAnsi="Arial" w:cs="Arial"/>
          <w:sz w:val="20"/>
          <w:szCs w:val="20"/>
        </w:rPr>
        <w:t>13%</w:t>
      </w:r>
      <w:r w:rsidRPr="008201B5">
        <w:rPr>
          <w:rFonts w:ascii="Arial" w:eastAsia="Times New Roman" w:hAnsi="Arial" w:cs="Arial"/>
          <w:color w:val="000000" w:themeColor="text1"/>
          <w:sz w:val="20"/>
          <w:szCs w:val="20"/>
          <w:lang w:eastAsia="uk-UA"/>
        </w:rPr>
        <w:t xml:space="preserve"> to EUR </w:t>
      </w:r>
      <w:r w:rsidR="00DB5AAE" w:rsidRPr="000D120B">
        <w:rPr>
          <w:rFonts w:ascii="Arial" w:hAnsi="Arial" w:cs="Arial"/>
          <w:sz w:val="20"/>
          <w:szCs w:val="20"/>
        </w:rPr>
        <w:t>3.19</w:t>
      </w:r>
      <w:r w:rsidRPr="008201B5">
        <w:rPr>
          <w:rFonts w:ascii="Arial" w:eastAsia="Times New Roman" w:hAnsi="Arial" w:cs="Arial"/>
          <w:color w:val="000000" w:themeColor="text1"/>
          <w:sz w:val="20"/>
          <w:szCs w:val="20"/>
          <w:lang w:eastAsia="uk-UA"/>
        </w:rPr>
        <w:t>.</w:t>
      </w:r>
    </w:p>
    <w:p w14:paraId="1FD4CC1F" w14:textId="77777777" w:rsidR="009E2878" w:rsidRPr="003E2E1A" w:rsidRDefault="009E2878" w:rsidP="009E2878">
      <w:pPr>
        <w:spacing w:before="120" w:after="120"/>
        <w:jc w:val="both"/>
        <w:rPr>
          <w:rFonts w:ascii="Arial" w:eastAsia="Calibri" w:hAnsi="Arial" w:cs="Arial"/>
          <w:b/>
          <w:bCs/>
          <w:sz w:val="20"/>
          <w:szCs w:val="20"/>
        </w:rPr>
      </w:pPr>
      <w:r w:rsidRPr="003E2E1A">
        <w:rPr>
          <w:rFonts w:ascii="Arial" w:eastAsia="Calibri" w:hAnsi="Arial" w:cs="Arial"/>
          <w:b/>
          <w:bCs/>
          <w:sz w:val="20"/>
          <w:szCs w:val="20"/>
        </w:rPr>
        <w:t>Financial result and trends</w:t>
      </w:r>
    </w:p>
    <w:tbl>
      <w:tblPr>
        <w:tblW w:w="5000" w:type="pct"/>
        <w:tblLayout w:type="fixed"/>
        <w:tblLook w:val="04A0" w:firstRow="1" w:lastRow="0" w:firstColumn="1" w:lastColumn="0" w:noHBand="0" w:noVBand="1"/>
      </w:tblPr>
      <w:tblGrid>
        <w:gridCol w:w="2894"/>
        <w:gridCol w:w="239"/>
        <w:gridCol w:w="975"/>
        <w:gridCol w:w="975"/>
        <w:gridCol w:w="898"/>
        <w:gridCol w:w="828"/>
        <w:gridCol w:w="989"/>
        <w:gridCol w:w="848"/>
        <w:gridCol w:w="803"/>
        <w:gridCol w:w="898"/>
      </w:tblGrid>
      <w:tr w:rsidR="008201B5" w:rsidRPr="008201B5" w14:paraId="2700423E" w14:textId="053C38FA" w:rsidTr="000D120B">
        <w:trPr>
          <w:trHeight w:val="348"/>
          <w:tblHeader/>
        </w:trPr>
        <w:tc>
          <w:tcPr>
            <w:tcW w:w="1398" w:type="pct"/>
            <w:tcBorders>
              <w:top w:val="single" w:sz="12" w:space="0" w:color="auto"/>
              <w:bottom w:val="single" w:sz="12" w:space="0" w:color="auto"/>
            </w:tcBorders>
            <w:shd w:val="clear" w:color="auto" w:fill="auto"/>
            <w:noWrap/>
            <w:vAlign w:val="center"/>
            <w:hideMark/>
          </w:tcPr>
          <w:p w14:paraId="346DB7D2" w14:textId="77777777" w:rsidR="00E9448B" w:rsidRPr="008201B5" w:rsidRDefault="00E9448B" w:rsidP="00E9448B">
            <w:pPr>
              <w:spacing w:after="0" w:line="240" w:lineRule="auto"/>
              <w:jc w:val="both"/>
              <w:rPr>
                <w:rFonts w:ascii="Arial" w:eastAsia="Times New Roman" w:hAnsi="Arial" w:cs="Arial"/>
                <w:color w:val="000000"/>
                <w:sz w:val="20"/>
                <w:szCs w:val="20"/>
                <w:lang w:eastAsia="ru-RU"/>
              </w:rPr>
            </w:pPr>
            <w:r w:rsidRPr="008201B5">
              <w:rPr>
                <w:rFonts w:ascii="Arial" w:eastAsia="Times New Roman" w:hAnsi="Arial" w:cs="Arial"/>
                <w:i/>
                <w:color w:val="000000"/>
                <w:sz w:val="20"/>
                <w:szCs w:val="20"/>
                <w:lang w:eastAsia="ru-RU"/>
              </w:rPr>
              <w:t xml:space="preserve">(in </w:t>
            </w:r>
            <w:proofErr w:type="spellStart"/>
            <w:r w:rsidRPr="008201B5">
              <w:rPr>
                <w:rFonts w:ascii="Arial" w:eastAsia="Times New Roman" w:hAnsi="Arial" w:cs="Arial"/>
                <w:i/>
                <w:color w:val="000000"/>
                <w:sz w:val="20"/>
                <w:szCs w:val="20"/>
                <w:lang w:eastAsia="ru-RU"/>
              </w:rPr>
              <w:t>mln</w:t>
            </w:r>
            <w:proofErr w:type="spellEnd"/>
            <w:r w:rsidRPr="008201B5">
              <w:rPr>
                <w:rFonts w:ascii="Arial" w:eastAsia="Times New Roman" w:hAnsi="Arial" w:cs="Arial"/>
                <w:i/>
                <w:color w:val="000000"/>
                <w:sz w:val="20"/>
                <w:szCs w:val="20"/>
                <w:lang w:eastAsia="ru-RU"/>
              </w:rPr>
              <w:t>. US$, except margin data)</w:t>
            </w:r>
            <w:r w:rsidRPr="008201B5">
              <w:rPr>
                <w:rFonts w:ascii="Arial" w:eastAsia="Times New Roman" w:hAnsi="Arial" w:cs="Arial"/>
                <w:color w:val="000000"/>
                <w:sz w:val="20"/>
                <w:szCs w:val="20"/>
                <w:lang w:eastAsia="ru-RU"/>
              </w:rPr>
              <w:t xml:space="preserve"> </w:t>
            </w:r>
          </w:p>
        </w:tc>
        <w:tc>
          <w:tcPr>
            <w:tcW w:w="115" w:type="pct"/>
          </w:tcPr>
          <w:p w14:paraId="7031B320"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71" w:type="pct"/>
            <w:tcBorders>
              <w:top w:val="single" w:sz="12" w:space="0" w:color="auto"/>
              <w:bottom w:val="single" w:sz="12" w:space="0" w:color="auto"/>
            </w:tcBorders>
            <w:shd w:val="clear" w:color="auto" w:fill="auto"/>
            <w:noWrap/>
            <w:vAlign w:val="center"/>
            <w:hideMark/>
          </w:tcPr>
          <w:p w14:paraId="3DB1C989" w14:textId="30DD05BC"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r w:rsidRPr="008201B5">
              <w:rPr>
                <w:rFonts w:ascii="Arial" w:eastAsia="Times New Roman" w:hAnsi="Arial" w:cs="Arial"/>
                <w:b/>
                <w:bCs/>
                <w:color w:val="000000"/>
                <w:sz w:val="20"/>
                <w:szCs w:val="20"/>
                <w:lang w:eastAsia="ru-RU"/>
              </w:rPr>
              <w:t>Q</w:t>
            </w:r>
            <w:r w:rsidR="00D2118D" w:rsidRPr="008201B5">
              <w:rPr>
                <w:rFonts w:ascii="Arial" w:eastAsia="Times New Roman" w:hAnsi="Arial" w:cs="Arial"/>
                <w:b/>
                <w:bCs/>
                <w:color w:val="000000"/>
                <w:sz w:val="20"/>
                <w:szCs w:val="20"/>
                <w:lang w:eastAsia="ru-RU"/>
              </w:rPr>
              <w:t>4</w:t>
            </w:r>
            <w:r w:rsidRPr="008201B5">
              <w:rPr>
                <w:rFonts w:ascii="Arial" w:eastAsia="Times New Roman" w:hAnsi="Arial" w:cs="Arial"/>
                <w:b/>
                <w:bCs/>
                <w:color w:val="000000"/>
                <w:sz w:val="20"/>
                <w:szCs w:val="20"/>
                <w:lang w:eastAsia="ru-RU"/>
              </w:rPr>
              <w:t xml:space="preserve"> 2022</w:t>
            </w:r>
          </w:p>
        </w:tc>
        <w:tc>
          <w:tcPr>
            <w:tcW w:w="471" w:type="pct"/>
            <w:tcBorders>
              <w:top w:val="single" w:sz="12" w:space="0" w:color="auto"/>
              <w:bottom w:val="single" w:sz="12" w:space="0" w:color="auto"/>
            </w:tcBorders>
            <w:shd w:val="clear" w:color="auto" w:fill="auto"/>
            <w:noWrap/>
            <w:vAlign w:val="center"/>
            <w:hideMark/>
          </w:tcPr>
          <w:p w14:paraId="152D2EC2" w14:textId="511219AF"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r w:rsidRPr="008201B5">
              <w:rPr>
                <w:rFonts w:ascii="Arial" w:eastAsia="Times New Roman" w:hAnsi="Arial" w:cs="Arial"/>
                <w:b/>
                <w:bCs/>
                <w:color w:val="000000"/>
                <w:sz w:val="20"/>
                <w:szCs w:val="20"/>
                <w:lang w:eastAsia="ru-RU"/>
              </w:rPr>
              <w:t>Q</w:t>
            </w:r>
            <w:r w:rsidR="00D2118D" w:rsidRPr="008201B5">
              <w:rPr>
                <w:rFonts w:ascii="Arial" w:eastAsia="Times New Roman" w:hAnsi="Arial" w:cs="Arial"/>
                <w:b/>
                <w:bCs/>
                <w:color w:val="000000"/>
                <w:sz w:val="20"/>
                <w:szCs w:val="20"/>
                <w:lang w:eastAsia="ru-RU"/>
              </w:rPr>
              <w:t>4</w:t>
            </w:r>
            <w:r w:rsidRPr="008201B5">
              <w:rPr>
                <w:rFonts w:ascii="Arial" w:eastAsia="Times New Roman" w:hAnsi="Arial" w:cs="Arial"/>
                <w:b/>
                <w:bCs/>
                <w:color w:val="000000"/>
                <w:sz w:val="20"/>
                <w:szCs w:val="20"/>
                <w:lang w:eastAsia="ru-RU"/>
              </w:rPr>
              <w:t xml:space="preserve"> 2021</w:t>
            </w:r>
          </w:p>
        </w:tc>
        <w:tc>
          <w:tcPr>
            <w:tcW w:w="434" w:type="pct"/>
            <w:tcBorders>
              <w:top w:val="single" w:sz="12" w:space="0" w:color="auto"/>
              <w:bottom w:val="single" w:sz="12" w:space="0" w:color="auto"/>
            </w:tcBorders>
            <w:vAlign w:val="center"/>
          </w:tcPr>
          <w:p w14:paraId="3C36A49C" w14:textId="6F164440" w:rsidR="00E9448B" w:rsidRPr="008201B5" w:rsidRDefault="00E9448B" w:rsidP="00E9448B">
            <w:pPr>
              <w:spacing w:after="0" w:line="240" w:lineRule="auto"/>
              <w:jc w:val="right"/>
              <w:rPr>
                <w:rFonts w:ascii="Arial" w:eastAsia="Times New Roman" w:hAnsi="Arial" w:cs="Arial"/>
                <w:b/>
                <w:bCs/>
                <w:i/>
                <w:iCs/>
                <w:color w:val="000000"/>
                <w:sz w:val="20"/>
                <w:szCs w:val="20"/>
                <w:lang w:eastAsia="ru-RU"/>
              </w:rPr>
            </w:pPr>
            <w:r w:rsidRPr="008201B5">
              <w:rPr>
                <w:rFonts w:ascii="Arial" w:eastAsia="Times New Roman" w:hAnsi="Arial" w:cs="Arial"/>
                <w:i/>
                <w:color w:val="000000"/>
                <w:sz w:val="20"/>
                <w:szCs w:val="20"/>
                <w:lang w:eastAsia="ru-RU"/>
              </w:rPr>
              <w:t>% change y/y</w:t>
            </w:r>
            <w:r w:rsidRPr="008201B5">
              <w:rPr>
                <w:rFonts w:ascii="Arial" w:eastAsia="Times New Roman" w:hAnsi="Arial" w:cs="Arial"/>
                <w:i/>
                <w:color w:val="000000"/>
                <w:sz w:val="20"/>
                <w:szCs w:val="20"/>
                <w:vertAlign w:val="superscript"/>
                <w:lang w:eastAsia="ru-RU"/>
              </w:rPr>
              <w:t>1)</w:t>
            </w:r>
          </w:p>
        </w:tc>
        <w:tc>
          <w:tcPr>
            <w:tcW w:w="400" w:type="pct"/>
            <w:tcBorders>
              <w:top w:val="single" w:sz="12" w:space="0" w:color="auto"/>
              <w:bottom w:val="single" w:sz="12" w:space="0" w:color="auto"/>
            </w:tcBorders>
            <w:vAlign w:val="center"/>
          </w:tcPr>
          <w:p w14:paraId="2AC9BCF3" w14:textId="725A9EB1" w:rsidR="00E9448B" w:rsidRPr="008201B5" w:rsidRDefault="00E9448B" w:rsidP="00E9448B">
            <w:pPr>
              <w:spacing w:after="0" w:line="240" w:lineRule="auto"/>
              <w:jc w:val="right"/>
              <w:rPr>
                <w:rFonts w:ascii="Arial" w:eastAsia="Times New Roman" w:hAnsi="Arial" w:cs="Arial"/>
                <w:i/>
                <w:iCs/>
                <w:color w:val="000000"/>
                <w:sz w:val="20"/>
                <w:szCs w:val="20"/>
                <w:lang w:eastAsia="ru-RU"/>
              </w:rPr>
            </w:pPr>
            <w:r w:rsidRPr="008201B5">
              <w:rPr>
                <w:rFonts w:ascii="Arial" w:eastAsia="Times New Roman" w:hAnsi="Arial" w:cs="Arial"/>
                <w:b/>
                <w:color w:val="000000"/>
                <w:sz w:val="20"/>
                <w:szCs w:val="20"/>
                <w:lang w:eastAsia="ru-RU"/>
              </w:rPr>
              <w:t>Q</w:t>
            </w:r>
            <w:r w:rsidR="00D2118D" w:rsidRPr="008201B5">
              <w:rPr>
                <w:rFonts w:ascii="Arial" w:eastAsia="Times New Roman" w:hAnsi="Arial" w:cs="Arial"/>
                <w:b/>
                <w:color w:val="000000"/>
                <w:sz w:val="20"/>
                <w:szCs w:val="20"/>
                <w:lang w:eastAsia="ru-RU"/>
              </w:rPr>
              <w:t>3</w:t>
            </w:r>
            <w:r w:rsidRPr="008201B5">
              <w:rPr>
                <w:rFonts w:ascii="Arial" w:eastAsia="Times New Roman" w:hAnsi="Arial" w:cs="Arial"/>
                <w:b/>
                <w:color w:val="000000"/>
                <w:sz w:val="20"/>
                <w:szCs w:val="20"/>
                <w:lang w:eastAsia="ru-RU"/>
              </w:rPr>
              <w:t xml:space="preserve"> 2022</w:t>
            </w:r>
          </w:p>
        </w:tc>
        <w:tc>
          <w:tcPr>
            <w:tcW w:w="478" w:type="pct"/>
            <w:tcBorders>
              <w:top w:val="single" w:sz="12" w:space="0" w:color="auto"/>
              <w:bottom w:val="single" w:sz="12" w:space="0" w:color="auto"/>
            </w:tcBorders>
            <w:vAlign w:val="center"/>
          </w:tcPr>
          <w:p w14:paraId="55794009" w14:textId="2D088561" w:rsidR="00E9448B" w:rsidRPr="008201B5" w:rsidRDefault="00E9448B" w:rsidP="00E9448B">
            <w:pPr>
              <w:spacing w:after="0" w:line="240" w:lineRule="auto"/>
              <w:jc w:val="right"/>
              <w:rPr>
                <w:rFonts w:ascii="Arial" w:eastAsia="Times New Roman" w:hAnsi="Arial" w:cs="Arial"/>
                <w:i/>
                <w:iCs/>
                <w:color w:val="000000"/>
                <w:sz w:val="20"/>
                <w:szCs w:val="20"/>
                <w:lang w:eastAsia="ru-RU"/>
              </w:rPr>
            </w:pPr>
            <w:r w:rsidRPr="008201B5">
              <w:rPr>
                <w:rFonts w:ascii="Arial" w:eastAsia="Times New Roman" w:hAnsi="Arial" w:cs="Arial"/>
                <w:i/>
                <w:color w:val="000000"/>
                <w:sz w:val="20"/>
                <w:szCs w:val="20"/>
                <w:lang w:eastAsia="ru-RU"/>
              </w:rPr>
              <w:t>% change q/q</w:t>
            </w:r>
            <w:r w:rsidRPr="008201B5">
              <w:rPr>
                <w:rFonts w:ascii="Arial" w:eastAsia="Times New Roman" w:hAnsi="Arial" w:cs="Arial"/>
                <w:i/>
                <w:color w:val="000000"/>
                <w:sz w:val="20"/>
                <w:szCs w:val="20"/>
                <w:vertAlign w:val="superscript"/>
                <w:lang w:eastAsia="ru-RU"/>
              </w:rPr>
              <w:t>1)</w:t>
            </w:r>
          </w:p>
        </w:tc>
        <w:tc>
          <w:tcPr>
            <w:tcW w:w="410" w:type="pct"/>
            <w:tcBorders>
              <w:top w:val="single" w:sz="12" w:space="0" w:color="auto"/>
              <w:bottom w:val="single" w:sz="12" w:space="0" w:color="auto"/>
            </w:tcBorders>
          </w:tcPr>
          <w:p w14:paraId="368F7A11" w14:textId="53AAA33D" w:rsidR="00E9448B" w:rsidRPr="008201B5" w:rsidRDefault="00D2118D" w:rsidP="00E9448B">
            <w:pPr>
              <w:spacing w:after="0" w:line="240" w:lineRule="auto"/>
              <w:jc w:val="right"/>
              <w:rPr>
                <w:rFonts w:ascii="Arial" w:eastAsia="Times New Roman" w:hAnsi="Arial" w:cs="Arial"/>
                <w:i/>
                <w:color w:val="000000"/>
                <w:sz w:val="20"/>
                <w:szCs w:val="20"/>
                <w:lang w:eastAsia="ru-RU"/>
              </w:rPr>
            </w:pPr>
            <w:r w:rsidRPr="008201B5">
              <w:rPr>
                <w:rFonts w:ascii="Arial" w:eastAsia="Times New Roman" w:hAnsi="Arial" w:cs="Arial"/>
                <w:b/>
                <w:bCs/>
                <w:color w:val="000000"/>
                <w:sz w:val="20"/>
                <w:szCs w:val="20"/>
                <w:lang w:eastAsia="ru-RU"/>
              </w:rPr>
              <w:t>12</w:t>
            </w:r>
            <w:r w:rsidR="007C51B3" w:rsidRPr="008201B5">
              <w:rPr>
                <w:rFonts w:ascii="Arial" w:eastAsia="Times New Roman" w:hAnsi="Arial" w:cs="Arial"/>
                <w:b/>
                <w:bCs/>
                <w:color w:val="000000"/>
                <w:sz w:val="20"/>
                <w:szCs w:val="20"/>
                <w:lang w:eastAsia="ru-RU"/>
              </w:rPr>
              <w:t>M</w:t>
            </w:r>
            <w:r w:rsidR="00E9448B" w:rsidRPr="008201B5">
              <w:rPr>
                <w:rFonts w:ascii="Arial" w:eastAsia="Times New Roman" w:hAnsi="Arial" w:cs="Arial"/>
                <w:b/>
                <w:bCs/>
                <w:color w:val="000000"/>
                <w:sz w:val="20"/>
                <w:szCs w:val="20"/>
                <w:lang w:eastAsia="ru-RU"/>
              </w:rPr>
              <w:t xml:space="preserve"> 2022</w:t>
            </w:r>
          </w:p>
        </w:tc>
        <w:tc>
          <w:tcPr>
            <w:tcW w:w="388" w:type="pct"/>
            <w:tcBorders>
              <w:top w:val="single" w:sz="12" w:space="0" w:color="auto"/>
              <w:bottom w:val="single" w:sz="12" w:space="0" w:color="auto"/>
            </w:tcBorders>
          </w:tcPr>
          <w:p w14:paraId="6304750F" w14:textId="25330DF1" w:rsidR="00E9448B" w:rsidRPr="008201B5" w:rsidRDefault="00D2118D" w:rsidP="00E9448B">
            <w:pPr>
              <w:spacing w:after="0" w:line="240" w:lineRule="auto"/>
              <w:jc w:val="right"/>
              <w:rPr>
                <w:rFonts w:ascii="Arial" w:eastAsia="Times New Roman" w:hAnsi="Arial" w:cs="Arial"/>
                <w:i/>
                <w:color w:val="000000"/>
                <w:sz w:val="20"/>
                <w:szCs w:val="20"/>
                <w:lang w:eastAsia="ru-RU"/>
              </w:rPr>
            </w:pPr>
            <w:r w:rsidRPr="008201B5">
              <w:rPr>
                <w:rFonts w:ascii="Arial" w:eastAsia="Times New Roman" w:hAnsi="Arial" w:cs="Arial"/>
                <w:b/>
                <w:bCs/>
                <w:color w:val="000000"/>
                <w:sz w:val="20"/>
                <w:szCs w:val="20"/>
                <w:lang w:eastAsia="ru-RU"/>
              </w:rPr>
              <w:t>12</w:t>
            </w:r>
            <w:r w:rsidR="007C51B3" w:rsidRPr="008201B5">
              <w:rPr>
                <w:rFonts w:ascii="Arial" w:eastAsia="Times New Roman" w:hAnsi="Arial" w:cs="Arial"/>
                <w:b/>
                <w:bCs/>
                <w:color w:val="000000"/>
                <w:sz w:val="20"/>
                <w:szCs w:val="20"/>
                <w:lang w:eastAsia="ru-RU"/>
              </w:rPr>
              <w:t>M</w:t>
            </w:r>
            <w:r w:rsidR="00E9448B" w:rsidRPr="008201B5">
              <w:rPr>
                <w:rFonts w:ascii="Arial" w:eastAsia="Times New Roman" w:hAnsi="Arial" w:cs="Arial"/>
                <w:b/>
                <w:bCs/>
                <w:color w:val="000000"/>
                <w:sz w:val="20"/>
                <w:szCs w:val="20"/>
                <w:lang w:eastAsia="ru-RU"/>
              </w:rPr>
              <w:t xml:space="preserve"> 2021</w:t>
            </w:r>
          </w:p>
        </w:tc>
        <w:tc>
          <w:tcPr>
            <w:tcW w:w="434" w:type="pct"/>
            <w:tcBorders>
              <w:top w:val="single" w:sz="12" w:space="0" w:color="auto"/>
              <w:bottom w:val="single" w:sz="12" w:space="0" w:color="auto"/>
            </w:tcBorders>
          </w:tcPr>
          <w:p w14:paraId="72627D59" w14:textId="251AA554" w:rsidR="00E9448B" w:rsidRPr="008201B5" w:rsidRDefault="00E9448B" w:rsidP="00E9448B">
            <w:pPr>
              <w:spacing w:after="0" w:line="240" w:lineRule="auto"/>
              <w:jc w:val="right"/>
              <w:rPr>
                <w:rFonts w:ascii="Arial" w:eastAsia="Times New Roman" w:hAnsi="Arial" w:cs="Arial"/>
                <w:i/>
                <w:color w:val="000000"/>
                <w:sz w:val="20"/>
                <w:szCs w:val="20"/>
                <w:lang w:eastAsia="ru-RU"/>
              </w:rPr>
            </w:pPr>
            <w:r w:rsidRPr="008201B5">
              <w:rPr>
                <w:rFonts w:ascii="Arial" w:eastAsia="Times New Roman" w:hAnsi="Arial" w:cs="Arial"/>
                <w:bCs/>
                <w:color w:val="000000"/>
                <w:sz w:val="20"/>
                <w:szCs w:val="20"/>
                <w:lang w:eastAsia="ru-RU"/>
              </w:rPr>
              <w:t>% change</w:t>
            </w:r>
            <w:r w:rsidR="0050198D" w:rsidRPr="008201B5">
              <w:rPr>
                <w:rFonts w:ascii="Arial" w:eastAsia="Times New Roman" w:hAnsi="Arial" w:cs="Arial"/>
                <w:bCs/>
                <w:color w:val="000000"/>
                <w:sz w:val="20"/>
                <w:szCs w:val="20"/>
                <w:lang w:eastAsia="ru-RU"/>
              </w:rPr>
              <w:t xml:space="preserve"> y/y</w:t>
            </w:r>
          </w:p>
        </w:tc>
      </w:tr>
      <w:tr w:rsidR="008201B5" w:rsidRPr="008201B5" w14:paraId="4BE3EE7C" w14:textId="476FB7D1" w:rsidTr="000D120B">
        <w:trPr>
          <w:trHeight w:hRule="exact" w:val="141"/>
        </w:trPr>
        <w:tc>
          <w:tcPr>
            <w:tcW w:w="1398" w:type="pct"/>
            <w:tcBorders>
              <w:top w:val="single" w:sz="12" w:space="0" w:color="auto"/>
            </w:tcBorders>
            <w:shd w:val="clear" w:color="auto" w:fill="auto"/>
            <w:noWrap/>
            <w:vAlign w:val="center"/>
          </w:tcPr>
          <w:p w14:paraId="4FFA1A51" w14:textId="77777777" w:rsidR="00E9448B" w:rsidRPr="008201B5" w:rsidRDefault="00E9448B" w:rsidP="00E9448B">
            <w:pPr>
              <w:spacing w:after="0" w:line="240" w:lineRule="auto"/>
              <w:jc w:val="both"/>
              <w:rPr>
                <w:rFonts w:ascii="Arial" w:eastAsia="Times New Roman" w:hAnsi="Arial" w:cs="Arial"/>
                <w:b/>
                <w:bCs/>
                <w:color w:val="000000"/>
                <w:sz w:val="20"/>
                <w:szCs w:val="20"/>
                <w:lang w:eastAsia="ru-RU"/>
              </w:rPr>
            </w:pPr>
          </w:p>
        </w:tc>
        <w:tc>
          <w:tcPr>
            <w:tcW w:w="115" w:type="pct"/>
          </w:tcPr>
          <w:p w14:paraId="48D06E71"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71" w:type="pct"/>
            <w:tcBorders>
              <w:top w:val="single" w:sz="12" w:space="0" w:color="auto"/>
            </w:tcBorders>
            <w:shd w:val="clear" w:color="auto" w:fill="auto"/>
            <w:noWrap/>
            <w:vAlign w:val="center"/>
          </w:tcPr>
          <w:p w14:paraId="7F29B6CB"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71" w:type="pct"/>
            <w:tcBorders>
              <w:top w:val="single" w:sz="12" w:space="0" w:color="auto"/>
            </w:tcBorders>
            <w:shd w:val="clear" w:color="auto" w:fill="auto"/>
            <w:noWrap/>
            <w:vAlign w:val="center"/>
          </w:tcPr>
          <w:p w14:paraId="59F115D9"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34" w:type="pct"/>
            <w:tcBorders>
              <w:top w:val="single" w:sz="12" w:space="0" w:color="auto"/>
            </w:tcBorders>
            <w:vAlign w:val="center"/>
          </w:tcPr>
          <w:p w14:paraId="16D8F212"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00" w:type="pct"/>
            <w:tcBorders>
              <w:top w:val="single" w:sz="12" w:space="0" w:color="auto"/>
            </w:tcBorders>
          </w:tcPr>
          <w:p w14:paraId="1725ED3F"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78" w:type="pct"/>
            <w:tcBorders>
              <w:top w:val="single" w:sz="12" w:space="0" w:color="auto"/>
            </w:tcBorders>
          </w:tcPr>
          <w:p w14:paraId="6EBFA27E"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10" w:type="pct"/>
            <w:tcBorders>
              <w:top w:val="single" w:sz="12" w:space="0" w:color="auto"/>
            </w:tcBorders>
          </w:tcPr>
          <w:p w14:paraId="004EDC7A"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388" w:type="pct"/>
            <w:tcBorders>
              <w:top w:val="single" w:sz="12" w:space="0" w:color="auto"/>
            </w:tcBorders>
          </w:tcPr>
          <w:p w14:paraId="02A089BF"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34" w:type="pct"/>
            <w:tcBorders>
              <w:top w:val="single" w:sz="12" w:space="0" w:color="auto"/>
            </w:tcBorders>
          </w:tcPr>
          <w:p w14:paraId="23EBA9C4"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r>
      <w:tr w:rsidR="008201B5" w:rsidRPr="008201B5" w14:paraId="364E5AD2" w14:textId="22DC79B4" w:rsidTr="000D120B">
        <w:trPr>
          <w:trHeight w:val="266"/>
        </w:trPr>
        <w:tc>
          <w:tcPr>
            <w:tcW w:w="1398" w:type="pct"/>
            <w:shd w:val="clear" w:color="auto" w:fill="auto"/>
            <w:noWrap/>
            <w:vAlign w:val="center"/>
            <w:hideMark/>
          </w:tcPr>
          <w:p w14:paraId="0240DAD9" w14:textId="77777777" w:rsidR="00E9448B" w:rsidRPr="008201B5" w:rsidRDefault="00E9448B" w:rsidP="00E9448B">
            <w:pPr>
              <w:spacing w:after="0" w:line="240" w:lineRule="auto"/>
              <w:jc w:val="both"/>
              <w:rPr>
                <w:rFonts w:ascii="Arial" w:eastAsia="Times New Roman" w:hAnsi="Arial" w:cs="Arial"/>
                <w:b/>
                <w:bCs/>
                <w:color w:val="000000"/>
                <w:sz w:val="20"/>
                <w:szCs w:val="20"/>
                <w:lang w:eastAsia="ru-RU"/>
              </w:rPr>
            </w:pPr>
            <w:r w:rsidRPr="008201B5">
              <w:rPr>
                <w:rFonts w:ascii="Arial" w:eastAsia="Times New Roman" w:hAnsi="Arial" w:cs="Arial"/>
                <w:b/>
                <w:bCs/>
                <w:color w:val="000000"/>
                <w:sz w:val="20"/>
                <w:szCs w:val="20"/>
                <w:lang w:eastAsia="ru-RU"/>
              </w:rPr>
              <w:t xml:space="preserve">Revenue </w:t>
            </w:r>
          </w:p>
        </w:tc>
        <w:tc>
          <w:tcPr>
            <w:tcW w:w="115" w:type="pct"/>
          </w:tcPr>
          <w:p w14:paraId="0D187B78"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71" w:type="pct"/>
            <w:shd w:val="clear" w:color="auto" w:fill="auto"/>
            <w:noWrap/>
            <w:vAlign w:val="center"/>
          </w:tcPr>
          <w:p w14:paraId="7F456CC1" w14:textId="7AE2CEC6"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118 </w:t>
            </w:r>
            <w:r w:rsidRPr="003875B6">
              <w:rPr>
                <w:rFonts w:ascii="Arial" w:hAnsi="Arial" w:cs="Arial"/>
                <w:b/>
                <w:bCs/>
                <w:sz w:val="20"/>
                <w:szCs w:val="20"/>
              </w:rPr>
              <w:t xml:space="preserve"> </w:t>
            </w:r>
          </w:p>
        </w:tc>
        <w:tc>
          <w:tcPr>
            <w:tcW w:w="471" w:type="pct"/>
            <w:shd w:val="clear" w:color="auto" w:fill="auto"/>
            <w:noWrap/>
            <w:vAlign w:val="center"/>
          </w:tcPr>
          <w:p w14:paraId="7487E1EF" w14:textId="53902CEA"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100 </w:t>
            </w:r>
            <w:r w:rsidRPr="003875B6">
              <w:rPr>
                <w:rFonts w:ascii="Arial" w:hAnsi="Arial" w:cs="Arial"/>
                <w:b/>
                <w:bCs/>
                <w:sz w:val="20"/>
                <w:szCs w:val="20"/>
              </w:rPr>
              <w:t xml:space="preserve"> </w:t>
            </w:r>
          </w:p>
        </w:tc>
        <w:tc>
          <w:tcPr>
            <w:tcW w:w="434" w:type="pct"/>
            <w:vAlign w:val="center"/>
          </w:tcPr>
          <w:p w14:paraId="1AC275B3" w14:textId="31D758E8"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18%</w:t>
            </w:r>
          </w:p>
        </w:tc>
        <w:tc>
          <w:tcPr>
            <w:tcW w:w="400" w:type="pct"/>
            <w:vAlign w:val="center"/>
          </w:tcPr>
          <w:p w14:paraId="3E34C851" w14:textId="2E9CB901"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121 </w:t>
            </w:r>
            <w:r w:rsidRPr="003875B6">
              <w:rPr>
                <w:rFonts w:ascii="Arial" w:hAnsi="Arial" w:cs="Arial"/>
                <w:b/>
                <w:bCs/>
                <w:sz w:val="20"/>
                <w:szCs w:val="20"/>
              </w:rPr>
              <w:t xml:space="preserve"> </w:t>
            </w:r>
          </w:p>
        </w:tc>
        <w:tc>
          <w:tcPr>
            <w:tcW w:w="478" w:type="pct"/>
            <w:vAlign w:val="center"/>
          </w:tcPr>
          <w:p w14:paraId="7B351A7B" w14:textId="53EBD2D0"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-2%</w:t>
            </w:r>
          </w:p>
        </w:tc>
        <w:tc>
          <w:tcPr>
            <w:tcW w:w="410" w:type="pct"/>
          </w:tcPr>
          <w:p w14:paraId="29448BF0" w14:textId="5D58F579"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464 </w:t>
            </w:r>
            <w:r w:rsidRPr="003875B6">
              <w:rPr>
                <w:rFonts w:ascii="Arial" w:hAnsi="Arial" w:cs="Arial"/>
                <w:b/>
                <w:bCs/>
                <w:sz w:val="20"/>
                <w:szCs w:val="20"/>
              </w:rPr>
              <w:t xml:space="preserve"> </w:t>
            </w:r>
          </w:p>
        </w:tc>
        <w:tc>
          <w:tcPr>
            <w:tcW w:w="388" w:type="pct"/>
          </w:tcPr>
          <w:p w14:paraId="67AFC968" w14:textId="1727CF71"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 xml:space="preserve"> 401 </w:t>
            </w:r>
          </w:p>
        </w:tc>
        <w:tc>
          <w:tcPr>
            <w:tcW w:w="434" w:type="pct"/>
          </w:tcPr>
          <w:p w14:paraId="7F35BC63" w14:textId="6148B4F0"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16%</w:t>
            </w:r>
          </w:p>
        </w:tc>
      </w:tr>
      <w:tr w:rsidR="008201B5" w:rsidRPr="008201B5" w14:paraId="3E7F46DD" w14:textId="4B89258A" w:rsidTr="000D120B">
        <w:trPr>
          <w:trHeight w:val="266"/>
        </w:trPr>
        <w:tc>
          <w:tcPr>
            <w:tcW w:w="1398" w:type="pct"/>
            <w:tcBorders>
              <w:bottom w:val="single" w:sz="4" w:space="0" w:color="auto"/>
            </w:tcBorders>
            <w:shd w:val="clear" w:color="auto" w:fill="auto"/>
            <w:noWrap/>
            <w:vAlign w:val="center"/>
            <w:hideMark/>
          </w:tcPr>
          <w:p w14:paraId="5FAC2BDD" w14:textId="2384D64E" w:rsidR="00E9448B" w:rsidRPr="008201B5" w:rsidRDefault="00E9448B" w:rsidP="00E9448B">
            <w:pPr>
              <w:spacing w:after="0" w:line="240" w:lineRule="auto"/>
              <w:rPr>
                <w:rFonts w:ascii="Arial" w:eastAsia="Times New Roman" w:hAnsi="Arial" w:cs="Arial"/>
                <w:color w:val="000000"/>
                <w:sz w:val="20"/>
                <w:szCs w:val="20"/>
                <w:lang w:eastAsia="ru-RU"/>
              </w:rPr>
            </w:pPr>
            <w:r w:rsidRPr="008201B5">
              <w:rPr>
                <w:rFonts w:ascii="Arial" w:eastAsia="Times New Roman" w:hAnsi="Arial" w:cs="Arial"/>
                <w:color w:val="000000"/>
                <w:sz w:val="20"/>
                <w:szCs w:val="20"/>
                <w:lang w:eastAsia="ru-RU"/>
              </w:rPr>
              <w:t>IAS 41 standard gains</w:t>
            </w:r>
          </w:p>
        </w:tc>
        <w:tc>
          <w:tcPr>
            <w:tcW w:w="115" w:type="pct"/>
          </w:tcPr>
          <w:p w14:paraId="6B1B9420" w14:textId="77777777" w:rsidR="00E9448B" w:rsidRPr="008201B5" w:rsidRDefault="00E9448B" w:rsidP="00E9448B">
            <w:pPr>
              <w:spacing w:after="0" w:line="240" w:lineRule="auto"/>
              <w:jc w:val="right"/>
              <w:rPr>
                <w:rFonts w:ascii="Arial" w:eastAsia="Times New Roman" w:hAnsi="Arial" w:cs="Arial"/>
                <w:color w:val="000000"/>
                <w:sz w:val="20"/>
                <w:szCs w:val="20"/>
                <w:lang w:eastAsia="ru-RU"/>
              </w:rPr>
            </w:pPr>
          </w:p>
        </w:tc>
        <w:tc>
          <w:tcPr>
            <w:tcW w:w="471" w:type="pct"/>
            <w:tcBorders>
              <w:bottom w:val="single" w:sz="2" w:space="0" w:color="auto"/>
            </w:tcBorders>
            <w:shd w:val="clear" w:color="auto" w:fill="auto"/>
            <w:noWrap/>
            <w:vAlign w:val="center"/>
          </w:tcPr>
          <w:p w14:paraId="1C0E7D79" w14:textId="642DC07F" w:rsidR="00E9448B" w:rsidRPr="008201B5" w:rsidRDefault="00FC6577" w:rsidP="00E9448B">
            <w:pPr>
              <w:spacing w:after="0" w:line="240" w:lineRule="auto"/>
              <w:jc w:val="right"/>
              <w:rPr>
                <w:rFonts w:ascii="Arial" w:hAnsi="Arial" w:cs="Arial"/>
                <w:sz w:val="20"/>
                <w:szCs w:val="20"/>
              </w:rPr>
            </w:pPr>
            <w:r w:rsidRPr="008201B5">
              <w:rPr>
                <w:rFonts w:ascii="Arial" w:hAnsi="Arial" w:cs="Arial"/>
                <w:sz w:val="20"/>
                <w:szCs w:val="20"/>
              </w:rPr>
              <w:t xml:space="preserve"> </w:t>
            </w:r>
            <w:r w:rsidR="00DB5AAE" w:rsidRPr="000D120B">
              <w:rPr>
                <w:rFonts w:ascii="Arial" w:hAnsi="Arial" w:cs="Arial"/>
                <w:sz w:val="20"/>
                <w:szCs w:val="20"/>
              </w:rPr>
              <w:t xml:space="preserve"> (2)</w:t>
            </w:r>
          </w:p>
        </w:tc>
        <w:tc>
          <w:tcPr>
            <w:tcW w:w="471" w:type="pct"/>
            <w:tcBorders>
              <w:bottom w:val="single" w:sz="2" w:space="0" w:color="auto"/>
            </w:tcBorders>
            <w:shd w:val="clear" w:color="auto" w:fill="auto"/>
            <w:noWrap/>
            <w:vAlign w:val="center"/>
          </w:tcPr>
          <w:p w14:paraId="074166DC" w14:textId="723BEC87" w:rsidR="00E9448B" w:rsidRPr="008201B5" w:rsidRDefault="00FC6577" w:rsidP="00E9448B">
            <w:pPr>
              <w:spacing w:after="0" w:line="240" w:lineRule="auto"/>
              <w:jc w:val="right"/>
              <w:rPr>
                <w:rFonts w:ascii="Arial" w:hAnsi="Arial" w:cs="Arial"/>
                <w:sz w:val="20"/>
                <w:szCs w:val="20"/>
              </w:rPr>
            </w:pPr>
            <w:r w:rsidRPr="008201B5">
              <w:rPr>
                <w:rFonts w:ascii="Arial" w:hAnsi="Arial" w:cs="Arial"/>
                <w:sz w:val="20"/>
                <w:szCs w:val="20"/>
              </w:rPr>
              <w:t xml:space="preserve"> </w:t>
            </w:r>
            <w:r w:rsidR="00DB5AAE" w:rsidRPr="000D120B">
              <w:rPr>
                <w:rFonts w:ascii="Arial" w:hAnsi="Arial" w:cs="Arial"/>
                <w:sz w:val="20"/>
                <w:szCs w:val="20"/>
              </w:rPr>
              <w:t xml:space="preserve"> 2 </w:t>
            </w:r>
            <w:r w:rsidRPr="008201B5">
              <w:rPr>
                <w:rFonts w:ascii="Arial" w:hAnsi="Arial" w:cs="Arial"/>
                <w:sz w:val="20"/>
                <w:szCs w:val="20"/>
              </w:rPr>
              <w:t xml:space="preserve"> </w:t>
            </w:r>
          </w:p>
        </w:tc>
        <w:tc>
          <w:tcPr>
            <w:tcW w:w="434" w:type="pct"/>
            <w:tcBorders>
              <w:bottom w:val="single" w:sz="2" w:space="0" w:color="auto"/>
            </w:tcBorders>
            <w:vAlign w:val="center"/>
          </w:tcPr>
          <w:p w14:paraId="0D85A97B" w14:textId="2BC617C1" w:rsidR="00E9448B" w:rsidRPr="008201B5" w:rsidRDefault="00DB5AAE" w:rsidP="00E9448B">
            <w:pPr>
              <w:spacing w:after="0" w:line="240" w:lineRule="auto"/>
              <w:jc w:val="right"/>
              <w:rPr>
                <w:rFonts w:ascii="Arial" w:hAnsi="Arial" w:cs="Arial"/>
                <w:sz w:val="20"/>
                <w:szCs w:val="20"/>
              </w:rPr>
            </w:pPr>
            <w:r w:rsidRPr="000D120B">
              <w:rPr>
                <w:rFonts w:ascii="Arial" w:hAnsi="Arial" w:cs="Arial"/>
                <w:sz w:val="20"/>
                <w:szCs w:val="20"/>
              </w:rPr>
              <w:t>-200%</w:t>
            </w:r>
          </w:p>
        </w:tc>
        <w:tc>
          <w:tcPr>
            <w:tcW w:w="400" w:type="pct"/>
            <w:tcBorders>
              <w:bottom w:val="single" w:sz="2" w:space="0" w:color="auto"/>
            </w:tcBorders>
            <w:vAlign w:val="center"/>
          </w:tcPr>
          <w:p w14:paraId="2DAFCBF3" w14:textId="0A9A0F74" w:rsidR="00E9448B" w:rsidRPr="008201B5" w:rsidRDefault="00FC6577" w:rsidP="00E9448B">
            <w:pPr>
              <w:spacing w:after="0" w:line="240" w:lineRule="auto"/>
              <w:jc w:val="right"/>
              <w:rPr>
                <w:rFonts w:ascii="Arial" w:hAnsi="Arial" w:cs="Arial"/>
                <w:sz w:val="20"/>
                <w:szCs w:val="20"/>
              </w:rPr>
            </w:pPr>
            <w:r w:rsidRPr="008201B5">
              <w:rPr>
                <w:rFonts w:ascii="Arial" w:hAnsi="Arial" w:cs="Arial"/>
                <w:sz w:val="20"/>
                <w:szCs w:val="20"/>
              </w:rPr>
              <w:t xml:space="preserve"> </w:t>
            </w:r>
            <w:r w:rsidR="00DB5AAE" w:rsidRPr="000D120B">
              <w:rPr>
                <w:rFonts w:ascii="Arial" w:hAnsi="Arial" w:cs="Arial"/>
                <w:sz w:val="20"/>
                <w:szCs w:val="20"/>
              </w:rPr>
              <w:t xml:space="preserve"> (1)</w:t>
            </w:r>
            <w:r w:rsidRPr="008201B5">
              <w:rPr>
                <w:rFonts w:ascii="Arial" w:hAnsi="Arial" w:cs="Arial"/>
                <w:sz w:val="20"/>
                <w:szCs w:val="20"/>
              </w:rPr>
              <w:t xml:space="preserve"> </w:t>
            </w:r>
          </w:p>
        </w:tc>
        <w:tc>
          <w:tcPr>
            <w:tcW w:w="478" w:type="pct"/>
            <w:tcBorders>
              <w:bottom w:val="single" w:sz="2" w:space="0" w:color="auto"/>
            </w:tcBorders>
            <w:vAlign w:val="center"/>
          </w:tcPr>
          <w:p w14:paraId="77D10AA0" w14:textId="07C4997E" w:rsidR="00E9448B" w:rsidRPr="008201B5" w:rsidRDefault="00DB5AAE" w:rsidP="00E9448B">
            <w:pPr>
              <w:spacing w:after="0" w:line="240" w:lineRule="auto"/>
              <w:jc w:val="right"/>
              <w:rPr>
                <w:rFonts w:ascii="Arial" w:hAnsi="Arial" w:cs="Arial"/>
                <w:sz w:val="20"/>
                <w:szCs w:val="20"/>
              </w:rPr>
            </w:pPr>
            <w:r w:rsidRPr="000D120B">
              <w:rPr>
                <w:rFonts w:ascii="Arial" w:hAnsi="Arial" w:cs="Arial"/>
                <w:sz w:val="20"/>
                <w:szCs w:val="20"/>
              </w:rPr>
              <w:t>-100%</w:t>
            </w:r>
          </w:p>
        </w:tc>
        <w:tc>
          <w:tcPr>
            <w:tcW w:w="410" w:type="pct"/>
            <w:tcBorders>
              <w:bottom w:val="single" w:sz="2" w:space="0" w:color="auto"/>
            </w:tcBorders>
          </w:tcPr>
          <w:p w14:paraId="713FEE36" w14:textId="27B301A2" w:rsidR="00E9448B" w:rsidRPr="008201B5" w:rsidRDefault="00FC6577" w:rsidP="00E9448B">
            <w:pPr>
              <w:spacing w:after="0" w:line="240" w:lineRule="auto"/>
              <w:jc w:val="right"/>
              <w:rPr>
                <w:rFonts w:ascii="Arial" w:hAnsi="Arial" w:cs="Arial"/>
                <w:sz w:val="20"/>
                <w:szCs w:val="20"/>
              </w:rPr>
            </w:pPr>
            <w:r w:rsidRPr="008201B5">
              <w:rPr>
                <w:rFonts w:ascii="Arial" w:hAnsi="Arial" w:cs="Arial"/>
                <w:sz w:val="20"/>
                <w:szCs w:val="20"/>
              </w:rPr>
              <w:t xml:space="preserve"> </w:t>
            </w:r>
            <w:r w:rsidR="00DB5AAE" w:rsidRPr="000D120B">
              <w:rPr>
                <w:rFonts w:ascii="Arial" w:hAnsi="Arial" w:cs="Arial"/>
                <w:sz w:val="20"/>
                <w:szCs w:val="20"/>
              </w:rPr>
              <w:t xml:space="preserve"> 2 </w:t>
            </w:r>
            <w:r w:rsidRPr="008201B5">
              <w:rPr>
                <w:rFonts w:ascii="Arial" w:hAnsi="Arial" w:cs="Arial"/>
                <w:sz w:val="20"/>
                <w:szCs w:val="20"/>
              </w:rPr>
              <w:t xml:space="preserve"> </w:t>
            </w:r>
          </w:p>
        </w:tc>
        <w:tc>
          <w:tcPr>
            <w:tcW w:w="388" w:type="pct"/>
            <w:tcBorders>
              <w:bottom w:val="single" w:sz="2" w:space="0" w:color="auto"/>
            </w:tcBorders>
          </w:tcPr>
          <w:p w14:paraId="561495A5" w14:textId="11D23374" w:rsidR="00E9448B" w:rsidRPr="008201B5" w:rsidRDefault="00FC6577" w:rsidP="00E9448B">
            <w:pPr>
              <w:spacing w:after="0" w:line="240" w:lineRule="auto"/>
              <w:jc w:val="right"/>
              <w:rPr>
                <w:rFonts w:ascii="Arial" w:hAnsi="Arial" w:cs="Arial"/>
                <w:sz w:val="20"/>
                <w:szCs w:val="20"/>
              </w:rPr>
            </w:pPr>
            <w:r w:rsidRPr="008201B5">
              <w:rPr>
                <w:rFonts w:ascii="Arial" w:hAnsi="Arial" w:cs="Arial"/>
                <w:sz w:val="20"/>
                <w:szCs w:val="20"/>
              </w:rPr>
              <w:t xml:space="preserve"> </w:t>
            </w:r>
            <w:r w:rsidR="00DB5AAE" w:rsidRPr="000D120B">
              <w:rPr>
                <w:rFonts w:ascii="Arial" w:hAnsi="Arial" w:cs="Arial"/>
                <w:sz w:val="20"/>
                <w:szCs w:val="20"/>
              </w:rPr>
              <w:t xml:space="preserve"> 3 </w:t>
            </w:r>
            <w:r w:rsidRPr="008201B5">
              <w:rPr>
                <w:rFonts w:ascii="Arial" w:hAnsi="Arial" w:cs="Arial"/>
                <w:sz w:val="20"/>
                <w:szCs w:val="20"/>
              </w:rPr>
              <w:t xml:space="preserve"> </w:t>
            </w:r>
          </w:p>
        </w:tc>
        <w:tc>
          <w:tcPr>
            <w:tcW w:w="434" w:type="pct"/>
            <w:tcBorders>
              <w:bottom w:val="single" w:sz="2" w:space="0" w:color="auto"/>
            </w:tcBorders>
          </w:tcPr>
          <w:p w14:paraId="6771F779" w14:textId="190B3CC9" w:rsidR="00E9448B" w:rsidRPr="008201B5" w:rsidRDefault="00DB5AAE" w:rsidP="00E9448B">
            <w:pPr>
              <w:spacing w:after="0" w:line="240" w:lineRule="auto"/>
              <w:jc w:val="right"/>
              <w:rPr>
                <w:rFonts w:ascii="Arial" w:hAnsi="Arial" w:cs="Arial"/>
                <w:sz w:val="20"/>
                <w:szCs w:val="20"/>
              </w:rPr>
            </w:pPr>
            <w:r w:rsidRPr="000D120B">
              <w:rPr>
                <w:rFonts w:ascii="Arial" w:hAnsi="Arial" w:cs="Arial"/>
                <w:sz w:val="20"/>
                <w:szCs w:val="20"/>
              </w:rPr>
              <w:t>-33%</w:t>
            </w:r>
          </w:p>
        </w:tc>
      </w:tr>
      <w:tr w:rsidR="008201B5" w:rsidRPr="008201B5" w14:paraId="528213ED" w14:textId="1A2FBCB8" w:rsidTr="000D120B">
        <w:trPr>
          <w:trHeight w:hRule="exact" w:val="57"/>
        </w:trPr>
        <w:tc>
          <w:tcPr>
            <w:tcW w:w="1398" w:type="pct"/>
            <w:tcBorders>
              <w:top w:val="single" w:sz="4" w:space="0" w:color="auto"/>
              <w:bottom w:val="single" w:sz="2" w:space="0" w:color="auto"/>
            </w:tcBorders>
            <w:shd w:val="clear" w:color="auto" w:fill="auto"/>
            <w:noWrap/>
            <w:vAlign w:val="center"/>
          </w:tcPr>
          <w:p w14:paraId="4DE1F683" w14:textId="77777777" w:rsidR="00E9448B" w:rsidRPr="008201B5" w:rsidRDefault="00E9448B" w:rsidP="00E9448B">
            <w:pPr>
              <w:spacing w:after="0" w:line="240" w:lineRule="auto"/>
              <w:rPr>
                <w:rFonts w:ascii="Arial" w:eastAsia="Times New Roman" w:hAnsi="Arial" w:cs="Arial"/>
                <w:b/>
                <w:bCs/>
                <w:color w:val="000000"/>
                <w:sz w:val="20"/>
                <w:szCs w:val="20"/>
                <w:lang w:eastAsia="ru-RU"/>
              </w:rPr>
            </w:pPr>
          </w:p>
        </w:tc>
        <w:tc>
          <w:tcPr>
            <w:tcW w:w="115" w:type="pct"/>
          </w:tcPr>
          <w:p w14:paraId="70BAF018"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71" w:type="pct"/>
            <w:tcBorders>
              <w:bottom w:val="single" w:sz="2" w:space="0" w:color="auto"/>
            </w:tcBorders>
            <w:shd w:val="clear" w:color="auto" w:fill="auto"/>
            <w:noWrap/>
            <w:vAlign w:val="center"/>
          </w:tcPr>
          <w:p w14:paraId="4E99AB79" w14:textId="77777777" w:rsidR="00E9448B" w:rsidRPr="008201B5" w:rsidRDefault="00E9448B" w:rsidP="00E9448B">
            <w:pPr>
              <w:spacing w:after="0" w:line="240" w:lineRule="auto"/>
              <w:jc w:val="right"/>
              <w:rPr>
                <w:rFonts w:ascii="Arial" w:hAnsi="Arial" w:cs="Arial"/>
                <w:b/>
                <w:bCs/>
                <w:sz w:val="20"/>
                <w:szCs w:val="20"/>
              </w:rPr>
            </w:pPr>
          </w:p>
        </w:tc>
        <w:tc>
          <w:tcPr>
            <w:tcW w:w="471" w:type="pct"/>
            <w:tcBorders>
              <w:bottom w:val="single" w:sz="2" w:space="0" w:color="auto"/>
            </w:tcBorders>
            <w:shd w:val="clear" w:color="auto" w:fill="auto"/>
            <w:noWrap/>
            <w:vAlign w:val="center"/>
          </w:tcPr>
          <w:p w14:paraId="78542A61" w14:textId="77777777" w:rsidR="00E9448B" w:rsidRPr="008201B5" w:rsidRDefault="00E9448B" w:rsidP="00E9448B">
            <w:pPr>
              <w:spacing w:after="0" w:line="240" w:lineRule="auto"/>
              <w:jc w:val="right"/>
              <w:rPr>
                <w:rFonts w:ascii="Arial" w:hAnsi="Arial" w:cs="Arial"/>
                <w:b/>
                <w:bCs/>
                <w:sz w:val="20"/>
                <w:szCs w:val="20"/>
              </w:rPr>
            </w:pPr>
          </w:p>
        </w:tc>
        <w:tc>
          <w:tcPr>
            <w:tcW w:w="434" w:type="pct"/>
            <w:tcBorders>
              <w:bottom w:val="single" w:sz="2" w:space="0" w:color="auto"/>
            </w:tcBorders>
            <w:vAlign w:val="center"/>
          </w:tcPr>
          <w:p w14:paraId="4FEABAE1" w14:textId="77777777" w:rsidR="00E9448B" w:rsidRPr="008201B5" w:rsidRDefault="00E9448B" w:rsidP="00E9448B">
            <w:pPr>
              <w:spacing w:after="0" w:line="240" w:lineRule="auto"/>
              <w:jc w:val="right"/>
              <w:rPr>
                <w:rFonts w:ascii="Arial" w:hAnsi="Arial" w:cs="Arial"/>
                <w:b/>
                <w:bCs/>
                <w:sz w:val="20"/>
                <w:szCs w:val="20"/>
              </w:rPr>
            </w:pPr>
          </w:p>
        </w:tc>
        <w:tc>
          <w:tcPr>
            <w:tcW w:w="400" w:type="pct"/>
            <w:tcBorders>
              <w:bottom w:val="single" w:sz="2" w:space="0" w:color="auto"/>
            </w:tcBorders>
            <w:vAlign w:val="center"/>
          </w:tcPr>
          <w:p w14:paraId="7B103C73" w14:textId="77777777" w:rsidR="00E9448B" w:rsidRPr="008201B5" w:rsidRDefault="00E9448B" w:rsidP="00E9448B">
            <w:pPr>
              <w:spacing w:after="0" w:line="240" w:lineRule="auto"/>
              <w:jc w:val="right"/>
              <w:rPr>
                <w:rFonts w:ascii="Arial" w:hAnsi="Arial" w:cs="Arial"/>
                <w:b/>
                <w:bCs/>
                <w:sz w:val="20"/>
                <w:szCs w:val="20"/>
              </w:rPr>
            </w:pPr>
          </w:p>
        </w:tc>
        <w:tc>
          <w:tcPr>
            <w:tcW w:w="478" w:type="pct"/>
            <w:tcBorders>
              <w:bottom w:val="single" w:sz="2" w:space="0" w:color="auto"/>
            </w:tcBorders>
            <w:vAlign w:val="center"/>
          </w:tcPr>
          <w:p w14:paraId="38EC0B81" w14:textId="77777777" w:rsidR="00E9448B" w:rsidRPr="008201B5" w:rsidRDefault="00E9448B" w:rsidP="00E9448B">
            <w:pPr>
              <w:spacing w:after="0" w:line="240" w:lineRule="auto"/>
              <w:jc w:val="right"/>
              <w:rPr>
                <w:rFonts w:ascii="Arial" w:hAnsi="Arial" w:cs="Arial"/>
                <w:b/>
                <w:bCs/>
                <w:sz w:val="20"/>
                <w:szCs w:val="20"/>
              </w:rPr>
            </w:pPr>
          </w:p>
        </w:tc>
        <w:tc>
          <w:tcPr>
            <w:tcW w:w="410" w:type="pct"/>
            <w:tcBorders>
              <w:bottom w:val="single" w:sz="2" w:space="0" w:color="auto"/>
            </w:tcBorders>
          </w:tcPr>
          <w:p w14:paraId="431643D0" w14:textId="77777777" w:rsidR="00E9448B" w:rsidRPr="008201B5" w:rsidRDefault="00E9448B" w:rsidP="00E9448B">
            <w:pPr>
              <w:spacing w:after="0" w:line="240" w:lineRule="auto"/>
              <w:jc w:val="right"/>
              <w:rPr>
                <w:rFonts w:ascii="Arial" w:hAnsi="Arial" w:cs="Arial"/>
                <w:b/>
                <w:bCs/>
                <w:sz w:val="20"/>
                <w:szCs w:val="20"/>
              </w:rPr>
            </w:pPr>
          </w:p>
        </w:tc>
        <w:tc>
          <w:tcPr>
            <w:tcW w:w="388" w:type="pct"/>
            <w:tcBorders>
              <w:bottom w:val="single" w:sz="2" w:space="0" w:color="auto"/>
            </w:tcBorders>
          </w:tcPr>
          <w:p w14:paraId="01FAA9BC" w14:textId="77777777" w:rsidR="00E9448B" w:rsidRPr="008201B5" w:rsidRDefault="00E9448B" w:rsidP="00E9448B">
            <w:pPr>
              <w:spacing w:after="0" w:line="240" w:lineRule="auto"/>
              <w:jc w:val="right"/>
              <w:rPr>
                <w:rFonts w:ascii="Arial" w:hAnsi="Arial" w:cs="Arial"/>
                <w:b/>
                <w:bCs/>
                <w:sz w:val="20"/>
                <w:szCs w:val="20"/>
              </w:rPr>
            </w:pPr>
          </w:p>
        </w:tc>
        <w:tc>
          <w:tcPr>
            <w:tcW w:w="434" w:type="pct"/>
            <w:tcBorders>
              <w:bottom w:val="single" w:sz="2" w:space="0" w:color="auto"/>
            </w:tcBorders>
          </w:tcPr>
          <w:p w14:paraId="34679791" w14:textId="77777777" w:rsidR="00E9448B" w:rsidRPr="008201B5" w:rsidRDefault="00E9448B" w:rsidP="00E9448B">
            <w:pPr>
              <w:spacing w:after="0" w:line="240" w:lineRule="auto"/>
              <w:jc w:val="right"/>
              <w:rPr>
                <w:rFonts w:ascii="Arial" w:hAnsi="Arial" w:cs="Arial"/>
                <w:b/>
                <w:bCs/>
                <w:sz w:val="20"/>
                <w:szCs w:val="20"/>
              </w:rPr>
            </w:pPr>
          </w:p>
        </w:tc>
      </w:tr>
      <w:tr w:rsidR="008201B5" w:rsidRPr="008201B5" w14:paraId="51A0A390" w14:textId="052E5C69" w:rsidTr="000D120B">
        <w:trPr>
          <w:trHeight w:val="266"/>
        </w:trPr>
        <w:tc>
          <w:tcPr>
            <w:tcW w:w="1398" w:type="pct"/>
            <w:shd w:val="clear" w:color="auto" w:fill="auto"/>
            <w:noWrap/>
            <w:vAlign w:val="center"/>
            <w:hideMark/>
          </w:tcPr>
          <w:p w14:paraId="33CE5411" w14:textId="77777777" w:rsidR="00E9448B" w:rsidRPr="008201B5" w:rsidRDefault="00E9448B" w:rsidP="00E9448B">
            <w:pPr>
              <w:spacing w:after="0" w:line="240" w:lineRule="auto"/>
              <w:jc w:val="both"/>
              <w:rPr>
                <w:rFonts w:ascii="Arial" w:eastAsia="Times New Roman" w:hAnsi="Arial" w:cs="Arial"/>
                <w:b/>
                <w:bCs/>
                <w:color w:val="000000"/>
                <w:sz w:val="20"/>
                <w:szCs w:val="20"/>
                <w:lang w:eastAsia="ru-RU"/>
              </w:rPr>
            </w:pPr>
            <w:r w:rsidRPr="008201B5">
              <w:rPr>
                <w:rFonts w:ascii="Arial" w:eastAsia="Times New Roman" w:hAnsi="Arial" w:cs="Arial"/>
                <w:b/>
                <w:bCs/>
                <w:color w:val="000000"/>
                <w:sz w:val="20"/>
                <w:szCs w:val="20"/>
                <w:lang w:eastAsia="ru-RU"/>
              </w:rPr>
              <w:t>Gross profit</w:t>
            </w:r>
          </w:p>
        </w:tc>
        <w:tc>
          <w:tcPr>
            <w:tcW w:w="115" w:type="pct"/>
          </w:tcPr>
          <w:p w14:paraId="0D7BEA78"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71" w:type="pct"/>
            <w:shd w:val="clear" w:color="auto" w:fill="auto"/>
            <w:noWrap/>
            <w:vAlign w:val="center"/>
          </w:tcPr>
          <w:p w14:paraId="65DEAC59" w14:textId="563C34A9"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23 </w:t>
            </w:r>
            <w:r w:rsidRPr="003875B6">
              <w:rPr>
                <w:rFonts w:ascii="Arial" w:hAnsi="Arial" w:cs="Arial"/>
                <w:b/>
                <w:bCs/>
                <w:sz w:val="20"/>
                <w:szCs w:val="20"/>
              </w:rPr>
              <w:t xml:space="preserve"> </w:t>
            </w:r>
          </w:p>
        </w:tc>
        <w:tc>
          <w:tcPr>
            <w:tcW w:w="471" w:type="pct"/>
            <w:shd w:val="clear" w:color="auto" w:fill="auto"/>
            <w:noWrap/>
            <w:vAlign w:val="center"/>
          </w:tcPr>
          <w:p w14:paraId="0D81CEE6" w14:textId="24A2A2C0"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21 </w:t>
            </w:r>
            <w:r w:rsidRPr="003875B6">
              <w:rPr>
                <w:rFonts w:ascii="Arial" w:hAnsi="Arial" w:cs="Arial"/>
                <w:b/>
                <w:bCs/>
                <w:sz w:val="20"/>
                <w:szCs w:val="20"/>
              </w:rPr>
              <w:t xml:space="preserve"> </w:t>
            </w:r>
          </w:p>
        </w:tc>
        <w:tc>
          <w:tcPr>
            <w:tcW w:w="434" w:type="pct"/>
            <w:vAlign w:val="center"/>
          </w:tcPr>
          <w:p w14:paraId="67CBF493" w14:textId="18E1A347"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10%</w:t>
            </w:r>
          </w:p>
        </w:tc>
        <w:tc>
          <w:tcPr>
            <w:tcW w:w="400" w:type="pct"/>
            <w:vAlign w:val="center"/>
          </w:tcPr>
          <w:p w14:paraId="657F0F67" w14:textId="7F40328B"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29 </w:t>
            </w:r>
            <w:r w:rsidRPr="003875B6">
              <w:rPr>
                <w:rFonts w:ascii="Arial" w:hAnsi="Arial" w:cs="Arial"/>
                <w:b/>
                <w:bCs/>
                <w:sz w:val="20"/>
                <w:szCs w:val="20"/>
              </w:rPr>
              <w:t xml:space="preserve"> </w:t>
            </w:r>
          </w:p>
        </w:tc>
        <w:tc>
          <w:tcPr>
            <w:tcW w:w="478" w:type="pct"/>
            <w:vAlign w:val="center"/>
          </w:tcPr>
          <w:p w14:paraId="4EDCDA3B" w14:textId="22E891AD"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-21%</w:t>
            </w:r>
          </w:p>
        </w:tc>
        <w:tc>
          <w:tcPr>
            <w:tcW w:w="410" w:type="pct"/>
          </w:tcPr>
          <w:p w14:paraId="1AB89961" w14:textId="50C45891"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113 </w:t>
            </w:r>
            <w:r w:rsidRPr="003875B6">
              <w:rPr>
                <w:rFonts w:ascii="Arial" w:hAnsi="Arial" w:cs="Arial"/>
                <w:b/>
                <w:bCs/>
                <w:sz w:val="20"/>
                <w:szCs w:val="20"/>
              </w:rPr>
              <w:t xml:space="preserve"> </w:t>
            </w:r>
          </w:p>
        </w:tc>
        <w:tc>
          <w:tcPr>
            <w:tcW w:w="388" w:type="pct"/>
          </w:tcPr>
          <w:p w14:paraId="3B558CC3" w14:textId="327AB7A5"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 xml:space="preserve"> 106 </w:t>
            </w:r>
          </w:p>
        </w:tc>
        <w:tc>
          <w:tcPr>
            <w:tcW w:w="434" w:type="pct"/>
          </w:tcPr>
          <w:p w14:paraId="5E9BED9A" w14:textId="3FCE867D"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7%</w:t>
            </w:r>
          </w:p>
        </w:tc>
      </w:tr>
      <w:tr w:rsidR="008201B5" w:rsidRPr="008201B5" w14:paraId="312DE961" w14:textId="1EF71566" w:rsidTr="000D120B">
        <w:trPr>
          <w:trHeight w:val="266"/>
        </w:trPr>
        <w:tc>
          <w:tcPr>
            <w:tcW w:w="1398" w:type="pct"/>
            <w:tcBorders>
              <w:bottom w:val="single" w:sz="4" w:space="0" w:color="auto"/>
            </w:tcBorders>
            <w:shd w:val="clear" w:color="auto" w:fill="auto"/>
            <w:noWrap/>
            <w:vAlign w:val="center"/>
            <w:hideMark/>
          </w:tcPr>
          <w:p w14:paraId="1AAFA946" w14:textId="77777777" w:rsidR="00E9448B" w:rsidRPr="008201B5" w:rsidRDefault="00E9448B" w:rsidP="00E9448B">
            <w:pPr>
              <w:spacing w:after="0" w:line="240" w:lineRule="auto"/>
              <w:jc w:val="both"/>
              <w:rPr>
                <w:rFonts w:ascii="Arial" w:eastAsia="Times New Roman" w:hAnsi="Arial" w:cs="Arial"/>
                <w:i/>
                <w:iCs/>
                <w:color w:val="000000"/>
                <w:sz w:val="20"/>
                <w:szCs w:val="20"/>
                <w:lang w:eastAsia="ru-RU"/>
              </w:rPr>
            </w:pPr>
            <w:r w:rsidRPr="008201B5">
              <w:rPr>
                <w:rFonts w:ascii="Arial" w:eastAsia="Times New Roman" w:hAnsi="Arial" w:cs="Arial"/>
                <w:i/>
                <w:iCs/>
                <w:color w:val="000000"/>
                <w:sz w:val="20"/>
                <w:szCs w:val="20"/>
                <w:lang w:eastAsia="ru-RU"/>
              </w:rPr>
              <w:t>Gross margin</w:t>
            </w:r>
          </w:p>
        </w:tc>
        <w:tc>
          <w:tcPr>
            <w:tcW w:w="115" w:type="pct"/>
          </w:tcPr>
          <w:p w14:paraId="5FFDB3BA" w14:textId="77777777" w:rsidR="00E9448B" w:rsidRPr="008201B5" w:rsidRDefault="00E9448B" w:rsidP="00E9448B">
            <w:pPr>
              <w:spacing w:after="0" w:line="240" w:lineRule="auto"/>
              <w:jc w:val="right"/>
              <w:rPr>
                <w:rFonts w:ascii="Arial" w:eastAsia="Times New Roman" w:hAnsi="Arial" w:cs="Arial"/>
                <w:i/>
                <w:iCs/>
                <w:color w:val="000000"/>
                <w:sz w:val="20"/>
                <w:szCs w:val="20"/>
                <w:lang w:eastAsia="ru-RU"/>
              </w:rPr>
            </w:pPr>
          </w:p>
        </w:tc>
        <w:tc>
          <w:tcPr>
            <w:tcW w:w="471" w:type="pct"/>
            <w:tcBorders>
              <w:bottom w:val="single" w:sz="2" w:space="0" w:color="auto"/>
            </w:tcBorders>
            <w:shd w:val="clear" w:color="auto" w:fill="auto"/>
            <w:noWrap/>
            <w:vAlign w:val="center"/>
          </w:tcPr>
          <w:p w14:paraId="22E4C37C" w14:textId="1A98A06F"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19%</w:t>
            </w:r>
          </w:p>
        </w:tc>
        <w:tc>
          <w:tcPr>
            <w:tcW w:w="471" w:type="pct"/>
            <w:tcBorders>
              <w:bottom w:val="single" w:sz="2" w:space="0" w:color="auto"/>
            </w:tcBorders>
            <w:shd w:val="clear" w:color="auto" w:fill="auto"/>
            <w:noWrap/>
            <w:vAlign w:val="center"/>
          </w:tcPr>
          <w:p w14:paraId="621B19D5" w14:textId="41D1B8DD"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21%</w:t>
            </w:r>
          </w:p>
        </w:tc>
        <w:tc>
          <w:tcPr>
            <w:tcW w:w="434" w:type="pct"/>
            <w:tcBorders>
              <w:bottom w:val="single" w:sz="2" w:space="0" w:color="auto"/>
            </w:tcBorders>
            <w:vAlign w:val="center"/>
          </w:tcPr>
          <w:p w14:paraId="714C48E1" w14:textId="01685B81"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 xml:space="preserve">-2 </w:t>
            </w:r>
            <w:proofErr w:type="spellStart"/>
            <w:r w:rsidRPr="000D120B">
              <w:rPr>
                <w:rFonts w:ascii="Arial" w:hAnsi="Arial" w:cs="Arial"/>
                <w:i/>
                <w:iCs/>
                <w:sz w:val="20"/>
                <w:szCs w:val="20"/>
              </w:rPr>
              <w:t>pps</w:t>
            </w:r>
            <w:proofErr w:type="spellEnd"/>
          </w:p>
        </w:tc>
        <w:tc>
          <w:tcPr>
            <w:tcW w:w="400" w:type="pct"/>
            <w:tcBorders>
              <w:bottom w:val="single" w:sz="2" w:space="0" w:color="auto"/>
            </w:tcBorders>
            <w:vAlign w:val="center"/>
          </w:tcPr>
          <w:p w14:paraId="57763CBC" w14:textId="1417C2FA"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24%</w:t>
            </w:r>
          </w:p>
        </w:tc>
        <w:tc>
          <w:tcPr>
            <w:tcW w:w="478" w:type="pct"/>
            <w:tcBorders>
              <w:bottom w:val="single" w:sz="2" w:space="0" w:color="auto"/>
            </w:tcBorders>
            <w:vAlign w:val="center"/>
          </w:tcPr>
          <w:p w14:paraId="4797F19D" w14:textId="4F1DE1E7"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 xml:space="preserve">-5 </w:t>
            </w:r>
            <w:proofErr w:type="spellStart"/>
            <w:r w:rsidRPr="000D120B">
              <w:rPr>
                <w:rFonts w:ascii="Arial" w:hAnsi="Arial" w:cs="Arial"/>
                <w:i/>
                <w:iCs/>
                <w:sz w:val="20"/>
                <w:szCs w:val="20"/>
              </w:rPr>
              <w:t>pps</w:t>
            </w:r>
            <w:proofErr w:type="spellEnd"/>
          </w:p>
        </w:tc>
        <w:tc>
          <w:tcPr>
            <w:tcW w:w="410" w:type="pct"/>
            <w:tcBorders>
              <w:bottom w:val="single" w:sz="2" w:space="0" w:color="auto"/>
            </w:tcBorders>
          </w:tcPr>
          <w:p w14:paraId="6AF6BE59" w14:textId="64CF4A72"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24%</w:t>
            </w:r>
          </w:p>
        </w:tc>
        <w:tc>
          <w:tcPr>
            <w:tcW w:w="388" w:type="pct"/>
            <w:tcBorders>
              <w:bottom w:val="single" w:sz="2" w:space="0" w:color="auto"/>
            </w:tcBorders>
          </w:tcPr>
          <w:p w14:paraId="6B79952B" w14:textId="2DB592D1"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26%</w:t>
            </w:r>
          </w:p>
        </w:tc>
        <w:tc>
          <w:tcPr>
            <w:tcW w:w="434" w:type="pct"/>
            <w:tcBorders>
              <w:bottom w:val="single" w:sz="2" w:space="0" w:color="auto"/>
            </w:tcBorders>
          </w:tcPr>
          <w:p w14:paraId="07FCA57A" w14:textId="16B3A3BF"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 xml:space="preserve">-2 </w:t>
            </w:r>
            <w:proofErr w:type="spellStart"/>
            <w:r w:rsidRPr="000D120B">
              <w:rPr>
                <w:rFonts w:ascii="Arial" w:hAnsi="Arial" w:cs="Arial"/>
                <w:i/>
                <w:iCs/>
                <w:sz w:val="20"/>
                <w:szCs w:val="20"/>
              </w:rPr>
              <w:t>pps</w:t>
            </w:r>
            <w:proofErr w:type="spellEnd"/>
          </w:p>
        </w:tc>
      </w:tr>
      <w:tr w:rsidR="008201B5" w:rsidRPr="008201B5" w14:paraId="61943F7B" w14:textId="0264EE60" w:rsidTr="000D120B">
        <w:trPr>
          <w:trHeight w:hRule="exact" w:val="57"/>
        </w:trPr>
        <w:tc>
          <w:tcPr>
            <w:tcW w:w="1398" w:type="pct"/>
            <w:tcBorders>
              <w:top w:val="single" w:sz="4" w:space="0" w:color="auto"/>
              <w:bottom w:val="single" w:sz="2" w:space="0" w:color="auto"/>
            </w:tcBorders>
            <w:shd w:val="clear" w:color="auto" w:fill="auto"/>
            <w:noWrap/>
            <w:vAlign w:val="center"/>
          </w:tcPr>
          <w:p w14:paraId="1B38982D" w14:textId="77777777" w:rsidR="00E9448B" w:rsidRPr="008201B5" w:rsidRDefault="00E9448B" w:rsidP="00E9448B">
            <w:pPr>
              <w:spacing w:after="0" w:line="240" w:lineRule="auto"/>
              <w:jc w:val="both"/>
              <w:rPr>
                <w:rFonts w:ascii="Arial" w:eastAsia="Times New Roman" w:hAnsi="Arial" w:cs="Arial"/>
                <w:i/>
                <w:iCs/>
                <w:color w:val="000000"/>
                <w:sz w:val="20"/>
                <w:szCs w:val="20"/>
                <w:lang w:eastAsia="ru-RU"/>
              </w:rPr>
            </w:pPr>
          </w:p>
        </w:tc>
        <w:tc>
          <w:tcPr>
            <w:tcW w:w="115" w:type="pct"/>
          </w:tcPr>
          <w:p w14:paraId="6532C206" w14:textId="77777777" w:rsidR="00E9448B" w:rsidRPr="008201B5" w:rsidRDefault="00E9448B" w:rsidP="00E9448B">
            <w:pPr>
              <w:spacing w:after="0" w:line="240" w:lineRule="auto"/>
              <w:jc w:val="right"/>
              <w:rPr>
                <w:rFonts w:ascii="Arial" w:eastAsia="Times New Roman" w:hAnsi="Arial" w:cs="Arial"/>
                <w:i/>
                <w:iCs/>
                <w:color w:val="000000"/>
                <w:sz w:val="20"/>
                <w:szCs w:val="20"/>
                <w:lang w:eastAsia="ru-RU"/>
              </w:rPr>
            </w:pPr>
          </w:p>
        </w:tc>
        <w:tc>
          <w:tcPr>
            <w:tcW w:w="471" w:type="pct"/>
            <w:tcBorders>
              <w:bottom w:val="single" w:sz="2" w:space="0" w:color="auto"/>
            </w:tcBorders>
            <w:shd w:val="clear" w:color="auto" w:fill="auto"/>
            <w:noWrap/>
            <w:vAlign w:val="center"/>
          </w:tcPr>
          <w:p w14:paraId="674A4B8D" w14:textId="77777777" w:rsidR="00E9448B" w:rsidRPr="008201B5" w:rsidRDefault="00E9448B" w:rsidP="00E9448B">
            <w:pPr>
              <w:spacing w:after="0" w:line="240" w:lineRule="auto"/>
              <w:jc w:val="right"/>
              <w:rPr>
                <w:rFonts w:ascii="Arial" w:hAnsi="Arial" w:cs="Arial"/>
                <w:i/>
                <w:iCs/>
                <w:sz w:val="20"/>
                <w:szCs w:val="20"/>
              </w:rPr>
            </w:pPr>
          </w:p>
        </w:tc>
        <w:tc>
          <w:tcPr>
            <w:tcW w:w="471" w:type="pct"/>
            <w:tcBorders>
              <w:bottom w:val="single" w:sz="2" w:space="0" w:color="auto"/>
            </w:tcBorders>
            <w:shd w:val="clear" w:color="auto" w:fill="auto"/>
            <w:noWrap/>
            <w:vAlign w:val="center"/>
          </w:tcPr>
          <w:p w14:paraId="2841453A" w14:textId="77777777" w:rsidR="00E9448B" w:rsidRPr="008201B5" w:rsidRDefault="00E9448B" w:rsidP="00E9448B">
            <w:pPr>
              <w:spacing w:after="0" w:line="240" w:lineRule="auto"/>
              <w:jc w:val="right"/>
              <w:rPr>
                <w:rFonts w:ascii="Arial" w:hAnsi="Arial" w:cs="Arial"/>
                <w:i/>
                <w:iCs/>
                <w:sz w:val="20"/>
                <w:szCs w:val="20"/>
              </w:rPr>
            </w:pPr>
          </w:p>
        </w:tc>
        <w:tc>
          <w:tcPr>
            <w:tcW w:w="434" w:type="pct"/>
            <w:tcBorders>
              <w:bottom w:val="single" w:sz="2" w:space="0" w:color="auto"/>
            </w:tcBorders>
            <w:vAlign w:val="center"/>
          </w:tcPr>
          <w:p w14:paraId="6B099636" w14:textId="77777777" w:rsidR="00E9448B" w:rsidRPr="008201B5" w:rsidRDefault="00E9448B" w:rsidP="00E9448B">
            <w:pPr>
              <w:spacing w:after="0" w:line="240" w:lineRule="auto"/>
              <w:jc w:val="right"/>
              <w:rPr>
                <w:rFonts w:ascii="Arial" w:hAnsi="Arial" w:cs="Arial"/>
                <w:i/>
                <w:iCs/>
                <w:sz w:val="20"/>
                <w:szCs w:val="20"/>
              </w:rPr>
            </w:pPr>
          </w:p>
        </w:tc>
        <w:tc>
          <w:tcPr>
            <w:tcW w:w="400" w:type="pct"/>
            <w:tcBorders>
              <w:bottom w:val="single" w:sz="2" w:space="0" w:color="auto"/>
            </w:tcBorders>
            <w:vAlign w:val="center"/>
          </w:tcPr>
          <w:p w14:paraId="69D49525" w14:textId="77777777" w:rsidR="00E9448B" w:rsidRPr="008201B5" w:rsidRDefault="00E9448B" w:rsidP="00E9448B">
            <w:pPr>
              <w:spacing w:after="0" w:line="240" w:lineRule="auto"/>
              <w:jc w:val="right"/>
              <w:rPr>
                <w:rFonts w:ascii="Arial" w:hAnsi="Arial" w:cs="Arial"/>
                <w:i/>
                <w:iCs/>
                <w:sz w:val="20"/>
                <w:szCs w:val="20"/>
              </w:rPr>
            </w:pPr>
          </w:p>
        </w:tc>
        <w:tc>
          <w:tcPr>
            <w:tcW w:w="478" w:type="pct"/>
            <w:tcBorders>
              <w:bottom w:val="single" w:sz="2" w:space="0" w:color="auto"/>
            </w:tcBorders>
            <w:vAlign w:val="center"/>
          </w:tcPr>
          <w:p w14:paraId="1B6A8C47" w14:textId="77777777" w:rsidR="00E9448B" w:rsidRPr="008201B5" w:rsidRDefault="00E9448B" w:rsidP="00E9448B">
            <w:pPr>
              <w:spacing w:after="0" w:line="240" w:lineRule="auto"/>
              <w:jc w:val="right"/>
              <w:rPr>
                <w:rFonts w:ascii="Arial" w:hAnsi="Arial" w:cs="Arial"/>
                <w:i/>
                <w:iCs/>
                <w:sz w:val="20"/>
                <w:szCs w:val="20"/>
              </w:rPr>
            </w:pPr>
          </w:p>
        </w:tc>
        <w:tc>
          <w:tcPr>
            <w:tcW w:w="410" w:type="pct"/>
            <w:tcBorders>
              <w:bottom w:val="single" w:sz="2" w:space="0" w:color="auto"/>
            </w:tcBorders>
          </w:tcPr>
          <w:p w14:paraId="40C05040" w14:textId="77777777" w:rsidR="00E9448B" w:rsidRPr="008201B5" w:rsidRDefault="00E9448B" w:rsidP="00E9448B">
            <w:pPr>
              <w:spacing w:after="0" w:line="240" w:lineRule="auto"/>
              <w:jc w:val="right"/>
              <w:rPr>
                <w:rFonts w:ascii="Arial" w:hAnsi="Arial" w:cs="Arial"/>
                <w:i/>
                <w:iCs/>
                <w:sz w:val="20"/>
                <w:szCs w:val="20"/>
              </w:rPr>
            </w:pPr>
          </w:p>
        </w:tc>
        <w:tc>
          <w:tcPr>
            <w:tcW w:w="388" w:type="pct"/>
            <w:tcBorders>
              <w:bottom w:val="single" w:sz="2" w:space="0" w:color="auto"/>
            </w:tcBorders>
          </w:tcPr>
          <w:p w14:paraId="23C46279" w14:textId="77777777" w:rsidR="00E9448B" w:rsidRPr="008201B5" w:rsidRDefault="00E9448B" w:rsidP="00E9448B">
            <w:pPr>
              <w:spacing w:after="0" w:line="240" w:lineRule="auto"/>
              <w:jc w:val="right"/>
              <w:rPr>
                <w:rFonts w:ascii="Arial" w:hAnsi="Arial" w:cs="Arial"/>
                <w:i/>
                <w:iCs/>
                <w:sz w:val="20"/>
                <w:szCs w:val="20"/>
              </w:rPr>
            </w:pPr>
          </w:p>
        </w:tc>
        <w:tc>
          <w:tcPr>
            <w:tcW w:w="434" w:type="pct"/>
            <w:tcBorders>
              <w:bottom w:val="single" w:sz="2" w:space="0" w:color="auto"/>
            </w:tcBorders>
          </w:tcPr>
          <w:p w14:paraId="75197D10" w14:textId="77777777" w:rsidR="00E9448B" w:rsidRPr="008201B5" w:rsidRDefault="00E9448B" w:rsidP="00E9448B">
            <w:pPr>
              <w:spacing w:after="0" w:line="240" w:lineRule="auto"/>
              <w:jc w:val="right"/>
              <w:rPr>
                <w:rFonts w:ascii="Arial" w:hAnsi="Arial" w:cs="Arial"/>
                <w:i/>
                <w:iCs/>
                <w:sz w:val="20"/>
                <w:szCs w:val="20"/>
              </w:rPr>
            </w:pPr>
          </w:p>
        </w:tc>
      </w:tr>
      <w:tr w:rsidR="008201B5" w:rsidRPr="008201B5" w14:paraId="2BB1561D" w14:textId="6DDFC4C0" w:rsidTr="000D120B">
        <w:trPr>
          <w:trHeight w:val="266"/>
        </w:trPr>
        <w:tc>
          <w:tcPr>
            <w:tcW w:w="1398" w:type="pct"/>
            <w:shd w:val="clear" w:color="auto" w:fill="auto"/>
            <w:noWrap/>
            <w:vAlign w:val="bottom"/>
            <w:hideMark/>
          </w:tcPr>
          <w:p w14:paraId="495EE8D5" w14:textId="36A1215F" w:rsidR="00E9448B" w:rsidRPr="008201B5" w:rsidRDefault="00E9448B" w:rsidP="00E9448B">
            <w:pPr>
              <w:spacing w:after="0" w:line="240" w:lineRule="auto"/>
              <w:jc w:val="both"/>
              <w:rPr>
                <w:rFonts w:ascii="Arial" w:eastAsia="Times New Roman" w:hAnsi="Arial" w:cs="Arial"/>
                <w:bCs/>
                <w:color w:val="000000"/>
                <w:sz w:val="20"/>
                <w:szCs w:val="20"/>
                <w:lang w:eastAsia="ru-RU"/>
              </w:rPr>
            </w:pPr>
            <w:r w:rsidRPr="008201B5">
              <w:rPr>
                <w:rFonts w:ascii="Arial" w:eastAsia="Times New Roman" w:hAnsi="Arial" w:cs="Arial"/>
                <w:b/>
                <w:color w:val="000000"/>
                <w:sz w:val="20"/>
                <w:szCs w:val="20"/>
                <w:lang w:eastAsia="ru-RU"/>
              </w:rPr>
              <w:t>Adjusted EBITDA</w:t>
            </w:r>
          </w:p>
        </w:tc>
        <w:tc>
          <w:tcPr>
            <w:tcW w:w="115" w:type="pct"/>
          </w:tcPr>
          <w:p w14:paraId="59170EDD"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71" w:type="pct"/>
            <w:shd w:val="clear" w:color="auto" w:fill="auto"/>
            <w:noWrap/>
            <w:vAlign w:val="center"/>
          </w:tcPr>
          <w:p w14:paraId="64A22C2B" w14:textId="2202FF73"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7 </w:t>
            </w:r>
            <w:r w:rsidRPr="003875B6">
              <w:rPr>
                <w:rFonts w:ascii="Arial" w:hAnsi="Arial" w:cs="Arial"/>
                <w:b/>
                <w:bCs/>
                <w:sz w:val="20"/>
                <w:szCs w:val="20"/>
              </w:rPr>
              <w:t xml:space="preserve"> </w:t>
            </w:r>
          </w:p>
        </w:tc>
        <w:tc>
          <w:tcPr>
            <w:tcW w:w="471" w:type="pct"/>
            <w:shd w:val="clear" w:color="auto" w:fill="auto"/>
            <w:noWrap/>
            <w:vAlign w:val="center"/>
          </w:tcPr>
          <w:p w14:paraId="63AB2227" w14:textId="29AC2ACF"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13 </w:t>
            </w:r>
            <w:r w:rsidRPr="003875B6">
              <w:rPr>
                <w:rFonts w:ascii="Arial" w:hAnsi="Arial" w:cs="Arial"/>
                <w:b/>
                <w:bCs/>
                <w:sz w:val="20"/>
                <w:szCs w:val="20"/>
              </w:rPr>
              <w:t xml:space="preserve"> </w:t>
            </w:r>
          </w:p>
        </w:tc>
        <w:tc>
          <w:tcPr>
            <w:tcW w:w="434" w:type="pct"/>
            <w:vAlign w:val="center"/>
          </w:tcPr>
          <w:p w14:paraId="5B88CA9C" w14:textId="4A48A50C"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-46%</w:t>
            </w:r>
          </w:p>
        </w:tc>
        <w:tc>
          <w:tcPr>
            <w:tcW w:w="400" w:type="pct"/>
            <w:vAlign w:val="center"/>
          </w:tcPr>
          <w:p w14:paraId="49746098" w14:textId="20E739F0"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21 </w:t>
            </w:r>
            <w:r w:rsidRPr="003875B6">
              <w:rPr>
                <w:rFonts w:ascii="Arial" w:hAnsi="Arial" w:cs="Arial"/>
                <w:b/>
                <w:bCs/>
                <w:sz w:val="20"/>
                <w:szCs w:val="20"/>
              </w:rPr>
              <w:t xml:space="preserve"> </w:t>
            </w:r>
          </w:p>
        </w:tc>
        <w:tc>
          <w:tcPr>
            <w:tcW w:w="478" w:type="pct"/>
            <w:vAlign w:val="center"/>
          </w:tcPr>
          <w:p w14:paraId="0D4679ED" w14:textId="309B1A79"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-67%</w:t>
            </w:r>
          </w:p>
        </w:tc>
        <w:tc>
          <w:tcPr>
            <w:tcW w:w="410" w:type="pct"/>
          </w:tcPr>
          <w:p w14:paraId="466E5F29" w14:textId="1FC0C811" w:rsidR="00E9448B" w:rsidRPr="003875B6" w:rsidRDefault="00FC6577" w:rsidP="00E9448B">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65 </w:t>
            </w:r>
            <w:r w:rsidRPr="003875B6">
              <w:rPr>
                <w:rFonts w:ascii="Arial" w:hAnsi="Arial" w:cs="Arial"/>
                <w:b/>
                <w:bCs/>
                <w:sz w:val="20"/>
                <w:szCs w:val="20"/>
              </w:rPr>
              <w:t xml:space="preserve"> </w:t>
            </w:r>
          </w:p>
        </w:tc>
        <w:tc>
          <w:tcPr>
            <w:tcW w:w="388" w:type="pct"/>
          </w:tcPr>
          <w:p w14:paraId="3CD234F3" w14:textId="50DDF0C3"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 xml:space="preserve"> 66 </w:t>
            </w:r>
          </w:p>
        </w:tc>
        <w:tc>
          <w:tcPr>
            <w:tcW w:w="434" w:type="pct"/>
          </w:tcPr>
          <w:p w14:paraId="3C8BE6EC" w14:textId="6A3DE516" w:rsidR="00E9448B" w:rsidRPr="003875B6" w:rsidRDefault="00DB5AAE" w:rsidP="00E9448B">
            <w:pPr>
              <w:spacing w:after="0" w:line="240" w:lineRule="auto"/>
              <w:jc w:val="right"/>
              <w:rPr>
                <w:rFonts w:ascii="Arial" w:hAnsi="Arial" w:cs="Arial"/>
                <w:b/>
                <w:bCs/>
                <w:sz w:val="20"/>
                <w:szCs w:val="20"/>
              </w:rPr>
            </w:pPr>
            <w:r w:rsidRPr="000D120B">
              <w:rPr>
                <w:rFonts w:ascii="Arial" w:hAnsi="Arial" w:cs="Arial"/>
                <w:b/>
                <w:bCs/>
                <w:sz w:val="20"/>
                <w:szCs w:val="20"/>
              </w:rPr>
              <w:t>-2%</w:t>
            </w:r>
          </w:p>
        </w:tc>
      </w:tr>
      <w:tr w:rsidR="008201B5" w:rsidRPr="008201B5" w14:paraId="52AB1E3F" w14:textId="5E26B83C" w:rsidTr="000D120B">
        <w:trPr>
          <w:trHeight w:val="266"/>
        </w:trPr>
        <w:tc>
          <w:tcPr>
            <w:tcW w:w="1398" w:type="pct"/>
            <w:tcBorders>
              <w:bottom w:val="single" w:sz="4" w:space="0" w:color="auto"/>
            </w:tcBorders>
            <w:shd w:val="clear" w:color="auto" w:fill="auto"/>
            <w:noWrap/>
            <w:vAlign w:val="bottom"/>
          </w:tcPr>
          <w:p w14:paraId="3498E7AD" w14:textId="32550164" w:rsidR="00E9448B" w:rsidRPr="008201B5" w:rsidRDefault="00E9448B" w:rsidP="00E9448B">
            <w:pPr>
              <w:spacing w:after="0" w:line="240" w:lineRule="auto"/>
              <w:jc w:val="both"/>
              <w:rPr>
                <w:rFonts w:ascii="Arial" w:eastAsia="Times New Roman" w:hAnsi="Arial" w:cs="Arial"/>
                <w:bCs/>
                <w:color w:val="000000"/>
                <w:sz w:val="20"/>
                <w:szCs w:val="20"/>
                <w:lang w:eastAsia="ru-RU"/>
              </w:rPr>
            </w:pPr>
            <w:r w:rsidRPr="008201B5">
              <w:rPr>
                <w:rFonts w:ascii="Arial" w:eastAsia="Times New Roman" w:hAnsi="Arial" w:cs="Arial"/>
                <w:i/>
                <w:iCs/>
                <w:color w:val="000000"/>
                <w:sz w:val="20"/>
                <w:szCs w:val="20"/>
                <w:lang w:eastAsia="ru-RU"/>
              </w:rPr>
              <w:t>Adjusted EBITDA margin</w:t>
            </w:r>
          </w:p>
        </w:tc>
        <w:tc>
          <w:tcPr>
            <w:tcW w:w="115" w:type="pct"/>
          </w:tcPr>
          <w:p w14:paraId="68FC9A3B"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71" w:type="pct"/>
            <w:tcBorders>
              <w:bottom w:val="single" w:sz="4" w:space="0" w:color="auto"/>
            </w:tcBorders>
            <w:shd w:val="clear" w:color="auto" w:fill="auto"/>
            <w:noWrap/>
            <w:vAlign w:val="center"/>
          </w:tcPr>
          <w:p w14:paraId="3DB5C717" w14:textId="7ADEE134"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6%</w:t>
            </w:r>
          </w:p>
        </w:tc>
        <w:tc>
          <w:tcPr>
            <w:tcW w:w="471" w:type="pct"/>
            <w:tcBorders>
              <w:bottom w:val="single" w:sz="4" w:space="0" w:color="auto"/>
            </w:tcBorders>
            <w:shd w:val="clear" w:color="auto" w:fill="auto"/>
            <w:noWrap/>
            <w:vAlign w:val="center"/>
          </w:tcPr>
          <w:p w14:paraId="79B02492" w14:textId="37894C42"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13%</w:t>
            </w:r>
          </w:p>
        </w:tc>
        <w:tc>
          <w:tcPr>
            <w:tcW w:w="434" w:type="pct"/>
            <w:tcBorders>
              <w:bottom w:val="single" w:sz="4" w:space="0" w:color="auto"/>
            </w:tcBorders>
            <w:vAlign w:val="center"/>
          </w:tcPr>
          <w:p w14:paraId="7F424044" w14:textId="46FBF0E2"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 xml:space="preserve">-7 </w:t>
            </w:r>
            <w:proofErr w:type="spellStart"/>
            <w:r w:rsidRPr="000D120B">
              <w:rPr>
                <w:rFonts w:ascii="Arial" w:hAnsi="Arial" w:cs="Arial"/>
                <w:i/>
                <w:iCs/>
                <w:sz w:val="20"/>
                <w:szCs w:val="20"/>
              </w:rPr>
              <w:t>pps</w:t>
            </w:r>
            <w:proofErr w:type="spellEnd"/>
          </w:p>
        </w:tc>
        <w:tc>
          <w:tcPr>
            <w:tcW w:w="400" w:type="pct"/>
            <w:tcBorders>
              <w:bottom w:val="single" w:sz="4" w:space="0" w:color="auto"/>
            </w:tcBorders>
            <w:vAlign w:val="center"/>
          </w:tcPr>
          <w:p w14:paraId="7900644A" w14:textId="104A716B"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17%</w:t>
            </w:r>
          </w:p>
        </w:tc>
        <w:tc>
          <w:tcPr>
            <w:tcW w:w="478" w:type="pct"/>
            <w:tcBorders>
              <w:bottom w:val="single" w:sz="4" w:space="0" w:color="auto"/>
            </w:tcBorders>
            <w:vAlign w:val="center"/>
          </w:tcPr>
          <w:p w14:paraId="5D588222" w14:textId="1CA4C280"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 xml:space="preserve">-11 </w:t>
            </w:r>
            <w:proofErr w:type="spellStart"/>
            <w:r w:rsidRPr="000D120B">
              <w:rPr>
                <w:rFonts w:ascii="Arial" w:hAnsi="Arial" w:cs="Arial"/>
                <w:i/>
                <w:iCs/>
                <w:sz w:val="20"/>
                <w:szCs w:val="20"/>
              </w:rPr>
              <w:t>pps</w:t>
            </w:r>
            <w:proofErr w:type="spellEnd"/>
          </w:p>
        </w:tc>
        <w:tc>
          <w:tcPr>
            <w:tcW w:w="410" w:type="pct"/>
            <w:tcBorders>
              <w:bottom w:val="single" w:sz="4" w:space="0" w:color="auto"/>
            </w:tcBorders>
          </w:tcPr>
          <w:p w14:paraId="6CA8B9CD" w14:textId="338B8B73"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14%</w:t>
            </w:r>
          </w:p>
        </w:tc>
        <w:tc>
          <w:tcPr>
            <w:tcW w:w="388" w:type="pct"/>
            <w:tcBorders>
              <w:bottom w:val="single" w:sz="4" w:space="0" w:color="auto"/>
            </w:tcBorders>
          </w:tcPr>
          <w:p w14:paraId="06225F3E" w14:textId="3BE336D6"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16%</w:t>
            </w:r>
          </w:p>
        </w:tc>
        <w:tc>
          <w:tcPr>
            <w:tcW w:w="434" w:type="pct"/>
            <w:tcBorders>
              <w:bottom w:val="single" w:sz="4" w:space="0" w:color="auto"/>
            </w:tcBorders>
          </w:tcPr>
          <w:p w14:paraId="0E76C119" w14:textId="08EE008E" w:rsidR="00E9448B" w:rsidRPr="003875B6" w:rsidRDefault="00DB5AAE" w:rsidP="00E9448B">
            <w:pPr>
              <w:spacing w:after="0" w:line="240" w:lineRule="auto"/>
              <w:jc w:val="right"/>
              <w:rPr>
                <w:rFonts w:ascii="Arial" w:hAnsi="Arial" w:cs="Arial"/>
                <w:i/>
                <w:iCs/>
                <w:sz w:val="20"/>
                <w:szCs w:val="20"/>
              </w:rPr>
            </w:pPr>
            <w:r w:rsidRPr="000D120B">
              <w:rPr>
                <w:rFonts w:ascii="Arial" w:hAnsi="Arial" w:cs="Arial"/>
                <w:i/>
                <w:iCs/>
                <w:sz w:val="20"/>
                <w:szCs w:val="20"/>
              </w:rPr>
              <w:t xml:space="preserve">-2 </w:t>
            </w:r>
            <w:proofErr w:type="spellStart"/>
            <w:r w:rsidRPr="000D120B">
              <w:rPr>
                <w:rFonts w:ascii="Arial" w:hAnsi="Arial" w:cs="Arial"/>
                <w:i/>
                <w:iCs/>
                <w:sz w:val="20"/>
                <w:szCs w:val="20"/>
              </w:rPr>
              <w:t>pps</w:t>
            </w:r>
            <w:proofErr w:type="spellEnd"/>
          </w:p>
        </w:tc>
      </w:tr>
      <w:tr w:rsidR="008201B5" w:rsidRPr="008201B5" w14:paraId="11E0B08C" w14:textId="7CDA93C0" w:rsidTr="000D120B">
        <w:trPr>
          <w:trHeight w:hRule="exact" w:val="57"/>
        </w:trPr>
        <w:tc>
          <w:tcPr>
            <w:tcW w:w="1398" w:type="pct"/>
            <w:tcBorders>
              <w:top w:val="single" w:sz="4" w:space="0" w:color="auto"/>
            </w:tcBorders>
            <w:shd w:val="clear" w:color="auto" w:fill="auto"/>
            <w:noWrap/>
            <w:vAlign w:val="bottom"/>
          </w:tcPr>
          <w:p w14:paraId="08A49A3C" w14:textId="77777777" w:rsidR="00E9448B" w:rsidRPr="008201B5" w:rsidRDefault="00E9448B" w:rsidP="00E9448B">
            <w:pPr>
              <w:spacing w:after="0" w:line="240" w:lineRule="auto"/>
              <w:jc w:val="both"/>
              <w:rPr>
                <w:rFonts w:ascii="Arial" w:eastAsia="Times New Roman" w:hAnsi="Arial" w:cs="Arial"/>
                <w:i/>
                <w:iCs/>
                <w:color w:val="000000"/>
                <w:sz w:val="20"/>
                <w:szCs w:val="20"/>
                <w:lang w:eastAsia="ru-RU"/>
              </w:rPr>
            </w:pPr>
          </w:p>
        </w:tc>
        <w:tc>
          <w:tcPr>
            <w:tcW w:w="115" w:type="pct"/>
          </w:tcPr>
          <w:p w14:paraId="2DBDB610"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71" w:type="pct"/>
            <w:tcBorders>
              <w:top w:val="single" w:sz="4" w:space="0" w:color="auto"/>
            </w:tcBorders>
            <w:shd w:val="clear" w:color="auto" w:fill="auto"/>
            <w:noWrap/>
            <w:vAlign w:val="center"/>
          </w:tcPr>
          <w:p w14:paraId="61FE4DAC" w14:textId="77777777" w:rsidR="00E9448B" w:rsidRPr="008201B5" w:rsidRDefault="00E9448B" w:rsidP="00E9448B">
            <w:pPr>
              <w:spacing w:after="0" w:line="240" w:lineRule="auto"/>
              <w:jc w:val="right"/>
              <w:rPr>
                <w:rFonts w:ascii="Arial" w:hAnsi="Arial" w:cs="Arial"/>
                <w:i/>
                <w:iCs/>
                <w:sz w:val="20"/>
                <w:szCs w:val="20"/>
              </w:rPr>
            </w:pPr>
          </w:p>
        </w:tc>
        <w:tc>
          <w:tcPr>
            <w:tcW w:w="471" w:type="pct"/>
            <w:tcBorders>
              <w:top w:val="single" w:sz="4" w:space="0" w:color="auto"/>
            </w:tcBorders>
            <w:shd w:val="clear" w:color="auto" w:fill="auto"/>
            <w:noWrap/>
            <w:vAlign w:val="center"/>
          </w:tcPr>
          <w:p w14:paraId="73F6A4EF" w14:textId="77777777" w:rsidR="00E9448B" w:rsidRPr="008201B5" w:rsidRDefault="00E9448B" w:rsidP="00E9448B">
            <w:pPr>
              <w:spacing w:after="0" w:line="240" w:lineRule="auto"/>
              <w:jc w:val="right"/>
              <w:rPr>
                <w:rFonts w:ascii="Arial" w:hAnsi="Arial" w:cs="Arial"/>
                <w:i/>
                <w:iCs/>
                <w:sz w:val="20"/>
                <w:szCs w:val="20"/>
              </w:rPr>
            </w:pPr>
          </w:p>
        </w:tc>
        <w:tc>
          <w:tcPr>
            <w:tcW w:w="434" w:type="pct"/>
            <w:tcBorders>
              <w:top w:val="single" w:sz="4" w:space="0" w:color="auto"/>
            </w:tcBorders>
            <w:vAlign w:val="center"/>
          </w:tcPr>
          <w:p w14:paraId="582262C7" w14:textId="77777777" w:rsidR="00E9448B" w:rsidRPr="008201B5" w:rsidRDefault="00E9448B" w:rsidP="00E9448B">
            <w:pPr>
              <w:spacing w:after="0" w:line="240" w:lineRule="auto"/>
              <w:jc w:val="right"/>
              <w:rPr>
                <w:rFonts w:ascii="Arial" w:hAnsi="Arial" w:cs="Arial"/>
                <w:i/>
                <w:iCs/>
                <w:sz w:val="20"/>
                <w:szCs w:val="20"/>
              </w:rPr>
            </w:pPr>
          </w:p>
        </w:tc>
        <w:tc>
          <w:tcPr>
            <w:tcW w:w="400" w:type="pct"/>
            <w:tcBorders>
              <w:top w:val="single" w:sz="4" w:space="0" w:color="auto"/>
            </w:tcBorders>
            <w:vAlign w:val="center"/>
          </w:tcPr>
          <w:p w14:paraId="3A34532C" w14:textId="77777777" w:rsidR="00E9448B" w:rsidRPr="008201B5" w:rsidRDefault="00E9448B" w:rsidP="00E9448B">
            <w:pPr>
              <w:spacing w:after="0" w:line="240" w:lineRule="auto"/>
              <w:jc w:val="right"/>
              <w:rPr>
                <w:rFonts w:ascii="Arial" w:hAnsi="Arial" w:cs="Arial"/>
                <w:i/>
                <w:iCs/>
                <w:sz w:val="20"/>
                <w:szCs w:val="20"/>
              </w:rPr>
            </w:pPr>
          </w:p>
        </w:tc>
        <w:tc>
          <w:tcPr>
            <w:tcW w:w="478" w:type="pct"/>
            <w:tcBorders>
              <w:top w:val="single" w:sz="4" w:space="0" w:color="auto"/>
            </w:tcBorders>
            <w:vAlign w:val="center"/>
          </w:tcPr>
          <w:p w14:paraId="04678186" w14:textId="77777777" w:rsidR="00E9448B" w:rsidRPr="008201B5" w:rsidRDefault="00E9448B" w:rsidP="00E9448B">
            <w:pPr>
              <w:spacing w:after="0" w:line="240" w:lineRule="auto"/>
              <w:jc w:val="right"/>
              <w:rPr>
                <w:rFonts w:ascii="Arial" w:hAnsi="Arial" w:cs="Arial"/>
                <w:i/>
                <w:iCs/>
                <w:sz w:val="20"/>
                <w:szCs w:val="20"/>
              </w:rPr>
            </w:pPr>
          </w:p>
        </w:tc>
        <w:tc>
          <w:tcPr>
            <w:tcW w:w="410" w:type="pct"/>
            <w:tcBorders>
              <w:top w:val="single" w:sz="4" w:space="0" w:color="auto"/>
            </w:tcBorders>
          </w:tcPr>
          <w:p w14:paraId="5F86763F" w14:textId="77777777" w:rsidR="00E9448B" w:rsidRPr="008201B5" w:rsidRDefault="00E9448B" w:rsidP="00E9448B">
            <w:pPr>
              <w:spacing w:after="0" w:line="240" w:lineRule="auto"/>
              <w:jc w:val="right"/>
              <w:rPr>
                <w:rFonts w:ascii="Arial" w:hAnsi="Arial" w:cs="Arial"/>
                <w:i/>
                <w:iCs/>
                <w:sz w:val="20"/>
                <w:szCs w:val="20"/>
              </w:rPr>
            </w:pPr>
          </w:p>
        </w:tc>
        <w:tc>
          <w:tcPr>
            <w:tcW w:w="388" w:type="pct"/>
            <w:tcBorders>
              <w:top w:val="single" w:sz="4" w:space="0" w:color="auto"/>
            </w:tcBorders>
          </w:tcPr>
          <w:p w14:paraId="487BC78F" w14:textId="77777777" w:rsidR="00E9448B" w:rsidRPr="008201B5" w:rsidRDefault="00E9448B" w:rsidP="00E9448B">
            <w:pPr>
              <w:spacing w:after="0" w:line="240" w:lineRule="auto"/>
              <w:jc w:val="right"/>
              <w:rPr>
                <w:rFonts w:ascii="Arial" w:hAnsi="Arial" w:cs="Arial"/>
                <w:i/>
                <w:iCs/>
                <w:sz w:val="20"/>
                <w:szCs w:val="20"/>
              </w:rPr>
            </w:pPr>
          </w:p>
        </w:tc>
        <w:tc>
          <w:tcPr>
            <w:tcW w:w="434" w:type="pct"/>
            <w:tcBorders>
              <w:top w:val="single" w:sz="4" w:space="0" w:color="auto"/>
            </w:tcBorders>
          </w:tcPr>
          <w:p w14:paraId="68632B60" w14:textId="77777777" w:rsidR="00E9448B" w:rsidRPr="008201B5" w:rsidRDefault="00E9448B" w:rsidP="00E9448B">
            <w:pPr>
              <w:spacing w:after="0" w:line="240" w:lineRule="auto"/>
              <w:jc w:val="right"/>
              <w:rPr>
                <w:rFonts w:ascii="Arial" w:hAnsi="Arial" w:cs="Arial"/>
                <w:i/>
                <w:iCs/>
                <w:sz w:val="20"/>
                <w:szCs w:val="20"/>
              </w:rPr>
            </w:pPr>
          </w:p>
        </w:tc>
      </w:tr>
      <w:tr w:rsidR="008201B5" w:rsidRPr="008201B5" w14:paraId="65479D4C" w14:textId="3F84012E" w:rsidTr="000D120B">
        <w:trPr>
          <w:trHeight w:val="266"/>
        </w:trPr>
        <w:tc>
          <w:tcPr>
            <w:tcW w:w="1398" w:type="pct"/>
            <w:shd w:val="clear" w:color="auto" w:fill="auto"/>
            <w:noWrap/>
            <w:vAlign w:val="bottom"/>
          </w:tcPr>
          <w:p w14:paraId="374707A2" w14:textId="15420D51" w:rsidR="00E9448B" w:rsidRPr="008201B5" w:rsidRDefault="00E9448B" w:rsidP="00E9448B">
            <w:pPr>
              <w:spacing w:after="0" w:line="240" w:lineRule="auto"/>
              <w:jc w:val="both"/>
              <w:rPr>
                <w:rFonts w:ascii="Arial" w:eastAsia="Times New Roman" w:hAnsi="Arial" w:cs="Arial"/>
                <w:bCs/>
                <w:color w:val="000000"/>
                <w:sz w:val="20"/>
                <w:szCs w:val="20"/>
                <w:lang w:eastAsia="ru-RU"/>
              </w:rPr>
            </w:pPr>
            <w:r w:rsidRPr="008201B5">
              <w:rPr>
                <w:rFonts w:ascii="Arial" w:eastAsia="Times New Roman" w:hAnsi="Arial" w:cs="Arial"/>
                <w:b/>
                <w:color w:val="000000"/>
                <w:sz w:val="20"/>
                <w:szCs w:val="20"/>
                <w:lang w:eastAsia="ru-RU"/>
              </w:rPr>
              <w:t>Adjusted EBITDA</w:t>
            </w:r>
            <w:r w:rsidRPr="008201B5">
              <w:rPr>
                <w:rFonts w:ascii="Arial" w:hAnsi="Arial" w:cs="Arial"/>
                <w:b/>
                <w:sz w:val="20"/>
                <w:szCs w:val="20"/>
                <w:lang w:eastAsia="ru-RU"/>
              </w:rPr>
              <w:t xml:space="preserve"> </w:t>
            </w:r>
            <w:r w:rsidRPr="008201B5">
              <w:rPr>
                <w:rFonts w:ascii="Arial" w:eastAsia="Times New Roman" w:hAnsi="Arial" w:cs="Arial"/>
                <w:i/>
                <w:color w:val="000000"/>
                <w:sz w:val="20"/>
                <w:szCs w:val="20"/>
                <w:lang w:eastAsia="ru-RU"/>
              </w:rPr>
              <w:t>(net of IFRS 16)</w:t>
            </w:r>
          </w:p>
        </w:tc>
        <w:tc>
          <w:tcPr>
            <w:tcW w:w="115" w:type="pct"/>
          </w:tcPr>
          <w:p w14:paraId="3AFCABFE" w14:textId="77777777" w:rsidR="00E9448B" w:rsidRPr="008201B5" w:rsidRDefault="00E9448B" w:rsidP="00E9448B">
            <w:pPr>
              <w:spacing w:after="0" w:line="240" w:lineRule="auto"/>
              <w:jc w:val="right"/>
              <w:rPr>
                <w:rFonts w:ascii="Arial" w:eastAsia="Times New Roman" w:hAnsi="Arial" w:cs="Arial"/>
                <w:b/>
                <w:bCs/>
                <w:color w:val="000000"/>
                <w:sz w:val="20"/>
                <w:szCs w:val="20"/>
                <w:lang w:eastAsia="ru-RU"/>
              </w:rPr>
            </w:pPr>
          </w:p>
        </w:tc>
        <w:tc>
          <w:tcPr>
            <w:tcW w:w="471" w:type="pct"/>
            <w:shd w:val="clear" w:color="auto" w:fill="auto"/>
            <w:noWrap/>
            <w:vAlign w:val="center"/>
          </w:tcPr>
          <w:p w14:paraId="0A5EF675" w14:textId="2391AC3F" w:rsidR="00E9448B" w:rsidRPr="003875B6" w:rsidRDefault="00FC6577" w:rsidP="003875B6">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7 </w:t>
            </w:r>
            <w:r w:rsidRPr="003875B6">
              <w:rPr>
                <w:rFonts w:ascii="Arial" w:hAnsi="Arial" w:cs="Arial"/>
                <w:b/>
                <w:bCs/>
                <w:sz w:val="20"/>
                <w:szCs w:val="20"/>
              </w:rPr>
              <w:t xml:space="preserve"> </w:t>
            </w:r>
          </w:p>
        </w:tc>
        <w:tc>
          <w:tcPr>
            <w:tcW w:w="471" w:type="pct"/>
            <w:shd w:val="clear" w:color="auto" w:fill="auto"/>
            <w:noWrap/>
            <w:vAlign w:val="center"/>
          </w:tcPr>
          <w:p w14:paraId="3F531EDE" w14:textId="47DA0040" w:rsidR="00E9448B" w:rsidRPr="003875B6" w:rsidRDefault="00FC6577" w:rsidP="003875B6">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13 </w:t>
            </w:r>
            <w:r w:rsidRPr="003875B6">
              <w:rPr>
                <w:rFonts w:ascii="Arial" w:hAnsi="Arial" w:cs="Arial"/>
                <w:b/>
                <w:bCs/>
                <w:sz w:val="20"/>
                <w:szCs w:val="20"/>
              </w:rPr>
              <w:t xml:space="preserve"> </w:t>
            </w:r>
          </w:p>
        </w:tc>
        <w:tc>
          <w:tcPr>
            <w:tcW w:w="434" w:type="pct"/>
            <w:vAlign w:val="center"/>
          </w:tcPr>
          <w:p w14:paraId="06589768" w14:textId="0D5A210E" w:rsidR="00E9448B" w:rsidRPr="003875B6" w:rsidRDefault="00DB5AAE" w:rsidP="003875B6">
            <w:pPr>
              <w:spacing w:after="0" w:line="240" w:lineRule="auto"/>
              <w:jc w:val="right"/>
              <w:rPr>
                <w:rFonts w:ascii="Arial" w:hAnsi="Arial" w:cs="Arial"/>
                <w:b/>
                <w:bCs/>
                <w:sz w:val="20"/>
                <w:szCs w:val="20"/>
              </w:rPr>
            </w:pPr>
            <w:r w:rsidRPr="000D120B">
              <w:rPr>
                <w:rFonts w:ascii="Arial" w:hAnsi="Arial" w:cs="Arial"/>
                <w:b/>
                <w:bCs/>
                <w:sz w:val="20"/>
                <w:szCs w:val="20"/>
              </w:rPr>
              <w:t>-46%</w:t>
            </w:r>
          </w:p>
        </w:tc>
        <w:tc>
          <w:tcPr>
            <w:tcW w:w="400" w:type="pct"/>
            <w:vAlign w:val="center"/>
          </w:tcPr>
          <w:p w14:paraId="6C5A4860" w14:textId="73B21841" w:rsidR="00E9448B" w:rsidRPr="003875B6" w:rsidRDefault="00FC6577" w:rsidP="003875B6">
            <w:pPr>
              <w:spacing w:after="0" w:line="240" w:lineRule="auto"/>
              <w:jc w:val="right"/>
              <w:rPr>
                <w:rFonts w:ascii="Arial" w:hAnsi="Arial" w:cs="Arial"/>
                <w:b/>
                <w:bCs/>
                <w:sz w:val="20"/>
                <w:szCs w:val="20"/>
              </w:rPr>
            </w:pPr>
            <w:r w:rsidRPr="000D120B">
              <w:rPr>
                <w:rFonts w:ascii="Arial" w:hAnsi="Arial" w:cs="Arial"/>
                <w:b/>
                <w:bCs/>
                <w:sz w:val="20"/>
                <w:szCs w:val="20"/>
              </w:rPr>
              <w:t xml:space="preserve"> </w:t>
            </w:r>
            <w:r w:rsidR="00DB5AAE" w:rsidRPr="000D120B">
              <w:rPr>
                <w:rFonts w:ascii="Arial" w:hAnsi="Arial" w:cs="Arial"/>
                <w:b/>
                <w:bCs/>
                <w:sz w:val="20"/>
                <w:szCs w:val="20"/>
              </w:rPr>
              <w:t xml:space="preserve"> 20 </w:t>
            </w:r>
            <w:r w:rsidRPr="003875B6">
              <w:rPr>
                <w:rFonts w:ascii="Arial" w:hAnsi="Arial" w:cs="Arial"/>
                <w:b/>
                <w:bCs/>
                <w:sz w:val="20"/>
                <w:szCs w:val="20"/>
              </w:rPr>
              <w:t xml:space="preserve"> </w:t>
            </w:r>
          </w:p>
        </w:tc>
        <w:tc>
          <w:tcPr>
            <w:tcW w:w="478" w:type="pct"/>
            <w:vAlign w:val="center"/>
          </w:tcPr>
          <w:p w14:paraId="3FCE4DFE" w14:textId="1F5358D8" w:rsidR="00E9448B" w:rsidRPr="003875B6" w:rsidRDefault="00DB5AAE" w:rsidP="003875B6">
            <w:pPr>
              <w:spacing w:after="0" w:line="240" w:lineRule="auto"/>
              <w:jc w:val="right"/>
              <w:rPr>
                <w:rFonts w:ascii="Arial" w:hAnsi="Arial" w:cs="Arial"/>
                <w:b/>
                <w:bCs/>
                <w:sz w:val="20"/>
                <w:szCs w:val="20"/>
              </w:rPr>
            </w:pPr>
            <w:r w:rsidRPr="000D120B">
              <w:rPr>
                <w:rFonts w:ascii="Arial" w:hAnsi="Arial" w:cs="Arial"/>
                <w:b/>
                <w:bCs/>
                <w:sz w:val="20"/>
                <w:szCs w:val="20"/>
              </w:rPr>
              <w:t>-65%</w:t>
            </w:r>
          </w:p>
        </w:tc>
        <w:tc>
          <w:tcPr>
            <w:tcW w:w="410" w:type="pct"/>
            <w:vAlign w:val="center"/>
          </w:tcPr>
          <w:p w14:paraId="11E84DFE" w14:textId="5452B4A5" w:rsidR="00E9448B" w:rsidRPr="003875B6" w:rsidRDefault="00FC6577" w:rsidP="003875B6">
            <w:pPr>
              <w:spacing w:after="0" w:line="240" w:lineRule="auto"/>
              <w:jc w:val="right"/>
              <w:rPr>
                <w:rFonts w:ascii="Arial" w:hAnsi="Arial" w:cs="Arial"/>
                <w:b/>
                <w:bCs/>
                <w:sz w:val="20"/>
                <w:szCs w:val="20"/>
              </w:rPr>
            </w:pPr>
            <w:r w:rsidRPr="003875B6">
              <w:rPr>
                <w:rFonts w:ascii="Arial" w:hAnsi="Arial" w:cs="Arial"/>
                <w:b/>
                <w:bCs/>
                <w:sz w:val="20"/>
                <w:szCs w:val="20"/>
              </w:rPr>
              <w:t xml:space="preserve"> </w:t>
            </w:r>
            <w:r w:rsidR="00DB5AAE" w:rsidRPr="000D120B">
              <w:rPr>
                <w:rFonts w:ascii="Arial" w:hAnsi="Arial" w:cs="Arial"/>
                <w:b/>
                <w:bCs/>
                <w:sz w:val="20"/>
                <w:szCs w:val="20"/>
              </w:rPr>
              <w:t xml:space="preserve"> 63 </w:t>
            </w:r>
            <w:r w:rsidRPr="003875B6">
              <w:rPr>
                <w:rFonts w:ascii="Arial" w:hAnsi="Arial" w:cs="Arial"/>
                <w:b/>
                <w:bCs/>
                <w:sz w:val="20"/>
                <w:szCs w:val="20"/>
              </w:rPr>
              <w:t xml:space="preserve"> </w:t>
            </w:r>
          </w:p>
        </w:tc>
        <w:tc>
          <w:tcPr>
            <w:tcW w:w="388" w:type="pct"/>
            <w:vAlign w:val="center"/>
          </w:tcPr>
          <w:p w14:paraId="51BBDB9F" w14:textId="4D592595" w:rsidR="00E9448B" w:rsidRPr="003875B6" w:rsidRDefault="00DB5AAE" w:rsidP="003875B6">
            <w:pPr>
              <w:spacing w:after="0" w:line="240" w:lineRule="auto"/>
              <w:jc w:val="right"/>
              <w:rPr>
                <w:rFonts w:ascii="Arial" w:hAnsi="Arial" w:cs="Arial"/>
                <w:b/>
                <w:bCs/>
                <w:sz w:val="20"/>
                <w:szCs w:val="20"/>
              </w:rPr>
            </w:pPr>
            <w:r w:rsidRPr="000D120B">
              <w:rPr>
                <w:rFonts w:ascii="Arial" w:hAnsi="Arial" w:cs="Arial"/>
                <w:b/>
                <w:bCs/>
                <w:sz w:val="20"/>
                <w:szCs w:val="20"/>
              </w:rPr>
              <w:t xml:space="preserve"> 63 </w:t>
            </w:r>
          </w:p>
        </w:tc>
        <w:tc>
          <w:tcPr>
            <w:tcW w:w="434" w:type="pct"/>
            <w:vAlign w:val="center"/>
          </w:tcPr>
          <w:p w14:paraId="462E0C7D" w14:textId="32F1753F" w:rsidR="00E9448B" w:rsidRPr="003875B6" w:rsidRDefault="00DB5AAE" w:rsidP="003875B6">
            <w:pPr>
              <w:spacing w:after="0" w:line="240" w:lineRule="auto"/>
              <w:jc w:val="right"/>
              <w:rPr>
                <w:rFonts w:ascii="Arial" w:hAnsi="Arial" w:cs="Arial"/>
                <w:b/>
                <w:bCs/>
                <w:sz w:val="20"/>
                <w:szCs w:val="20"/>
              </w:rPr>
            </w:pPr>
            <w:r w:rsidRPr="000D120B">
              <w:rPr>
                <w:rFonts w:ascii="Arial" w:hAnsi="Arial" w:cs="Arial"/>
                <w:b/>
                <w:bCs/>
                <w:sz w:val="20"/>
                <w:szCs w:val="20"/>
              </w:rPr>
              <w:t>0%</w:t>
            </w:r>
          </w:p>
        </w:tc>
      </w:tr>
      <w:tr w:rsidR="008201B5" w:rsidRPr="008201B5" w14:paraId="77934995" w14:textId="6FA1FBE3" w:rsidTr="000D120B">
        <w:trPr>
          <w:trHeight w:val="266"/>
        </w:trPr>
        <w:tc>
          <w:tcPr>
            <w:tcW w:w="1398" w:type="pct"/>
            <w:tcBorders>
              <w:bottom w:val="single" w:sz="12" w:space="0" w:color="auto"/>
            </w:tcBorders>
            <w:shd w:val="clear" w:color="auto" w:fill="auto"/>
            <w:noWrap/>
            <w:vAlign w:val="bottom"/>
            <w:hideMark/>
          </w:tcPr>
          <w:p w14:paraId="2CBB17B6" w14:textId="77777777" w:rsidR="00E9448B" w:rsidRPr="008201B5" w:rsidRDefault="00E9448B" w:rsidP="00E9448B">
            <w:pPr>
              <w:spacing w:after="0" w:line="240" w:lineRule="auto"/>
              <w:jc w:val="both"/>
              <w:rPr>
                <w:rFonts w:ascii="Arial" w:eastAsia="Times New Roman" w:hAnsi="Arial" w:cs="Arial"/>
                <w:i/>
                <w:iCs/>
                <w:color w:val="000000"/>
                <w:sz w:val="20"/>
                <w:szCs w:val="20"/>
                <w:lang w:eastAsia="ru-RU"/>
              </w:rPr>
            </w:pPr>
            <w:r w:rsidRPr="008201B5">
              <w:rPr>
                <w:rFonts w:ascii="Arial" w:eastAsia="Times New Roman" w:hAnsi="Arial" w:cs="Arial"/>
                <w:i/>
                <w:iCs/>
                <w:color w:val="000000"/>
                <w:sz w:val="20"/>
                <w:szCs w:val="20"/>
                <w:lang w:eastAsia="ru-RU"/>
              </w:rPr>
              <w:t>Adjusted EBITDA margin</w:t>
            </w:r>
          </w:p>
          <w:p w14:paraId="4D41674F" w14:textId="607612C6" w:rsidR="00E9448B" w:rsidRPr="008201B5" w:rsidRDefault="00E9448B" w:rsidP="00E9448B">
            <w:pPr>
              <w:spacing w:after="0" w:line="240" w:lineRule="auto"/>
              <w:jc w:val="both"/>
              <w:rPr>
                <w:rFonts w:ascii="Arial" w:eastAsia="Times New Roman" w:hAnsi="Arial" w:cs="Arial"/>
                <w:i/>
                <w:iCs/>
                <w:color w:val="000000"/>
                <w:sz w:val="20"/>
                <w:szCs w:val="20"/>
                <w:lang w:eastAsia="ru-RU"/>
              </w:rPr>
            </w:pPr>
            <w:r w:rsidRPr="008201B5">
              <w:rPr>
                <w:rFonts w:ascii="Arial" w:eastAsia="Times New Roman" w:hAnsi="Arial" w:cs="Arial"/>
                <w:i/>
                <w:iCs/>
                <w:color w:val="000000"/>
                <w:sz w:val="20"/>
                <w:szCs w:val="20"/>
                <w:lang w:eastAsia="ru-RU"/>
              </w:rPr>
              <w:t xml:space="preserve"> </w:t>
            </w:r>
            <w:r w:rsidRPr="008201B5">
              <w:rPr>
                <w:rFonts w:ascii="Arial" w:eastAsia="Times New Roman" w:hAnsi="Arial" w:cs="Arial"/>
                <w:i/>
                <w:color w:val="000000"/>
                <w:sz w:val="20"/>
                <w:szCs w:val="20"/>
                <w:lang w:eastAsia="ru-RU"/>
              </w:rPr>
              <w:t>(net of IFRS 16)</w:t>
            </w:r>
          </w:p>
        </w:tc>
        <w:tc>
          <w:tcPr>
            <w:tcW w:w="115" w:type="pct"/>
          </w:tcPr>
          <w:p w14:paraId="61251432" w14:textId="77777777" w:rsidR="00E9448B" w:rsidRPr="008201B5" w:rsidRDefault="00E9448B" w:rsidP="00E9448B">
            <w:pPr>
              <w:spacing w:after="0" w:line="240" w:lineRule="auto"/>
              <w:jc w:val="right"/>
              <w:rPr>
                <w:rFonts w:ascii="Arial" w:eastAsia="Times New Roman" w:hAnsi="Arial" w:cs="Arial"/>
                <w:i/>
                <w:iCs/>
                <w:color w:val="000000"/>
                <w:sz w:val="20"/>
                <w:szCs w:val="20"/>
                <w:lang w:eastAsia="ru-RU"/>
              </w:rPr>
            </w:pPr>
          </w:p>
        </w:tc>
        <w:tc>
          <w:tcPr>
            <w:tcW w:w="471" w:type="pct"/>
            <w:tcBorders>
              <w:bottom w:val="single" w:sz="12" w:space="0" w:color="auto"/>
            </w:tcBorders>
            <w:shd w:val="clear" w:color="auto" w:fill="auto"/>
            <w:noWrap/>
            <w:vAlign w:val="center"/>
          </w:tcPr>
          <w:p w14:paraId="66849B7A" w14:textId="27A3E249" w:rsidR="00E9448B" w:rsidRPr="003875B6" w:rsidRDefault="00DB5AAE" w:rsidP="00F74471">
            <w:pPr>
              <w:spacing w:after="0" w:line="240" w:lineRule="auto"/>
              <w:jc w:val="right"/>
              <w:rPr>
                <w:rFonts w:ascii="Arial" w:hAnsi="Arial" w:cs="Arial"/>
                <w:i/>
                <w:iCs/>
                <w:sz w:val="20"/>
                <w:szCs w:val="20"/>
              </w:rPr>
            </w:pPr>
            <w:r w:rsidRPr="000D120B">
              <w:rPr>
                <w:rFonts w:ascii="Arial" w:hAnsi="Arial" w:cs="Arial"/>
                <w:i/>
                <w:iCs/>
                <w:sz w:val="20"/>
                <w:szCs w:val="20"/>
              </w:rPr>
              <w:t>6%</w:t>
            </w:r>
          </w:p>
        </w:tc>
        <w:tc>
          <w:tcPr>
            <w:tcW w:w="471" w:type="pct"/>
            <w:tcBorders>
              <w:bottom w:val="single" w:sz="12" w:space="0" w:color="auto"/>
            </w:tcBorders>
            <w:shd w:val="clear" w:color="auto" w:fill="auto"/>
            <w:noWrap/>
            <w:vAlign w:val="center"/>
          </w:tcPr>
          <w:p w14:paraId="20F1E16D" w14:textId="42F4CDF8" w:rsidR="00E9448B" w:rsidRPr="003875B6" w:rsidRDefault="00DB5AAE" w:rsidP="00F74471">
            <w:pPr>
              <w:spacing w:after="0" w:line="240" w:lineRule="auto"/>
              <w:jc w:val="right"/>
              <w:rPr>
                <w:rFonts w:ascii="Arial" w:hAnsi="Arial" w:cs="Arial"/>
                <w:i/>
                <w:iCs/>
                <w:sz w:val="20"/>
                <w:szCs w:val="20"/>
              </w:rPr>
            </w:pPr>
            <w:r w:rsidRPr="000D120B">
              <w:rPr>
                <w:rFonts w:ascii="Arial" w:hAnsi="Arial" w:cs="Arial"/>
                <w:i/>
                <w:iCs/>
                <w:sz w:val="20"/>
                <w:szCs w:val="20"/>
              </w:rPr>
              <w:t>13%</w:t>
            </w:r>
          </w:p>
        </w:tc>
        <w:tc>
          <w:tcPr>
            <w:tcW w:w="434" w:type="pct"/>
            <w:tcBorders>
              <w:bottom w:val="single" w:sz="12" w:space="0" w:color="auto"/>
            </w:tcBorders>
            <w:vAlign w:val="center"/>
          </w:tcPr>
          <w:p w14:paraId="10DCE3F2" w14:textId="7F241D65" w:rsidR="00E9448B" w:rsidRPr="003875B6" w:rsidRDefault="00DB5AAE" w:rsidP="00F74471">
            <w:pPr>
              <w:spacing w:after="0" w:line="240" w:lineRule="auto"/>
              <w:jc w:val="right"/>
              <w:rPr>
                <w:rFonts w:ascii="Arial" w:hAnsi="Arial" w:cs="Arial"/>
                <w:i/>
                <w:iCs/>
                <w:sz w:val="20"/>
                <w:szCs w:val="20"/>
              </w:rPr>
            </w:pPr>
            <w:r w:rsidRPr="000D120B">
              <w:rPr>
                <w:rFonts w:ascii="Arial" w:hAnsi="Arial" w:cs="Arial"/>
                <w:i/>
                <w:iCs/>
                <w:sz w:val="20"/>
                <w:szCs w:val="20"/>
              </w:rPr>
              <w:t xml:space="preserve">-7 </w:t>
            </w:r>
            <w:proofErr w:type="spellStart"/>
            <w:r w:rsidRPr="000D120B">
              <w:rPr>
                <w:rFonts w:ascii="Arial" w:hAnsi="Arial" w:cs="Arial"/>
                <w:i/>
                <w:iCs/>
                <w:sz w:val="20"/>
                <w:szCs w:val="20"/>
              </w:rPr>
              <w:t>pps</w:t>
            </w:r>
            <w:proofErr w:type="spellEnd"/>
          </w:p>
        </w:tc>
        <w:tc>
          <w:tcPr>
            <w:tcW w:w="400" w:type="pct"/>
            <w:tcBorders>
              <w:bottom w:val="single" w:sz="12" w:space="0" w:color="auto"/>
            </w:tcBorders>
            <w:vAlign w:val="center"/>
          </w:tcPr>
          <w:p w14:paraId="75D0BAAB" w14:textId="40002483" w:rsidR="00E9448B" w:rsidRPr="003875B6" w:rsidRDefault="00DB5AAE" w:rsidP="00F74471">
            <w:pPr>
              <w:spacing w:after="0" w:line="240" w:lineRule="auto"/>
              <w:jc w:val="right"/>
              <w:rPr>
                <w:rFonts w:ascii="Arial" w:hAnsi="Arial" w:cs="Arial"/>
                <w:i/>
                <w:iCs/>
                <w:sz w:val="20"/>
                <w:szCs w:val="20"/>
              </w:rPr>
            </w:pPr>
            <w:r w:rsidRPr="000D120B">
              <w:rPr>
                <w:rFonts w:ascii="Arial" w:hAnsi="Arial" w:cs="Arial"/>
                <w:i/>
                <w:iCs/>
                <w:sz w:val="20"/>
                <w:szCs w:val="20"/>
              </w:rPr>
              <w:t>17%</w:t>
            </w:r>
          </w:p>
        </w:tc>
        <w:tc>
          <w:tcPr>
            <w:tcW w:w="478" w:type="pct"/>
            <w:tcBorders>
              <w:bottom w:val="single" w:sz="12" w:space="0" w:color="auto"/>
            </w:tcBorders>
            <w:vAlign w:val="center"/>
          </w:tcPr>
          <w:p w14:paraId="6592C78B" w14:textId="1FF2672E" w:rsidR="00E9448B" w:rsidRPr="003875B6" w:rsidRDefault="00DB5AAE" w:rsidP="00F74471">
            <w:pPr>
              <w:spacing w:after="0" w:line="240" w:lineRule="auto"/>
              <w:jc w:val="right"/>
              <w:rPr>
                <w:rFonts w:ascii="Arial" w:hAnsi="Arial" w:cs="Arial"/>
                <w:i/>
                <w:iCs/>
                <w:sz w:val="20"/>
                <w:szCs w:val="20"/>
              </w:rPr>
            </w:pPr>
            <w:r w:rsidRPr="000D120B">
              <w:rPr>
                <w:rFonts w:ascii="Arial" w:hAnsi="Arial" w:cs="Arial"/>
                <w:i/>
                <w:iCs/>
                <w:sz w:val="20"/>
                <w:szCs w:val="20"/>
              </w:rPr>
              <w:t xml:space="preserve">-11 </w:t>
            </w:r>
            <w:proofErr w:type="spellStart"/>
            <w:r w:rsidRPr="000D120B">
              <w:rPr>
                <w:rFonts w:ascii="Arial" w:hAnsi="Arial" w:cs="Arial"/>
                <w:i/>
                <w:iCs/>
                <w:sz w:val="20"/>
                <w:szCs w:val="20"/>
              </w:rPr>
              <w:t>pps</w:t>
            </w:r>
            <w:proofErr w:type="spellEnd"/>
          </w:p>
        </w:tc>
        <w:tc>
          <w:tcPr>
            <w:tcW w:w="410" w:type="pct"/>
            <w:tcBorders>
              <w:bottom w:val="single" w:sz="12" w:space="0" w:color="auto"/>
            </w:tcBorders>
            <w:vAlign w:val="center"/>
          </w:tcPr>
          <w:p w14:paraId="0C7B98E1" w14:textId="02027453" w:rsidR="00E9448B" w:rsidRPr="003875B6" w:rsidRDefault="00DB5AAE" w:rsidP="00F74471">
            <w:pPr>
              <w:spacing w:after="0" w:line="240" w:lineRule="auto"/>
              <w:jc w:val="right"/>
              <w:rPr>
                <w:rFonts w:ascii="Arial" w:hAnsi="Arial" w:cs="Arial"/>
                <w:i/>
                <w:iCs/>
                <w:sz w:val="20"/>
                <w:szCs w:val="20"/>
              </w:rPr>
            </w:pPr>
            <w:r w:rsidRPr="000D120B">
              <w:rPr>
                <w:rFonts w:ascii="Arial" w:hAnsi="Arial" w:cs="Arial"/>
                <w:i/>
                <w:iCs/>
                <w:sz w:val="20"/>
                <w:szCs w:val="20"/>
              </w:rPr>
              <w:t>14%</w:t>
            </w:r>
          </w:p>
        </w:tc>
        <w:tc>
          <w:tcPr>
            <w:tcW w:w="388" w:type="pct"/>
            <w:tcBorders>
              <w:bottom w:val="single" w:sz="12" w:space="0" w:color="auto"/>
            </w:tcBorders>
            <w:vAlign w:val="center"/>
          </w:tcPr>
          <w:p w14:paraId="2E101210" w14:textId="490613FD" w:rsidR="00E9448B" w:rsidRPr="003875B6" w:rsidRDefault="00DB5AAE" w:rsidP="00F74471">
            <w:pPr>
              <w:spacing w:after="0" w:line="240" w:lineRule="auto"/>
              <w:jc w:val="right"/>
              <w:rPr>
                <w:rFonts w:ascii="Arial" w:hAnsi="Arial" w:cs="Arial"/>
                <w:i/>
                <w:iCs/>
                <w:sz w:val="20"/>
                <w:szCs w:val="20"/>
              </w:rPr>
            </w:pPr>
            <w:r w:rsidRPr="000D120B">
              <w:rPr>
                <w:rFonts w:ascii="Arial" w:hAnsi="Arial" w:cs="Arial"/>
                <w:i/>
                <w:iCs/>
                <w:sz w:val="20"/>
                <w:szCs w:val="20"/>
              </w:rPr>
              <w:t>16%</w:t>
            </w:r>
          </w:p>
        </w:tc>
        <w:tc>
          <w:tcPr>
            <w:tcW w:w="434" w:type="pct"/>
            <w:tcBorders>
              <w:bottom w:val="single" w:sz="12" w:space="0" w:color="auto"/>
            </w:tcBorders>
            <w:vAlign w:val="center"/>
          </w:tcPr>
          <w:p w14:paraId="3449238F" w14:textId="524D4F3A" w:rsidR="00E9448B" w:rsidRPr="003875B6" w:rsidRDefault="00DB5AAE" w:rsidP="00F74471">
            <w:pPr>
              <w:spacing w:after="0" w:line="240" w:lineRule="auto"/>
              <w:jc w:val="right"/>
              <w:rPr>
                <w:rFonts w:ascii="Arial" w:hAnsi="Arial" w:cs="Arial"/>
                <w:i/>
                <w:iCs/>
                <w:sz w:val="20"/>
                <w:szCs w:val="20"/>
              </w:rPr>
            </w:pPr>
            <w:r w:rsidRPr="000D120B">
              <w:rPr>
                <w:rFonts w:ascii="Arial" w:hAnsi="Arial" w:cs="Arial"/>
                <w:i/>
                <w:iCs/>
                <w:sz w:val="20"/>
                <w:szCs w:val="20"/>
              </w:rPr>
              <w:t xml:space="preserve">-2 </w:t>
            </w:r>
            <w:proofErr w:type="spellStart"/>
            <w:r w:rsidRPr="000D120B">
              <w:rPr>
                <w:rFonts w:ascii="Arial" w:hAnsi="Arial" w:cs="Arial"/>
                <w:i/>
                <w:iCs/>
                <w:sz w:val="20"/>
                <w:szCs w:val="20"/>
              </w:rPr>
              <w:t>pps</w:t>
            </w:r>
            <w:proofErr w:type="spellEnd"/>
          </w:p>
        </w:tc>
      </w:tr>
    </w:tbl>
    <w:p w14:paraId="177EA252" w14:textId="36B3C290" w:rsidR="00725604" w:rsidRPr="002C6B0C" w:rsidRDefault="00725604" w:rsidP="000C1D3E">
      <w:pPr>
        <w:spacing w:before="60" w:after="0" w:line="240" w:lineRule="auto"/>
        <w:rPr>
          <w:rFonts w:ascii="Arial" w:hAnsi="Arial" w:cs="Arial"/>
          <w:i/>
          <w:sz w:val="16"/>
          <w:szCs w:val="16"/>
        </w:rPr>
      </w:pPr>
      <w:r w:rsidRPr="002C6B0C">
        <w:rPr>
          <w:rFonts w:ascii="Arial" w:hAnsi="Arial" w:cs="Arial"/>
          <w:i/>
          <w:sz w:val="16"/>
          <w:szCs w:val="16"/>
          <w:vertAlign w:val="superscript"/>
        </w:rPr>
        <w:t>1)</w:t>
      </w:r>
      <w:r w:rsidRPr="002C6B0C">
        <w:rPr>
          <w:rFonts w:ascii="Arial" w:hAnsi="Arial" w:cs="Arial"/>
          <w:i/>
          <w:sz w:val="16"/>
          <w:szCs w:val="16"/>
        </w:rPr>
        <w:t xml:space="preserve"> </w:t>
      </w:r>
      <w:proofErr w:type="spellStart"/>
      <w:r w:rsidRPr="002C6B0C">
        <w:rPr>
          <w:rFonts w:ascii="Arial" w:hAnsi="Arial" w:cs="Arial"/>
          <w:i/>
          <w:sz w:val="16"/>
          <w:szCs w:val="16"/>
        </w:rPr>
        <w:t>pps</w:t>
      </w:r>
      <w:proofErr w:type="spellEnd"/>
      <w:r w:rsidRPr="002C6B0C">
        <w:rPr>
          <w:rFonts w:ascii="Arial" w:hAnsi="Arial" w:cs="Arial"/>
          <w:i/>
          <w:sz w:val="16"/>
          <w:szCs w:val="16"/>
        </w:rPr>
        <w:t xml:space="preserve"> – percentage points.</w:t>
      </w:r>
    </w:p>
    <w:p w14:paraId="4883AEDF" w14:textId="63C58704" w:rsidR="00794B3B" w:rsidRPr="003875B6" w:rsidRDefault="00C940DE" w:rsidP="000C1D3E">
      <w:pPr>
        <w:autoSpaceDE w:val="0"/>
        <w:spacing w:before="240"/>
        <w:jc w:val="both"/>
        <w:rPr>
          <w:rFonts w:ascii="Arial" w:eastAsia="Times New Roman" w:hAnsi="Arial" w:cs="Arial"/>
          <w:color w:val="000000" w:themeColor="text1"/>
          <w:sz w:val="20"/>
          <w:szCs w:val="20"/>
          <w:lang w:eastAsia="uk-UA"/>
        </w:rPr>
      </w:pPr>
      <w:r w:rsidRPr="003875B6">
        <w:rPr>
          <w:rFonts w:ascii="Arial" w:eastAsia="Times New Roman" w:hAnsi="Arial" w:cs="Arial"/>
          <w:color w:val="000000" w:themeColor="text1"/>
          <w:sz w:val="20"/>
          <w:szCs w:val="20"/>
          <w:lang w:eastAsia="uk-UA"/>
        </w:rPr>
        <w:t xml:space="preserve">The </w:t>
      </w:r>
      <w:r w:rsidR="00C57F50" w:rsidRPr="003875B6">
        <w:rPr>
          <w:rFonts w:ascii="Arial" w:eastAsia="Times New Roman" w:hAnsi="Arial" w:cs="Arial"/>
          <w:color w:val="000000" w:themeColor="text1"/>
          <w:sz w:val="20"/>
          <w:szCs w:val="20"/>
          <w:lang w:eastAsia="uk-UA"/>
        </w:rPr>
        <w:t xml:space="preserve">European </w:t>
      </w:r>
      <w:r w:rsidRPr="003875B6">
        <w:rPr>
          <w:rFonts w:ascii="Arial" w:eastAsia="Times New Roman" w:hAnsi="Arial" w:cs="Arial"/>
          <w:color w:val="000000" w:themeColor="text1"/>
          <w:sz w:val="20"/>
          <w:szCs w:val="20"/>
          <w:lang w:eastAsia="uk-UA"/>
        </w:rPr>
        <w:t>O</w:t>
      </w:r>
      <w:r w:rsidR="00C57F50" w:rsidRPr="003875B6">
        <w:rPr>
          <w:rFonts w:ascii="Arial" w:eastAsia="Times New Roman" w:hAnsi="Arial" w:cs="Arial"/>
          <w:color w:val="000000" w:themeColor="text1"/>
          <w:sz w:val="20"/>
          <w:szCs w:val="20"/>
          <w:lang w:eastAsia="uk-UA"/>
        </w:rPr>
        <w:t xml:space="preserve">perating </w:t>
      </w:r>
      <w:r w:rsidRPr="003875B6">
        <w:rPr>
          <w:rFonts w:ascii="Arial" w:eastAsia="Times New Roman" w:hAnsi="Arial" w:cs="Arial"/>
          <w:color w:val="000000" w:themeColor="text1"/>
          <w:sz w:val="20"/>
          <w:szCs w:val="20"/>
          <w:lang w:eastAsia="uk-UA"/>
        </w:rPr>
        <w:t>S</w:t>
      </w:r>
      <w:r w:rsidR="00C57F50" w:rsidRPr="003875B6">
        <w:rPr>
          <w:rFonts w:ascii="Arial" w:eastAsia="Times New Roman" w:hAnsi="Arial" w:cs="Arial"/>
          <w:color w:val="000000" w:themeColor="text1"/>
          <w:sz w:val="20"/>
          <w:szCs w:val="20"/>
          <w:lang w:eastAsia="uk-UA"/>
        </w:rPr>
        <w:t xml:space="preserve">egment’s revenue </w:t>
      </w:r>
      <w:r w:rsidRPr="003875B6">
        <w:rPr>
          <w:rFonts w:ascii="Arial" w:eastAsia="Times New Roman" w:hAnsi="Arial" w:cs="Arial"/>
          <w:color w:val="000000" w:themeColor="text1"/>
          <w:sz w:val="20"/>
          <w:szCs w:val="20"/>
          <w:lang w:eastAsia="uk-UA"/>
        </w:rPr>
        <w:t xml:space="preserve">for </w:t>
      </w:r>
      <w:r w:rsidR="00D2118D" w:rsidRPr="003875B6">
        <w:rPr>
          <w:rFonts w:ascii="Arial" w:eastAsia="Times New Roman" w:hAnsi="Arial" w:cs="Arial"/>
          <w:color w:val="000000" w:themeColor="text1"/>
          <w:sz w:val="20"/>
          <w:szCs w:val="20"/>
          <w:lang w:eastAsia="uk-UA"/>
        </w:rPr>
        <w:t>12</w:t>
      </w:r>
      <w:r w:rsidR="007C51B3" w:rsidRPr="003875B6">
        <w:rPr>
          <w:rFonts w:ascii="Arial" w:eastAsia="Times New Roman" w:hAnsi="Arial" w:cs="Arial"/>
          <w:color w:val="000000" w:themeColor="text1"/>
          <w:sz w:val="20"/>
          <w:szCs w:val="20"/>
          <w:lang w:eastAsia="uk-UA"/>
        </w:rPr>
        <w:t>M</w:t>
      </w:r>
      <w:r w:rsidR="00C57F50" w:rsidRPr="003875B6">
        <w:rPr>
          <w:rFonts w:ascii="Arial" w:eastAsia="Times New Roman" w:hAnsi="Arial" w:cs="Arial"/>
          <w:color w:val="000000" w:themeColor="text1"/>
          <w:sz w:val="20"/>
          <w:szCs w:val="20"/>
          <w:lang w:eastAsia="uk-UA"/>
        </w:rPr>
        <w:t xml:space="preserve"> </w:t>
      </w:r>
      <w:r w:rsidR="00E22622" w:rsidRPr="003875B6">
        <w:rPr>
          <w:rFonts w:ascii="Arial" w:eastAsia="Times New Roman" w:hAnsi="Arial" w:cs="Arial"/>
          <w:color w:val="000000" w:themeColor="text1"/>
          <w:sz w:val="20"/>
          <w:szCs w:val="20"/>
          <w:lang w:eastAsia="uk-UA"/>
        </w:rPr>
        <w:t>2022</w:t>
      </w:r>
      <w:r w:rsidR="00C57F50" w:rsidRPr="003875B6">
        <w:rPr>
          <w:rFonts w:ascii="Arial" w:eastAsia="Times New Roman" w:hAnsi="Arial" w:cs="Arial"/>
          <w:color w:val="000000" w:themeColor="text1"/>
          <w:sz w:val="20"/>
          <w:szCs w:val="20"/>
          <w:lang w:eastAsia="uk-UA"/>
        </w:rPr>
        <w:t xml:space="preserve"> </w:t>
      </w:r>
      <w:r w:rsidR="00C45EB6" w:rsidRPr="003875B6">
        <w:rPr>
          <w:rFonts w:ascii="Arial" w:eastAsia="Times New Roman" w:hAnsi="Arial" w:cs="Arial"/>
          <w:color w:val="000000" w:themeColor="text1"/>
          <w:sz w:val="20"/>
          <w:szCs w:val="20"/>
          <w:lang w:eastAsia="uk-UA"/>
        </w:rPr>
        <w:t>increased by</w:t>
      </w:r>
      <w:r w:rsidR="00B008E9" w:rsidRPr="003875B6">
        <w:rPr>
          <w:rFonts w:ascii="Arial" w:eastAsia="Times New Roman" w:hAnsi="Arial" w:cs="Arial"/>
          <w:color w:val="000000" w:themeColor="text1"/>
          <w:sz w:val="20"/>
          <w:szCs w:val="20"/>
          <w:lang w:eastAsia="uk-UA"/>
        </w:rPr>
        <w:t xml:space="preserve"> </w:t>
      </w:r>
      <w:r w:rsidR="00DB5AAE" w:rsidRPr="000D120B">
        <w:rPr>
          <w:rFonts w:ascii="Arial" w:hAnsi="Arial" w:cs="Arial"/>
          <w:sz w:val="20"/>
          <w:szCs w:val="20"/>
        </w:rPr>
        <w:t>16%</w:t>
      </w:r>
      <w:r w:rsidR="003019DA" w:rsidRPr="003875B6">
        <w:rPr>
          <w:rFonts w:ascii="Arial" w:eastAsia="Times New Roman" w:hAnsi="Arial" w:cs="Arial"/>
          <w:color w:val="000000" w:themeColor="text1"/>
          <w:sz w:val="20"/>
          <w:szCs w:val="20"/>
          <w:lang w:eastAsia="uk-UA"/>
        </w:rPr>
        <w:t xml:space="preserve"> </w:t>
      </w:r>
      <w:r w:rsidR="00C57F50" w:rsidRPr="003875B6">
        <w:rPr>
          <w:rFonts w:ascii="Arial" w:eastAsia="Times New Roman" w:hAnsi="Arial" w:cs="Arial"/>
          <w:color w:val="000000" w:themeColor="text1"/>
          <w:sz w:val="20"/>
          <w:szCs w:val="20"/>
          <w:lang w:eastAsia="uk-UA"/>
        </w:rPr>
        <w:t>to US$</w:t>
      </w:r>
      <w:r w:rsidR="00866C45" w:rsidRPr="003875B6">
        <w:rPr>
          <w:rFonts w:ascii="Arial" w:eastAsia="Times New Roman" w:hAnsi="Arial" w:cs="Arial"/>
          <w:color w:val="000000" w:themeColor="text1"/>
          <w:sz w:val="20"/>
          <w:szCs w:val="20"/>
          <w:lang w:eastAsia="uk-UA"/>
        </w:rPr>
        <w:t xml:space="preserve"> </w:t>
      </w:r>
      <w:r w:rsidR="00DB5AAE" w:rsidRPr="000D120B">
        <w:rPr>
          <w:rFonts w:ascii="Arial" w:hAnsi="Arial" w:cs="Arial"/>
          <w:sz w:val="20"/>
          <w:szCs w:val="20"/>
        </w:rPr>
        <w:t>464</w:t>
      </w:r>
      <w:r w:rsidR="00147E61" w:rsidRPr="003875B6">
        <w:rPr>
          <w:rFonts w:ascii="Arial" w:eastAsia="Times New Roman" w:hAnsi="Arial" w:cs="Arial"/>
          <w:color w:val="000000" w:themeColor="text1"/>
          <w:sz w:val="20"/>
          <w:szCs w:val="20"/>
          <w:lang w:eastAsia="uk-UA"/>
        </w:rPr>
        <w:t xml:space="preserve"> </w:t>
      </w:r>
      <w:r w:rsidR="00C57F50" w:rsidRPr="003875B6">
        <w:rPr>
          <w:rFonts w:ascii="Arial" w:eastAsia="Times New Roman" w:hAnsi="Arial" w:cs="Arial"/>
          <w:color w:val="000000" w:themeColor="text1"/>
          <w:sz w:val="20"/>
          <w:szCs w:val="20"/>
          <w:lang w:eastAsia="uk-UA"/>
        </w:rPr>
        <w:t xml:space="preserve">million </w:t>
      </w:r>
      <w:r w:rsidR="00990408" w:rsidRPr="003875B6">
        <w:rPr>
          <w:rFonts w:ascii="Arial" w:eastAsia="Times New Roman" w:hAnsi="Arial" w:cs="Arial"/>
          <w:color w:val="000000" w:themeColor="text1"/>
          <w:sz w:val="20"/>
          <w:szCs w:val="20"/>
          <w:lang w:eastAsia="uk-UA"/>
        </w:rPr>
        <w:t>(</w:t>
      </w:r>
      <w:r w:rsidR="00D2118D" w:rsidRPr="003875B6">
        <w:rPr>
          <w:rFonts w:ascii="Arial" w:eastAsia="Times New Roman" w:hAnsi="Arial" w:cs="Arial"/>
          <w:color w:val="000000" w:themeColor="text1"/>
          <w:sz w:val="20"/>
          <w:szCs w:val="20"/>
          <w:lang w:eastAsia="uk-UA"/>
        </w:rPr>
        <w:t>12</w:t>
      </w:r>
      <w:r w:rsidR="007C51B3" w:rsidRPr="003875B6">
        <w:rPr>
          <w:rFonts w:ascii="Arial" w:eastAsia="Times New Roman" w:hAnsi="Arial" w:cs="Arial"/>
          <w:color w:val="000000" w:themeColor="text1"/>
          <w:sz w:val="20"/>
          <w:szCs w:val="20"/>
          <w:lang w:eastAsia="uk-UA"/>
        </w:rPr>
        <w:t>M</w:t>
      </w:r>
      <w:r w:rsidR="00921566" w:rsidRPr="003875B6">
        <w:rPr>
          <w:rFonts w:ascii="Arial" w:eastAsia="Times New Roman" w:hAnsi="Arial" w:cs="Arial"/>
          <w:color w:val="000000" w:themeColor="text1"/>
          <w:sz w:val="20"/>
          <w:szCs w:val="20"/>
          <w:lang w:eastAsia="uk-UA"/>
        </w:rPr>
        <w:t> </w:t>
      </w:r>
      <w:r w:rsidR="00E22622" w:rsidRPr="003875B6">
        <w:rPr>
          <w:rFonts w:ascii="Arial" w:eastAsia="Times New Roman" w:hAnsi="Arial" w:cs="Arial"/>
          <w:color w:val="000000" w:themeColor="text1"/>
          <w:sz w:val="20"/>
          <w:szCs w:val="20"/>
          <w:lang w:eastAsia="uk-UA"/>
        </w:rPr>
        <w:t>202</w:t>
      </w:r>
      <w:r w:rsidR="00BA02AF" w:rsidRPr="003875B6">
        <w:rPr>
          <w:rFonts w:ascii="Arial" w:eastAsia="Times New Roman" w:hAnsi="Arial" w:cs="Arial"/>
          <w:color w:val="000000" w:themeColor="text1"/>
          <w:sz w:val="20"/>
          <w:szCs w:val="20"/>
          <w:lang w:eastAsia="uk-UA"/>
        </w:rPr>
        <w:t>1</w:t>
      </w:r>
      <w:r w:rsidR="00990408" w:rsidRPr="003875B6">
        <w:rPr>
          <w:rFonts w:ascii="Arial" w:eastAsia="Times New Roman" w:hAnsi="Arial" w:cs="Arial"/>
          <w:color w:val="000000" w:themeColor="text1"/>
          <w:sz w:val="20"/>
          <w:szCs w:val="20"/>
          <w:lang w:eastAsia="uk-UA"/>
        </w:rPr>
        <w:t>: US$</w:t>
      </w:r>
      <w:r w:rsidR="00866C45" w:rsidRPr="003875B6">
        <w:rPr>
          <w:rFonts w:ascii="Arial" w:eastAsia="Times New Roman" w:hAnsi="Arial" w:cs="Arial"/>
          <w:color w:val="000000" w:themeColor="text1"/>
          <w:sz w:val="20"/>
          <w:szCs w:val="20"/>
          <w:lang w:eastAsia="uk-UA"/>
        </w:rPr>
        <w:t xml:space="preserve"> </w:t>
      </w:r>
      <w:r w:rsidR="00DB5AAE" w:rsidRPr="000D120B">
        <w:rPr>
          <w:rFonts w:ascii="Arial" w:hAnsi="Arial" w:cs="Arial"/>
          <w:sz w:val="20"/>
          <w:szCs w:val="20"/>
        </w:rPr>
        <w:t xml:space="preserve">401 </w:t>
      </w:r>
      <w:r w:rsidR="00866C45" w:rsidRPr="003875B6">
        <w:rPr>
          <w:rFonts w:ascii="Arial" w:eastAsia="Times New Roman" w:hAnsi="Arial" w:cs="Arial"/>
          <w:color w:val="000000" w:themeColor="text1"/>
          <w:sz w:val="20"/>
          <w:szCs w:val="20"/>
          <w:lang w:eastAsia="uk-UA"/>
        </w:rPr>
        <w:t xml:space="preserve"> </w:t>
      </w:r>
      <w:r w:rsidR="00391856" w:rsidRPr="003875B6">
        <w:rPr>
          <w:rFonts w:ascii="Arial" w:eastAsia="Times New Roman" w:hAnsi="Arial" w:cs="Arial"/>
          <w:color w:val="000000" w:themeColor="text1"/>
          <w:sz w:val="20"/>
          <w:szCs w:val="20"/>
          <w:lang w:eastAsia="uk-UA"/>
        </w:rPr>
        <w:t>million)</w:t>
      </w:r>
      <w:r w:rsidR="00C45EB6" w:rsidRPr="003875B6">
        <w:rPr>
          <w:rFonts w:ascii="Arial" w:eastAsia="Times New Roman" w:hAnsi="Arial" w:cs="Arial"/>
          <w:color w:val="000000" w:themeColor="text1"/>
          <w:sz w:val="20"/>
          <w:szCs w:val="20"/>
          <w:lang w:eastAsia="uk-UA"/>
        </w:rPr>
        <w:t xml:space="preserve">, mainly </w:t>
      </w:r>
      <w:r w:rsidRPr="003875B6">
        <w:rPr>
          <w:rFonts w:ascii="Arial" w:eastAsia="Times New Roman" w:hAnsi="Arial" w:cs="Arial"/>
          <w:color w:val="000000" w:themeColor="text1"/>
          <w:sz w:val="20"/>
          <w:szCs w:val="20"/>
          <w:lang w:eastAsia="uk-UA"/>
        </w:rPr>
        <w:t>driven by an</w:t>
      </w:r>
      <w:r w:rsidR="00C45EB6" w:rsidRPr="003875B6">
        <w:rPr>
          <w:rFonts w:ascii="Arial" w:eastAsia="Times New Roman" w:hAnsi="Arial" w:cs="Arial"/>
          <w:color w:val="000000" w:themeColor="text1"/>
          <w:sz w:val="20"/>
          <w:szCs w:val="20"/>
          <w:lang w:eastAsia="uk-UA"/>
        </w:rPr>
        <w:t xml:space="preserve"> increase in poultry sales volume</w:t>
      </w:r>
      <w:r w:rsidRPr="003875B6">
        <w:rPr>
          <w:rFonts w:ascii="Arial" w:eastAsia="Times New Roman" w:hAnsi="Arial" w:cs="Arial"/>
          <w:color w:val="000000" w:themeColor="text1"/>
          <w:sz w:val="20"/>
          <w:szCs w:val="20"/>
          <w:lang w:eastAsia="uk-UA"/>
        </w:rPr>
        <w:t>s</w:t>
      </w:r>
      <w:r w:rsidR="00AA1AD9" w:rsidRPr="003875B6">
        <w:rPr>
          <w:rFonts w:ascii="Arial" w:eastAsia="Times New Roman" w:hAnsi="Arial" w:cs="Arial"/>
          <w:color w:val="000000" w:themeColor="text1"/>
          <w:sz w:val="20"/>
          <w:szCs w:val="20"/>
          <w:lang w:eastAsia="uk-UA"/>
        </w:rPr>
        <w:t xml:space="preserve"> and price</w:t>
      </w:r>
      <w:r w:rsidRPr="003875B6">
        <w:rPr>
          <w:rFonts w:ascii="Arial" w:eastAsia="Times New Roman" w:hAnsi="Arial" w:cs="Arial"/>
          <w:color w:val="000000" w:themeColor="text1"/>
          <w:sz w:val="20"/>
          <w:szCs w:val="20"/>
          <w:lang w:eastAsia="uk-UA"/>
        </w:rPr>
        <w:t>s</w:t>
      </w:r>
      <w:r w:rsidR="00C57F50" w:rsidRPr="003875B6">
        <w:rPr>
          <w:rFonts w:ascii="Arial" w:eastAsia="Times New Roman" w:hAnsi="Arial" w:cs="Arial"/>
          <w:color w:val="000000" w:themeColor="text1"/>
          <w:sz w:val="20"/>
          <w:szCs w:val="20"/>
          <w:lang w:eastAsia="uk-UA"/>
        </w:rPr>
        <w:t xml:space="preserve">. </w:t>
      </w:r>
    </w:p>
    <w:p w14:paraId="6C9361C0" w14:textId="0429F7F4" w:rsidR="00874D46" w:rsidRPr="003875B6" w:rsidRDefault="00C940DE" w:rsidP="000C1D3E">
      <w:pPr>
        <w:autoSpaceDE w:val="0"/>
        <w:spacing w:before="240"/>
        <w:jc w:val="both"/>
        <w:rPr>
          <w:rFonts w:ascii="Arial" w:eastAsia="Times New Roman" w:hAnsi="Arial" w:cs="Arial"/>
          <w:color w:val="000000" w:themeColor="text1"/>
          <w:sz w:val="20"/>
          <w:szCs w:val="20"/>
          <w:lang w:val="uk-UA" w:eastAsia="uk-UA"/>
        </w:rPr>
      </w:pPr>
      <w:r w:rsidRPr="003875B6">
        <w:rPr>
          <w:rFonts w:ascii="Arial" w:eastAsia="Times New Roman" w:hAnsi="Arial" w:cs="Arial"/>
          <w:color w:val="000000" w:themeColor="text1"/>
          <w:sz w:val="20"/>
          <w:szCs w:val="20"/>
          <w:lang w:eastAsia="uk-UA"/>
        </w:rPr>
        <w:t>12M 2022 a</w:t>
      </w:r>
      <w:r w:rsidR="00962C3D" w:rsidRPr="003875B6">
        <w:rPr>
          <w:rFonts w:ascii="Arial" w:eastAsia="Times New Roman" w:hAnsi="Arial" w:cs="Arial"/>
          <w:color w:val="000000" w:themeColor="text1"/>
          <w:sz w:val="20"/>
          <w:szCs w:val="20"/>
          <w:lang w:eastAsia="uk-UA"/>
        </w:rPr>
        <w:t xml:space="preserve">djusted EBITDA (net of </w:t>
      </w:r>
      <w:r w:rsidR="00962C3D" w:rsidRPr="007D17AF">
        <w:rPr>
          <w:rFonts w:ascii="Arial" w:eastAsia="Times New Roman" w:hAnsi="Arial" w:cs="Arial"/>
          <w:color w:val="000000" w:themeColor="text1"/>
          <w:sz w:val="20"/>
          <w:szCs w:val="20"/>
          <w:lang w:eastAsia="uk-UA"/>
        </w:rPr>
        <w:t xml:space="preserve">IFRS 16) </w:t>
      </w:r>
      <w:r w:rsidRPr="007D17AF">
        <w:rPr>
          <w:rFonts w:ascii="Arial" w:eastAsia="Times New Roman" w:hAnsi="Arial" w:cs="Arial"/>
          <w:color w:val="000000" w:themeColor="text1"/>
          <w:sz w:val="20"/>
          <w:szCs w:val="20"/>
          <w:lang w:eastAsia="uk-UA"/>
        </w:rPr>
        <w:t>was flat y/y at</w:t>
      </w:r>
      <w:r w:rsidR="00C57F50" w:rsidRPr="007D17AF">
        <w:rPr>
          <w:rFonts w:ascii="Arial" w:eastAsia="Times New Roman" w:hAnsi="Arial" w:cs="Arial"/>
          <w:color w:val="000000" w:themeColor="text1"/>
          <w:sz w:val="20"/>
          <w:szCs w:val="20"/>
          <w:lang w:eastAsia="uk-UA"/>
        </w:rPr>
        <w:t xml:space="preserve"> US$</w:t>
      </w:r>
      <w:r w:rsidR="00E65220" w:rsidRPr="007D17AF">
        <w:rPr>
          <w:rFonts w:ascii="Arial" w:eastAsia="Times New Roman" w:hAnsi="Arial" w:cs="Arial"/>
          <w:color w:val="000000" w:themeColor="text1"/>
          <w:sz w:val="20"/>
          <w:szCs w:val="20"/>
          <w:lang w:eastAsia="uk-UA"/>
        </w:rPr>
        <w:t xml:space="preserve"> </w:t>
      </w:r>
      <w:r w:rsidR="00DB5AAE" w:rsidRPr="007D17AF">
        <w:rPr>
          <w:rFonts w:ascii="Arial" w:hAnsi="Arial" w:cs="Arial"/>
          <w:sz w:val="20"/>
          <w:szCs w:val="20"/>
        </w:rPr>
        <w:t>63</w:t>
      </w:r>
      <w:r w:rsidR="00036F40" w:rsidRPr="007D17AF">
        <w:rPr>
          <w:rFonts w:ascii="Arial" w:hAnsi="Arial" w:cs="Arial"/>
          <w:sz w:val="20"/>
          <w:szCs w:val="20"/>
        </w:rPr>
        <w:t xml:space="preserve"> </w:t>
      </w:r>
      <w:r w:rsidR="00E65220" w:rsidRPr="007D17AF">
        <w:rPr>
          <w:rFonts w:ascii="Arial" w:eastAsia="Times New Roman" w:hAnsi="Arial" w:cs="Arial"/>
          <w:color w:val="000000" w:themeColor="text1"/>
          <w:sz w:val="20"/>
          <w:szCs w:val="20"/>
          <w:lang w:eastAsia="uk-UA"/>
        </w:rPr>
        <w:t>million</w:t>
      </w:r>
      <w:r w:rsidRPr="007D17AF">
        <w:rPr>
          <w:rFonts w:ascii="Arial" w:eastAsia="Times New Roman" w:hAnsi="Arial" w:cs="Arial"/>
          <w:color w:val="000000" w:themeColor="text1"/>
          <w:sz w:val="20"/>
          <w:szCs w:val="20"/>
          <w:lang w:eastAsia="uk-UA"/>
        </w:rPr>
        <w:t xml:space="preserve"> (12M 2021:</w:t>
      </w:r>
      <w:r w:rsidR="00E65220" w:rsidRPr="007D17AF">
        <w:rPr>
          <w:rFonts w:ascii="Arial" w:eastAsia="Times New Roman" w:hAnsi="Arial" w:cs="Arial"/>
          <w:color w:val="000000" w:themeColor="text1"/>
          <w:sz w:val="20"/>
          <w:szCs w:val="20"/>
          <w:lang w:eastAsia="uk-UA"/>
        </w:rPr>
        <w:t xml:space="preserve"> </w:t>
      </w:r>
      <w:r w:rsidR="00C57F50" w:rsidRPr="007D17AF">
        <w:rPr>
          <w:rFonts w:ascii="Arial" w:eastAsia="Times New Roman" w:hAnsi="Arial" w:cs="Arial"/>
          <w:color w:val="000000" w:themeColor="text1"/>
          <w:sz w:val="20"/>
          <w:szCs w:val="20"/>
          <w:lang w:eastAsia="uk-UA"/>
        </w:rPr>
        <w:t>US$</w:t>
      </w:r>
      <w:r w:rsidR="00866C45" w:rsidRPr="007D17AF">
        <w:rPr>
          <w:rFonts w:ascii="Arial" w:eastAsia="Times New Roman" w:hAnsi="Arial" w:cs="Arial"/>
          <w:color w:val="000000" w:themeColor="text1"/>
          <w:sz w:val="20"/>
          <w:szCs w:val="20"/>
          <w:lang w:eastAsia="uk-UA"/>
        </w:rPr>
        <w:t xml:space="preserve"> </w:t>
      </w:r>
      <w:r w:rsidR="00DB5AAE" w:rsidRPr="007D17AF">
        <w:rPr>
          <w:rFonts w:ascii="Arial" w:hAnsi="Arial" w:cs="Arial"/>
          <w:sz w:val="20"/>
          <w:szCs w:val="20"/>
        </w:rPr>
        <w:t>63</w:t>
      </w:r>
      <w:r w:rsidR="00866C45" w:rsidRPr="007D17AF">
        <w:rPr>
          <w:rFonts w:ascii="Arial" w:eastAsia="Times New Roman" w:hAnsi="Arial" w:cs="Arial"/>
          <w:color w:val="000000" w:themeColor="text1"/>
          <w:sz w:val="20"/>
          <w:szCs w:val="20"/>
          <w:lang w:eastAsia="uk-UA"/>
        </w:rPr>
        <w:t xml:space="preserve"> </w:t>
      </w:r>
      <w:r w:rsidR="00C57F50" w:rsidRPr="007D17AF">
        <w:rPr>
          <w:rFonts w:ascii="Arial" w:eastAsia="Times New Roman" w:hAnsi="Arial" w:cs="Arial"/>
          <w:color w:val="000000" w:themeColor="text1"/>
          <w:sz w:val="20"/>
          <w:szCs w:val="20"/>
          <w:lang w:eastAsia="uk-UA"/>
        </w:rPr>
        <w:t>million</w:t>
      </w:r>
      <w:r w:rsidRPr="007D17AF">
        <w:rPr>
          <w:rFonts w:ascii="Arial" w:eastAsia="Times New Roman" w:hAnsi="Arial" w:cs="Arial"/>
          <w:color w:val="000000" w:themeColor="text1"/>
          <w:sz w:val="20"/>
          <w:szCs w:val="20"/>
          <w:lang w:eastAsia="uk-UA"/>
        </w:rPr>
        <w:t>), with the</w:t>
      </w:r>
      <w:r w:rsidR="00962C3D" w:rsidRPr="007D17AF">
        <w:rPr>
          <w:rFonts w:ascii="Arial" w:eastAsia="Times New Roman" w:hAnsi="Arial" w:cs="Arial"/>
          <w:color w:val="000000" w:themeColor="text1"/>
          <w:sz w:val="20"/>
          <w:szCs w:val="20"/>
          <w:lang w:eastAsia="uk-UA"/>
        </w:rPr>
        <w:t xml:space="preserve"> </w:t>
      </w:r>
      <w:r w:rsidRPr="007D17AF">
        <w:rPr>
          <w:rFonts w:ascii="Arial" w:eastAsia="Times New Roman" w:hAnsi="Arial" w:cs="Arial"/>
          <w:color w:val="000000" w:themeColor="text1"/>
          <w:sz w:val="20"/>
          <w:szCs w:val="20"/>
          <w:lang w:eastAsia="uk-UA"/>
        </w:rPr>
        <w:t>a</w:t>
      </w:r>
      <w:r w:rsidR="00962C3D" w:rsidRPr="007D17AF">
        <w:rPr>
          <w:rFonts w:ascii="Arial" w:eastAsia="Times New Roman" w:hAnsi="Arial" w:cs="Arial"/>
          <w:color w:val="000000" w:themeColor="text1"/>
          <w:sz w:val="20"/>
          <w:szCs w:val="20"/>
          <w:lang w:eastAsia="uk-UA"/>
        </w:rPr>
        <w:t xml:space="preserve">djusted EBITDA margin (net of IFRS 16) </w:t>
      </w:r>
      <w:r w:rsidRPr="007D17AF">
        <w:rPr>
          <w:rFonts w:ascii="Arial" w:eastAsia="Times New Roman" w:hAnsi="Arial" w:cs="Arial"/>
          <w:color w:val="000000" w:themeColor="text1"/>
          <w:sz w:val="20"/>
          <w:szCs w:val="20"/>
          <w:lang w:eastAsia="uk-UA"/>
        </w:rPr>
        <w:t xml:space="preserve">declining </w:t>
      </w:r>
      <w:r w:rsidR="007D17AF" w:rsidRPr="007D17AF">
        <w:rPr>
          <w:rFonts w:ascii="Arial" w:eastAsia="Times New Roman" w:hAnsi="Arial" w:cs="Arial"/>
          <w:color w:val="000000" w:themeColor="text1"/>
          <w:sz w:val="20"/>
          <w:szCs w:val="20"/>
          <w:lang w:eastAsia="uk-UA"/>
        </w:rPr>
        <w:t xml:space="preserve">from </w:t>
      </w:r>
      <w:r w:rsidR="007D17AF" w:rsidRPr="00DE33D6">
        <w:rPr>
          <w:rFonts w:ascii="Arial" w:hAnsi="Arial" w:cs="Arial"/>
          <w:sz w:val="20"/>
          <w:szCs w:val="20"/>
        </w:rPr>
        <w:t>16%</w:t>
      </w:r>
      <w:r w:rsidR="007D17AF" w:rsidRPr="007D17AF">
        <w:rPr>
          <w:rFonts w:ascii="Arial" w:eastAsia="Times New Roman" w:hAnsi="Arial" w:cs="Arial"/>
          <w:color w:val="000000" w:themeColor="text1"/>
          <w:sz w:val="20"/>
          <w:szCs w:val="20"/>
          <w:lang w:eastAsia="uk-UA"/>
        </w:rPr>
        <w:t xml:space="preserve">  </w:t>
      </w:r>
      <w:r w:rsidRPr="007D17AF">
        <w:rPr>
          <w:rFonts w:ascii="Arial" w:eastAsia="Times New Roman" w:hAnsi="Arial" w:cs="Arial"/>
          <w:color w:val="000000" w:themeColor="text1"/>
          <w:sz w:val="20"/>
          <w:szCs w:val="20"/>
          <w:lang w:eastAsia="uk-UA"/>
        </w:rPr>
        <w:t xml:space="preserve">to </w:t>
      </w:r>
      <w:r w:rsidR="00DB5AAE" w:rsidRPr="007D17AF">
        <w:rPr>
          <w:rFonts w:ascii="Arial" w:hAnsi="Arial" w:cs="Arial"/>
          <w:sz w:val="20"/>
          <w:szCs w:val="20"/>
        </w:rPr>
        <w:t>14%</w:t>
      </w:r>
      <w:r w:rsidR="00C57F50" w:rsidRPr="007D17AF">
        <w:rPr>
          <w:rFonts w:ascii="Arial" w:eastAsia="Times New Roman" w:hAnsi="Arial" w:cs="Arial"/>
          <w:color w:val="000000" w:themeColor="text1"/>
          <w:sz w:val="20"/>
          <w:szCs w:val="20"/>
          <w:lang w:eastAsia="uk-UA"/>
        </w:rPr>
        <w:t>.</w:t>
      </w:r>
      <w:r w:rsidR="00874D46" w:rsidRPr="003875B6">
        <w:rPr>
          <w:rFonts w:ascii="Arial" w:eastAsia="Times New Roman" w:hAnsi="Arial" w:cs="Arial"/>
          <w:color w:val="000000" w:themeColor="text1"/>
          <w:sz w:val="20"/>
          <w:szCs w:val="20"/>
          <w:lang w:eastAsia="uk-UA"/>
        </w:rPr>
        <w:t xml:space="preserve"> </w:t>
      </w:r>
    </w:p>
    <w:p w14:paraId="56B3E044" w14:textId="77777777" w:rsidR="00C46971" w:rsidRPr="004343DD" w:rsidRDefault="00C46971" w:rsidP="000C1D3E">
      <w:pPr>
        <w:autoSpaceDE w:val="0"/>
        <w:spacing w:before="240"/>
        <w:jc w:val="both"/>
        <w:rPr>
          <w:rFonts w:ascii="Arial" w:eastAsia="Times New Roman" w:hAnsi="Arial" w:cs="Arial"/>
          <w:color w:val="000000" w:themeColor="text1"/>
          <w:sz w:val="20"/>
          <w:szCs w:val="20"/>
          <w:highlight w:val="yellow"/>
          <w:lang w:val="uk-UA" w:eastAsia="uk-UA"/>
        </w:rPr>
      </w:pPr>
    </w:p>
    <w:p w14:paraId="2C4F8620" w14:textId="7686FA25" w:rsidR="00CF2A10" w:rsidRPr="009840B8" w:rsidRDefault="005303F3" w:rsidP="000C1D3E">
      <w:pPr>
        <w:spacing w:before="240" w:after="0" w:line="480" w:lineRule="auto"/>
        <w:rPr>
          <w:rFonts w:ascii="Arial" w:hAnsi="Arial" w:cs="Arial"/>
          <w:i/>
          <w:iCs/>
          <w:sz w:val="20"/>
          <w:szCs w:val="20"/>
        </w:rPr>
      </w:pPr>
      <w:r w:rsidRPr="009840B8">
        <w:rPr>
          <w:rFonts w:ascii="Arial" w:hAnsi="Arial" w:cs="Arial"/>
          <w:b/>
          <w:sz w:val="20"/>
          <w:szCs w:val="20"/>
        </w:rPr>
        <w:t>Current Group cash flow</w:t>
      </w:r>
      <w:bookmarkEnd w:id="8"/>
    </w:p>
    <w:tbl>
      <w:tblPr>
        <w:tblW w:w="5000" w:type="pct"/>
        <w:tblLayout w:type="fixed"/>
        <w:tblLook w:val="04A0" w:firstRow="1" w:lastRow="0" w:firstColumn="1" w:lastColumn="0" w:noHBand="0" w:noVBand="1"/>
      </w:tblPr>
      <w:tblGrid>
        <w:gridCol w:w="4534"/>
        <w:gridCol w:w="286"/>
        <w:gridCol w:w="1134"/>
        <w:gridCol w:w="284"/>
        <w:gridCol w:w="1277"/>
        <w:gridCol w:w="565"/>
        <w:gridCol w:w="971"/>
        <w:gridCol w:w="236"/>
        <w:gridCol w:w="1060"/>
      </w:tblGrid>
      <w:tr w:rsidR="007F35CE" w:rsidRPr="007C70E8" w14:paraId="1E435148" w14:textId="1CEB7465" w:rsidTr="002C6775">
        <w:trPr>
          <w:trHeight w:val="283"/>
        </w:trPr>
        <w:tc>
          <w:tcPr>
            <w:tcW w:w="2191" w:type="pct"/>
            <w:tcBorders>
              <w:top w:val="single" w:sz="12" w:space="0" w:color="auto"/>
              <w:bottom w:val="single" w:sz="12" w:space="0" w:color="auto"/>
            </w:tcBorders>
            <w:shd w:val="clear" w:color="auto" w:fill="auto"/>
            <w:noWrap/>
            <w:vAlign w:val="center"/>
            <w:hideMark/>
          </w:tcPr>
          <w:p w14:paraId="30DE83B1" w14:textId="77777777" w:rsidR="007F35CE" w:rsidRPr="007C70E8" w:rsidRDefault="007F35CE" w:rsidP="000C1D3E">
            <w:pPr>
              <w:spacing w:after="0"/>
              <w:jc w:val="both"/>
              <w:rPr>
                <w:rFonts w:ascii="Arial" w:hAnsi="Arial" w:cs="Arial"/>
                <w:b/>
                <w:bCs/>
                <w:sz w:val="20"/>
                <w:szCs w:val="20"/>
                <w:lang w:eastAsia="ru-RU"/>
              </w:rPr>
            </w:pPr>
            <w:r w:rsidRPr="007C70E8">
              <w:rPr>
                <w:rFonts w:ascii="Arial" w:hAnsi="Arial" w:cs="Arial"/>
                <w:i/>
                <w:sz w:val="20"/>
                <w:szCs w:val="20"/>
                <w:lang w:eastAsia="ru-RU"/>
              </w:rPr>
              <w:t xml:space="preserve">(in </w:t>
            </w:r>
            <w:proofErr w:type="spellStart"/>
            <w:r w:rsidRPr="007C70E8">
              <w:rPr>
                <w:rFonts w:ascii="Arial" w:hAnsi="Arial" w:cs="Arial"/>
                <w:i/>
                <w:sz w:val="20"/>
                <w:szCs w:val="20"/>
                <w:lang w:eastAsia="ru-RU"/>
              </w:rPr>
              <w:t>mln</w:t>
            </w:r>
            <w:proofErr w:type="spellEnd"/>
            <w:r w:rsidRPr="007C70E8">
              <w:rPr>
                <w:rFonts w:ascii="Arial" w:hAnsi="Arial" w:cs="Arial"/>
                <w:i/>
                <w:sz w:val="20"/>
                <w:szCs w:val="20"/>
                <w:lang w:eastAsia="ru-RU"/>
              </w:rPr>
              <w:t>. US$)</w:t>
            </w:r>
          </w:p>
        </w:tc>
        <w:tc>
          <w:tcPr>
            <w:tcW w:w="138" w:type="pct"/>
          </w:tcPr>
          <w:p w14:paraId="636EE6BB" w14:textId="77777777" w:rsidR="007F35CE" w:rsidRPr="007C70E8" w:rsidRDefault="007F35CE" w:rsidP="000C1D3E">
            <w:pPr>
              <w:spacing w:after="0"/>
              <w:jc w:val="right"/>
              <w:rPr>
                <w:rFonts w:ascii="Arial" w:hAnsi="Arial" w:cs="Arial"/>
                <w:b/>
                <w:bCs/>
                <w:sz w:val="20"/>
                <w:szCs w:val="20"/>
                <w:lang w:eastAsia="ru-RU"/>
              </w:rPr>
            </w:pPr>
          </w:p>
        </w:tc>
        <w:tc>
          <w:tcPr>
            <w:tcW w:w="548" w:type="pct"/>
            <w:tcBorders>
              <w:top w:val="single" w:sz="12" w:space="0" w:color="auto"/>
              <w:bottom w:val="single" w:sz="12" w:space="0" w:color="auto"/>
            </w:tcBorders>
            <w:shd w:val="clear" w:color="auto" w:fill="auto"/>
            <w:noWrap/>
            <w:vAlign w:val="center"/>
            <w:hideMark/>
          </w:tcPr>
          <w:p w14:paraId="30966E13" w14:textId="6C340D84" w:rsidR="007F35CE" w:rsidRPr="007C70E8" w:rsidRDefault="007F35CE" w:rsidP="000C1D3E">
            <w:pPr>
              <w:spacing w:after="0"/>
              <w:jc w:val="right"/>
              <w:rPr>
                <w:rFonts w:ascii="Arial" w:hAnsi="Arial" w:cs="Arial"/>
                <w:b/>
                <w:bCs/>
                <w:sz w:val="20"/>
                <w:szCs w:val="20"/>
                <w:lang w:eastAsia="ru-RU"/>
              </w:rPr>
            </w:pPr>
            <w:r w:rsidRPr="007C70E8">
              <w:rPr>
                <w:rFonts w:ascii="Arial" w:hAnsi="Arial" w:cs="Arial"/>
                <w:b/>
                <w:bCs/>
                <w:sz w:val="20"/>
                <w:szCs w:val="20"/>
                <w:lang w:eastAsia="ru-RU"/>
              </w:rPr>
              <w:t>Q</w:t>
            </w:r>
            <w:r w:rsidR="00D2118D" w:rsidRPr="007C70E8">
              <w:rPr>
                <w:rFonts w:ascii="Arial" w:hAnsi="Arial" w:cs="Arial"/>
                <w:b/>
                <w:bCs/>
                <w:sz w:val="20"/>
                <w:szCs w:val="20"/>
                <w:lang w:eastAsia="ru-RU"/>
              </w:rPr>
              <w:t>4</w:t>
            </w:r>
            <w:r w:rsidRPr="007C70E8">
              <w:rPr>
                <w:rFonts w:ascii="Arial" w:hAnsi="Arial" w:cs="Arial"/>
                <w:b/>
                <w:bCs/>
                <w:sz w:val="20"/>
                <w:szCs w:val="20"/>
                <w:lang w:eastAsia="ru-RU"/>
              </w:rPr>
              <w:t xml:space="preserve"> 2022</w:t>
            </w:r>
          </w:p>
        </w:tc>
        <w:tc>
          <w:tcPr>
            <w:tcW w:w="137" w:type="pct"/>
          </w:tcPr>
          <w:p w14:paraId="16099616" w14:textId="77777777" w:rsidR="007F35CE" w:rsidRPr="007C70E8" w:rsidRDefault="007F35CE" w:rsidP="000C1D3E">
            <w:pPr>
              <w:spacing w:after="0"/>
              <w:jc w:val="right"/>
              <w:rPr>
                <w:rFonts w:ascii="Arial" w:hAnsi="Arial" w:cs="Arial"/>
                <w:b/>
                <w:bCs/>
                <w:sz w:val="20"/>
                <w:szCs w:val="20"/>
                <w:lang w:eastAsia="ru-RU"/>
              </w:rPr>
            </w:pPr>
          </w:p>
        </w:tc>
        <w:tc>
          <w:tcPr>
            <w:tcW w:w="617" w:type="pct"/>
            <w:tcBorders>
              <w:top w:val="single" w:sz="12" w:space="0" w:color="auto"/>
              <w:bottom w:val="single" w:sz="12" w:space="0" w:color="auto"/>
            </w:tcBorders>
            <w:shd w:val="clear" w:color="auto" w:fill="auto"/>
            <w:noWrap/>
            <w:vAlign w:val="center"/>
            <w:hideMark/>
          </w:tcPr>
          <w:p w14:paraId="08CF92E7" w14:textId="65E6D286" w:rsidR="007F35CE" w:rsidRPr="007C70E8" w:rsidRDefault="007F35CE" w:rsidP="000C1D3E">
            <w:pPr>
              <w:spacing w:after="0"/>
              <w:jc w:val="right"/>
              <w:rPr>
                <w:rFonts w:ascii="Arial" w:hAnsi="Arial" w:cs="Arial"/>
                <w:b/>
                <w:bCs/>
                <w:sz w:val="20"/>
                <w:szCs w:val="20"/>
                <w:lang w:eastAsia="ru-RU"/>
              </w:rPr>
            </w:pPr>
            <w:r w:rsidRPr="007C70E8">
              <w:rPr>
                <w:rFonts w:ascii="Arial" w:hAnsi="Arial" w:cs="Arial"/>
                <w:b/>
                <w:bCs/>
                <w:sz w:val="20"/>
                <w:szCs w:val="20"/>
                <w:lang w:eastAsia="ru-RU"/>
              </w:rPr>
              <w:t>Q</w:t>
            </w:r>
            <w:r w:rsidR="00D2118D" w:rsidRPr="007C70E8">
              <w:rPr>
                <w:rFonts w:ascii="Arial" w:hAnsi="Arial" w:cs="Arial"/>
                <w:b/>
                <w:bCs/>
                <w:sz w:val="20"/>
                <w:szCs w:val="20"/>
                <w:lang w:eastAsia="ru-RU"/>
              </w:rPr>
              <w:t>4</w:t>
            </w:r>
            <w:r w:rsidRPr="007C70E8">
              <w:rPr>
                <w:rFonts w:ascii="Arial" w:hAnsi="Arial" w:cs="Arial"/>
                <w:b/>
                <w:bCs/>
                <w:sz w:val="20"/>
                <w:szCs w:val="20"/>
                <w:lang w:eastAsia="ru-RU"/>
              </w:rPr>
              <w:t xml:space="preserve"> 2021</w:t>
            </w:r>
          </w:p>
        </w:tc>
        <w:tc>
          <w:tcPr>
            <w:tcW w:w="273" w:type="pct"/>
            <w:tcBorders>
              <w:top w:val="single" w:sz="12" w:space="0" w:color="auto"/>
              <w:bottom w:val="single" w:sz="12" w:space="0" w:color="auto"/>
            </w:tcBorders>
          </w:tcPr>
          <w:p w14:paraId="3EA72573" w14:textId="77777777" w:rsidR="007F35CE" w:rsidRPr="007C70E8" w:rsidRDefault="007F35CE" w:rsidP="000C1D3E">
            <w:pPr>
              <w:spacing w:after="0"/>
              <w:jc w:val="right"/>
              <w:rPr>
                <w:rFonts w:ascii="Arial" w:hAnsi="Arial" w:cs="Arial"/>
                <w:b/>
                <w:bCs/>
                <w:sz w:val="20"/>
                <w:szCs w:val="20"/>
                <w:lang w:eastAsia="ru-RU"/>
              </w:rPr>
            </w:pPr>
          </w:p>
        </w:tc>
        <w:tc>
          <w:tcPr>
            <w:tcW w:w="469" w:type="pct"/>
            <w:tcBorders>
              <w:top w:val="single" w:sz="12" w:space="0" w:color="auto"/>
              <w:bottom w:val="single" w:sz="12" w:space="0" w:color="auto"/>
            </w:tcBorders>
          </w:tcPr>
          <w:p w14:paraId="6158F1A9" w14:textId="19B5DE4A" w:rsidR="007F35CE" w:rsidRPr="007C70E8" w:rsidRDefault="00D2118D" w:rsidP="000C1D3E">
            <w:pPr>
              <w:spacing w:after="0"/>
              <w:jc w:val="right"/>
              <w:rPr>
                <w:rFonts w:ascii="Arial" w:hAnsi="Arial" w:cs="Arial"/>
                <w:b/>
                <w:bCs/>
                <w:sz w:val="20"/>
                <w:szCs w:val="20"/>
                <w:lang w:eastAsia="ru-RU"/>
              </w:rPr>
            </w:pPr>
            <w:r w:rsidRPr="007C70E8">
              <w:rPr>
                <w:rFonts w:ascii="Arial" w:eastAsia="Times New Roman" w:hAnsi="Arial" w:cs="Arial"/>
                <w:b/>
                <w:bCs/>
                <w:color w:val="000000"/>
                <w:sz w:val="20"/>
                <w:szCs w:val="20"/>
                <w:lang w:eastAsia="ru-RU"/>
              </w:rPr>
              <w:t>12</w:t>
            </w:r>
            <w:r w:rsidR="007C51B3" w:rsidRPr="007C70E8">
              <w:rPr>
                <w:rFonts w:ascii="Arial" w:eastAsia="Times New Roman" w:hAnsi="Arial" w:cs="Arial"/>
                <w:b/>
                <w:bCs/>
                <w:color w:val="000000"/>
                <w:sz w:val="20"/>
                <w:szCs w:val="20"/>
                <w:lang w:eastAsia="ru-RU"/>
              </w:rPr>
              <w:t>M</w:t>
            </w:r>
            <w:r w:rsidR="007F35CE" w:rsidRPr="007C70E8">
              <w:rPr>
                <w:rFonts w:ascii="Arial" w:eastAsia="Times New Roman" w:hAnsi="Arial" w:cs="Arial"/>
                <w:b/>
                <w:bCs/>
                <w:color w:val="000000"/>
                <w:sz w:val="20"/>
                <w:szCs w:val="20"/>
                <w:lang w:eastAsia="ru-RU"/>
              </w:rPr>
              <w:t xml:space="preserve"> 202</w:t>
            </w:r>
            <w:r w:rsidR="0047233E" w:rsidRPr="007C70E8">
              <w:rPr>
                <w:rFonts w:ascii="Arial" w:eastAsia="Times New Roman" w:hAnsi="Arial" w:cs="Arial"/>
                <w:b/>
                <w:bCs/>
                <w:color w:val="000000"/>
                <w:sz w:val="20"/>
                <w:szCs w:val="20"/>
                <w:lang w:eastAsia="ru-RU"/>
              </w:rPr>
              <w:t>2</w:t>
            </w:r>
          </w:p>
        </w:tc>
        <w:tc>
          <w:tcPr>
            <w:tcW w:w="114" w:type="pct"/>
            <w:tcBorders>
              <w:bottom w:val="single" w:sz="12" w:space="0" w:color="auto"/>
            </w:tcBorders>
          </w:tcPr>
          <w:p w14:paraId="66D0528F" w14:textId="77777777" w:rsidR="007F35CE" w:rsidRPr="007C70E8" w:rsidRDefault="007F35CE" w:rsidP="000C1D3E">
            <w:pPr>
              <w:spacing w:after="0"/>
              <w:jc w:val="right"/>
              <w:rPr>
                <w:rFonts w:ascii="Arial" w:hAnsi="Arial" w:cs="Arial"/>
                <w:b/>
                <w:bCs/>
                <w:sz w:val="20"/>
                <w:szCs w:val="20"/>
                <w:lang w:eastAsia="ru-RU"/>
              </w:rPr>
            </w:pPr>
          </w:p>
        </w:tc>
        <w:tc>
          <w:tcPr>
            <w:tcW w:w="512" w:type="pct"/>
            <w:tcBorders>
              <w:top w:val="single" w:sz="12" w:space="0" w:color="auto"/>
              <w:bottom w:val="single" w:sz="12" w:space="0" w:color="auto"/>
            </w:tcBorders>
          </w:tcPr>
          <w:p w14:paraId="0FDD1764" w14:textId="338B5424" w:rsidR="007F35CE" w:rsidRPr="007C70E8" w:rsidRDefault="00D2118D" w:rsidP="000C1D3E">
            <w:pPr>
              <w:spacing w:after="0"/>
              <w:jc w:val="right"/>
              <w:rPr>
                <w:rFonts w:ascii="Arial" w:hAnsi="Arial" w:cs="Arial"/>
                <w:b/>
                <w:bCs/>
                <w:sz w:val="20"/>
                <w:szCs w:val="20"/>
                <w:lang w:eastAsia="ru-RU"/>
              </w:rPr>
            </w:pPr>
            <w:r w:rsidRPr="007C70E8">
              <w:rPr>
                <w:rFonts w:ascii="Arial" w:eastAsia="Times New Roman" w:hAnsi="Arial" w:cs="Arial"/>
                <w:b/>
                <w:bCs/>
                <w:color w:val="000000"/>
                <w:sz w:val="20"/>
                <w:szCs w:val="20"/>
                <w:lang w:eastAsia="ru-RU"/>
              </w:rPr>
              <w:t>12</w:t>
            </w:r>
            <w:r w:rsidR="007C51B3" w:rsidRPr="007C70E8">
              <w:rPr>
                <w:rFonts w:ascii="Arial" w:eastAsia="Times New Roman" w:hAnsi="Arial" w:cs="Arial"/>
                <w:b/>
                <w:bCs/>
                <w:color w:val="000000"/>
                <w:sz w:val="20"/>
                <w:szCs w:val="20"/>
                <w:lang w:eastAsia="ru-RU"/>
              </w:rPr>
              <w:t>M</w:t>
            </w:r>
            <w:r w:rsidR="007F35CE" w:rsidRPr="007C70E8">
              <w:rPr>
                <w:rFonts w:ascii="Arial" w:eastAsia="Times New Roman" w:hAnsi="Arial" w:cs="Arial"/>
                <w:b/>
                <w:bCs/>
                <w:color w:val="000000"/>
                <w:sz w:val="20"/>
                <w:szCs w:val="20"/>
                <w:lang w:eastAsia="ru-RU"/>
              </w:rPr>
              <w:t xml:space="preserve"> 202</w:t>
            </w:r>
            <w:r w:rsidR="0047233E" w:rsidRPr="007C70E8">
              <w:rPr>
                <w:rFonts w:ascii="Arial" w:eastAsia="Times New Roman" w:hAnsi="Arial" w:cs="Arial"/>
                <w:b/>
                <w:bCs/>
                <w:color w:val="000000"/>
                <w:sz w:val="20"/>
                <w:szCs w:val="20"/>
                <w:lang w:eastAsia="ru-RU"/>
              </w:rPr>
              <w:t>1</w:t>
            </w:r>
          </w:p>
        </w:tc>
      </w:tr>
      <w:tr w:rsidR="007F35CE" w:rsidRPr="007C70E8" w14:paraId="22BDC59E" w14:textId="2FD722DB" w:rsidTr="002C6775">
        <w:trPr>
          <w:trHeight w:val="283"/>
        </w:trPr>
        <w:tc>
          <w:tcPr>
            <w:tcW w:w="2191" w:type="pct"/>
            <w:shd w:val="clear" w:color="auto" w:fill="auto"/>
            <w:noWrap/>
            <w:vAlign w:val="center"/>
            <w:hideMark/>
          </w:tcPr>
          <w:p w14:paraId="68E6A738" w14:textId="77777777" w:rsidR="007F35CE" w:rsidRPr="007C70E8" w:rsidRDefault="007F35CE" w:rsidP="000C1D3E">
            <w:pPr>
              <w:spacing w:after="0"/>
              <w:jc w:val="both"/>
              <w:rPr>
                <w:rFonts w:ascii="Arial" w:hAnsi="Arial" w:cs="Arial"/>
                <w:b/>
                <w:bCs/>
                <w:sz w:val="20"/>
                <w:szCs w:val="20"/>
                <w:lang w:eastAsia="ru-RU"/>
              </w:rPr>
            </w:pPr>
            <w:r w:rsidRPr="007C70E8">
              <w:rPr>
                <w:rFonts w:ascii="Arial" w:hAnsi="Arial" w:cs="Arial"/>
                <w:b/>
                <w:bCs/>
                <w:sz w:val="20"/>
                <w:szCs w:val="20"/>
                <w:lang w:eastAsia="ru-RU"/>
              </w:rPr>
              <w:t>Cash from operations</w:t>
            </w:r>
          </w:p>
        </w:tc>
        <w:tc>
          <w:tcPr>
            <w:tcW w:w="138" w:type="pct"/>
          </w:tcPr>
          <w:p w14:paraId="73AA07FA" w14:textId="77777777" w:rsidR="007F35CE" w:rsidRPr="007C70E8" w:rsidRDefault="007F35CE" w:rsidP="000C1D3E">
            <w:pPr>
              <w:spacing w:after="0"/>
              <w:jc w:val="right"/>
              <w:rPr>
                <w:rFonts w:ascii="Arial" w:hAnsi="Arial" w:cs="Arial"/>
                <w:b/>
                <w:bCs/>
                <w:sz w:val="20"/>
                <w:szCs w:val="20"/>
                <w:lang w:eastAsia="ru-RU"/>
              </w:rPr>
            </w:pPr>
          </w:p>
        </w:tc>
        <w:tc>
          <w:tcPr>
            <w:tcW w:w="548" w:type="pct"/>
            <w:shd w:val="clear" w:color="auto" w:fill="auto"/>
            <w:noWrap/>
            <w:vAlign w:val="center"/>
          </w:tcPr>
          <w:p w14:paraId="5D00EC97" w14:textId="0AB606A6" w:rsidR="007F35CE" w:rsidRPr="00CA08B2" w:rsidRDefault="00E44D33" w:rsidP="000C1D3E">
            <w:pPr>
              <w:spacing w:after="0"/>
              <w:jc w:val="right"/>
              <w:rPr>
                <w:rFonts w:ascii="Arial" w:hAnsi="Arial" w:cs="Arial"/>
                <w:b/>
                <w:bCs/>
                <w:sz w:val="20"/>
                <w:szCs w:val="20"/>
                <w:lang w:eastAsia="ru-RU"/>
              </w:rPr>
            </w:pPr>
            <w:r w:rsidRPr="00CA08B2">
              <w:rPr>
                <w:rFonts w:ascii="Arial" w:hAnsi="Arial" w:cs="Arial"/>
                <w:b/>
                <w:bCs/>
                <w:sz w:val="20"/>
                <w:szCs w:val="20"/>
              </w:rPr>
              <w:t xml:space="preserve"> </w:t>
            </w:r>
            <w:r w:rsidR="00BC2A8E" w:rsidRPr="000D120B">
              <w:rPr>
                <w:rFonts w:ascii="Arial" w:hAnsi="Arial" w:cs="Arial"/>
                <w:b/>
                <w:bCs/>
                <w:sz w:val="20"/>
                <w:szCs w:val="20"/>
              </w:rPr>
              <w:t xml:space="preserve"> 101</w:t>
            </w:r>
          </w:p>
        </w:tc>
        <w:tc>
          <w:tcPr>
            <w:tcW w:w="137" w:type="pct"/>
          </w:tcPr>
          <w:p w14:paraId="078156EB" w14:textId="77777777" w:rsidR="007F35CE" w:rsidRPr="00CA08B2" w:rsidRDefault="007F35CE" w:rsidP="000C1D3E">
            <w:pPr>
              <w:spacing w:after="0"/>
              <w:jc w:val="right"/>
              <w:rPr>
                <w:rFonts w:ascii="Arial" w:hAnsi="Arial" w:cs="Arial"/>
                <w:b/>
                <w:bCs/>
                <w:sz w:val="20"/>
                <w:szCs w:val="20"/>
                <w:lang w:eastAsia="ru-RU"/>
              </w:rPr>
            </w:pPr>
          </w:p>
        </w:tc>
        <w:tc>
          <w:tcPr>
            <w:tcW w:w="617" w:type="pct"/>
            <w:shd w:val="clear" w:color="auto" w:fill="auto"/>
            <w:noWrap/>
            <w:vAlign w:val="center"/>
          </w:tcPr>
          <w:p w14:paraId="07F024BB" w14:textId="311D4BE1" w:rsidR="007F35CE" w:rsidRPr="00CA08B2" w:rsidRDefault="00E44D33" w:rsidP="000C1D3E">
            <w:pPr>
              <w:spacing w:after="0"/>
              <w:jc w:val="right"/>
              <w:rPr>
                <w:rFonts w:ascii="Arial" w:eastAsiaTheme="minorEastAsia" w:hAnsi="Arial" w:cs="Arial"/>
                <w:b/>
                <w:bCs/>
                <w:sz w:val="20"/>
                <w:szCs w:val="20"/>
                <w:lang w:eastAsia="ru-RU"/>
              </w:rPr>
            </w:pPr>
            <w:r w:rsidRPr="00CA08B2">
              <w:rPr>
                <w:rFonts w:ascii="Arial" w:hAnsi="Arial" w:cs="Arial"/>
                <w:b/>
                <w:bCs/>
                <w:sz w:val="20"/>
                <w:szCs w:val="20"/>
              </w:rPr>
              <w:t xml:space="preserve"> </w:t>
            </w:r>
            <w:r w:rsidR="00BC2A8E" w:rsidRPr="000D120B">
              <w:rPr>
                <w:rFonts w:ascii="Arial" w:hAnsi="Arial" w:cs="Arial"/>
                <w:b/>
                <w:bCs/>
                <w:sz w:val="20"/>
                <w:szCs w:val="20"/>
              </w:rPr>
              <w:t xml:space="preserve"> 91</w:t>
            </w:r>
          </w:p>
        </w:tc>
        <w:tc>
          <w:tcPr>
            <w:tcW w:w="273" w:type="pct"/>
          </w:tcPr>
          <w:p w14:paraId="1C44C986" w14:textId="77777777" w:rsidR="007F35CE" w:rsidRPr="00CA08B2" w:rsidRDefault="007F35CE" w:rsidP="000C1D3E">
            <w:pPr>
              <w:spacing w:after="0"/>
              <w:jc w:val="right"/>
              <w:rPr>
                <w:rFonts w:ascii="Arial" w:hAnsi="Arial" w:cs="Arial"/>
                <w:b/>
                <w:bCs/>
                <w:sz w:val="20"/>
                <w:szCs w:val="20"/>
              </w:rPr>
            </w:pPr>
          </w:p>
        </w:tc>
        <w:tc>
          <w:tcPr>
            <w:tcW w:w="469" w:type="pct"/>
          </w:tcPr>
          <w:p w14:paraId="0D585F76" w14:textId="21496D78" w:rsidR="007F35CE" w:rsidRPr="00CA08B2" w:rsidRDefault="00DD2ECB" w:rsidP="000C1D3E">
            <w:pPr>
              <w:spacing w:after="0"/>
              <w:jc w:val="right"/>
              <w:rPr>
                <w:rFonts w:ascii="Arial" w:hAnsi="Arial" w:cs="Arial"/>
                <w:b/>
                <w:bCs/>
                <w:sz w:val="20"/>
                <w:szCs w:val="20"/>
              </w:rPr>
            </w:pPr>
            <w:r w:rsidRPr="00CA08B2">
              <w:rPr>
                <w:rFonts w:ascii="Arial" w:hAnsi="Arial" w:cs="Arial"/>
                <w:b/>
                <w:bCs/>
                <w:sz w:val="20"/>
                <w:szCs w:val="20"/>
              </w:rPr>
              <w:t xml:space="preserve"> </w:t>
            </w:r>
            <w:r w:rsidR="00BC2A8E" w:rsidRPr="000D120B">
              <w:rPr>
                <w:rFonts w:ascii="Arial" w:hAnsi="Arial" w:cs="Arial"/>
                <w:b/>
                <w:bCs/>
                <w:sz w:val="20"/>
                <w:szCs w:val="20"/>
              </w:rPr>
              <w:t>479</w:t>
            </w:r>
          </w:p>
        </w:tc>
        <w:tc>
          <w:tcPr>
            <w:tcW w:w="114" w:type="pct"/>
          </w:tcPr>
          <w:p w14:paraId="454E157F" w14:textId="77777777" w:rsidR="007F35CE" w:rsidRPr="00CA08B2" w:rsidRDefault="007F35CE" w:rsidP="000C1D3E">
            <w:pPr>
              <w:spacing w:after="0"/>
              <w:jc w:val="right"/>
              <w:rPr>
                <w:rFonts w:ascii="Arial" w:hAnsi="Arial" w:cs="Arial"/>
                <w:b/>
                <w:bCs/>
                <w:sz w:val="20"/>
                <w:szCs w:val="20"/>
              </w:rPr>
            </w:pPr>
          </w:p>
        </w:tc>
        <w:tc>
          <w:tcPr>
            <w:tcW w:w="512" w:type="pct"/>
          </w:tcPr>
          <w:p w14:paraId="6B6108FE" w14:textId="2F1E276D" w:rsidR="007F35CE" w:rsidRPr="00CA08B2" w:rsidRDefault="00E44D33" w:rsidP="000C1D3E">
            <w:pPr>
              <w:spacing w:after="0"/>
              <w:jc w:val="right"/>
              <w:rPr>
                <w:rFonts w:ascii="Arial" w:hAnsi="Arial" w:cs="Arial"/>
                <w:b/>
                <w:bCs/>
                <w:sz w:val="20"/>
                <w:szCs w:val="20"/>
              </w:rPr>
            </w:pPr>
            <w:r w:rsidRPr="00CA08B2">
              <w:rPr>
                <w:rFonts w:ascii="Arial" w:hAnsi="Arial" w:cs="Arial"/>
                <w:b/>
                <w:bCs/>
                <w:sz w:val="20"/>
                <w:szCs w:val="20"/>
              </w:rPr>
              <w:t xml:space="preserve"> </w:t>
            </w:r>
            <w:r w:rsidR="00BC2A8E" w:rsidRPr="000D120B">
              <w:rPr>
                <w:rFonts w:ascii="Arial" w:hAnsi="Arial" w:cs="Arial"/>
                <w:b/>
                <w:bCs/>
                <w:sz w:val="20"/>
                <w:szCs w:val="20"/>
              </w:rPr>
              <w:t xml:space="preserve"> 370</w:t>
            </w:r>
          </w:p>
        </w:tc>
      </w:tr>
      <w:tr w:rsidR="007F35CE" w:rsidRPr="007C70E8" w14:paraId="2A605770" w14:textId="04A2E586" w:rsidTr="002C6775">
        <w:trPr>
          <w:trHeight w:val="283"/>
        </w:trPr>
        <w:tc>
          <w:tcPr>
            <w:tcW w:w="2191" w:type="pct"/>
            <w:shd w:val="clear" w:color="auto" w:fill="auto"/>
            <w:noWrap/>
            <w:vAlign w:val="center"/>
            <w:hideMark/>
          </w:tcPr>
          <w:p w14:paraId="65531444" w14:textId="77777777" w:rsidR="007F35CE" w:rsidRPr="007C70E8" w:rsidRDefault="007F35CE" w:rsidP="000C1D3E">
            <w:pPr>
              <w:spacing w:after="0"/>
              <w:jc w:val="both"/>
              <w:rPr>
                <w:rFonts w:ascii="Arial" w:hAnsi="Arial" w:cs="Arial"/>
                <w:sz w:val="20"/>
                <w:szCs w:val="20"/>
                <w:lang w:eastAsia="ru-RU"/>
              </w:rPr>
            </w:pPr>
            <w:r w:rsidRPr="007C70E8">
              <w:rPr>
                <w:rFonts w:ascii="Arial" w:hAnsi="Arial" w:cs="Arial"/>
                <w:sz w:val="20"/>
                <w:szCs w:val="20"/>
                <w:lang w:eastAsia="ru-RU"/>
              </w:rPr>
              <w:t>Change in working capital</w:t>
            </w:r>
          </w:p>
        </w:tc>
        <w:tc>
          <w:tcPr>
            <w:tcW w:w="138" w:type="pct"/>
          </w:tcPr>
          <w:p w14:paraId="3F3D54B0" w14:textId="77777777" w:rsidR="007F35CE" w:rsidRPr="007C70E8" w:rsidRDefault="007F35CE" w:rsidP="000C1D3E">
            <w:pPr>
              <w:spacing w:after="0"/>
              <w:jc w:val="right"/>
              <w:rPr>
                <w:rFonts w:ascii="Arial" w:hAnsi="Arial" w:cs="Arial"/>
                <w:sz w:val="20"/>
                <w:szCs w:val="20"/>
                <w:lang w:eastAsia="ru-RU"/>
              </w:rPr>
            </w:pPr>
          </w:p>
        </w:tc>
        <w:tc>
          <w:tcPr>
            <w:tcW w:w="548" w:type="pct"/>
            <w:shd w:val="clear" w:color="auto" w:fill="auto"/>
            <w:noWrap/>
            <w:vAlign w:val="center"/>
            <w:hideMark/>
          </w:tcPr>
          <w:p w14:paraId="2EE6B191" w14:textId="0B881E13" w:rsidR="007F35CE" w:rsidRPr="007C70E8" w:rsidRDefault="00BC2A8E" w:rsidP="000C1D3E">
            <w:pPr>
              <w:spacing w:after="0"/>
              <w:jc w:val="right"/>
              <w:rPr>
                <w:rFonts w:ascii="Arial" w:eastAsiaTheme="minorEastAsia" w:hAnsi="Arial" w:cs="Arial"/>
                <w:iCs/>
                <w:sz w:val="20"/>
                <w:szCs w:val="20"/>
                <w:lang w:eastAsia="ru-RU"/>
              </w:rPr>
            </w:pPr>
            <w:r w:rsidRPr="000D120B">
              <w:rPr>
                <w:rFonts w:ascii="Arial" w:hAnsi="Arial" w:cs="Arial"/>
                <w:sz w:val="20"/>
                <w:szCs w:val="20"/>
              </w:rPr>
              <w:t>(93)</w:t>
            </w:r>
          </w:p>
        </w:tc>
        <w:tc>
          <w:tcPr>
            <w:tcW w:w="137" w:type="pct"/>
          </w:tcPr>
          <w:p w14:paraId="6336C20B" w14:textId="77777777" w:rsidR="007F35CE" w:rsidRPr="007C70E8" w:rsidRDefault="007F35CE" w:rsidP="000C1D3E">
            <w:pPr>
              <w:spacing w:after="0"/>
              <w:jc w:val="right"/>
              <w:rPr>
                <w:rFonts w:ascii="Arial" w:eastAsiaTheme="minorEastAsia" w:hAnsi="Arial" w:cs="Arial"/>
                <w:iCs/>
                <w:sz w:val="20"/>
                <w:szCs w:val="20"/>
                <w:lang w:eastAsia="ru-RU"/>
              </w:rPr>
            </w:pPr>
          </w:p>
        </w:tc>
        <w:tc>
          <w:tcPr>
            <w:tcW w:w="617" w:type="pct"/>
            <w:shd w:val="clear" w:color="auto" w:fill="auto"/>
            <w:noWrap/>
            <w:vAlign w:val="center"/>
            <w:hideMark/>
          </w:tcPr>
          <w:p w14:paraId="46BF0CF1" w14:textId="05BE5C87" w:rsidR="007F35CE" w:rsidRPr="007C70E8" w:rsidRDefault="00E44D33" w:rsidP="000C1D3E">
            <w:pPr>
              <w:spacing w:after="0"/>
              <w:jc w:val="right"/>
              <w:rPr>
                <w:rFonts w:ascii="Arial" w:eastAsiaTheme="minorEastAsia" w:hAnsi="Arial" w:cs="Arial"/>
                <w:iCs/>
                <w:sz w:val="20"/>
                <w:szCs w:val="20"/>
                <w:lang w:eastAsia="ru-RU"/>
              </w:rPr>
            </w:pPr>
            <w:r w:rsidRPr="007C70E8">
              <w:rPr>
                <w:rFonts w:ascii="Arial" w:hAnsi="Arial" w:cs="Arial"/>
                <w:sz w:val="20"/>
                <w:szCs w:val="20"/>
              </w:rPr>
              <w:t xml:space="preserve"> </w:t>
            </w:r>
            <w:r w:rsidR="00BC2A8E" w:rsidRPr="000D120B">
              <w:rPr>
                <w:rFonts w:ascii="Arial" w:hAnsi="Arial" w:cs="Arial"/>
                <w:sz w:val="20"/>
                <w:szCs w:val="20"/>
              </w:rPr>
              <w:t>(224)</w:t>
            </w:r>
          </w:p>
        </w:tc>
        <w:tc>
          <w:tcPr>
            <w:tcW w:w="273" w:type="pct"/>
          </w:tcPr>
          <w:p w14:paraId="48A46014" w14:textId="77777777" w:rsidR="007F35CE" w:rsidRPr="007C70E8" w:rsidRDefault="007F35CE" w:rsidP="000C1D3E">
            <w:pPr>
              <w:spacing w:after="0"/>
              <w:jc w:val="right"/>
              <w:rPr>
                <w:rFonts w:ascii="Arial" w:eastAsiaTheme="minorEastAsia" w:hAnsi="Arial" w:cs="Arial"/>
                <w:iCs/>
                <w:sz w:val="20"/>
                <w:szCs w:val="20"/>
                <w:lang w:eastAsia="ru-RU"/>
              </w:rPr>
            </w:pPr>
          </w:p>
        </w:tc>
        <w:tc>
          <w:tcPr>
            <w:tcW w:w="469" w:type="pct"/>
          </w:tcPr>
          <w:p w14:paraId="0FB1241A" w14:textId="29925FB7" w:rsidR="007F35CE" w:rsidRPr="007C70E8" w:rsidRDefault="00BC2A8E" w:rsidP="000C1D3E">
            <w:pPr>
              <w:spacing w:after="0"/>
              <w:jc w:val="right"/>
              <w:rPr>
                <w:rFonts w:ascii="Arial" w:eastAsiaTheme="minorEastAsia" w:hAnsi="Arial" w:cs="Arial"/>
                <w:iCs/>
                <w:sz w:val="20"/>
                <w:szCs w:val="20"/>
                <w:lang w:eastAsia="ru-RU"/>
              </w:rPr>
            </w:pPr>
            <w:r w:rsidRPr="000D120B">
              <w:rPr>
                <w:rFonts w:ascii="Arial" w:hAnsi="Arial" w:cs="Arial"/>
                <w:sz w:val="20"/>
                <w:szCs w:val="20"/>
              </w:rPr>
              <w:t>(341)</w:t>
            </w:r>
          </w:p>
        </w:tc>
        <w:tc>
          <w:tcPr>
            <w:tcW w:w="114" w:type="pct"/>
          </w:tcPr>
          <w:p w14:paraId="6DCE2D8A" w14:textId="77777777" w:rsidR="007F35CE" w:rsidRPr="007C70E8" w:rsidRDefault="007F35CE" w:rsidP="000C1D3E">
            <w:pPr>
              <w:spacing w:after="0"/>
              <w:jc w:val="right"/>
              <w:rPr>
                <w:rFonts w:ascii="Arial" w:eastAsiaTheme="minorEastAsia" w:hAnsi="Arial" w:cs="Arial"/>
                <w:iCs/>
                <w:sz w:val="20"/>
                <w:szCs w:val="20"/>
                <w:lang w:eastAsia="ru-RU"/>
              </w:rPr>
            </w:pPr>
          </w:p>
        </w:tc>
        <w:tc>
          <w:tcPr>
            <w:tcW w:w="512" w:type="pct"/>
          </w:tcPr>
          <w:p w14:paraId="784BF2DC" w14:textId="35D098FC" w:rsidR="007F35CE" w:rsidRPr="007C70E8" w:rsidRDefault="00BC2A8E" w:rsidP="000C1D3E">
            <w:pPr>
              <w:spacing w:after="0"/>
              <w:jc w:val="right"/>
              <w:rPr>
                <w:rFonts w:ascii="Arial" w:eastAsiaTheme="minorEastAsia" w:hAnsi="Arial" w:cs="Arial"/>
                <w:iCs/>
                <w:sz w:val="20"/>
                <w:szCs w:val="20"/>
                <w:lang w:eastAsia="ru-RU"/>
              </w:rPr>
            </w:pPr>
            <w:r w:rsidRPr="000D120B">
              <w:rPr>
                <w:rFonts w:ascii="Arial" w:hAnsi="Arial" w:cs="Arial"/>
                <w:sz w:val="20"/>
                <w:szCs w:val="20"/>
              </w:rPr>
              <w:t>(245)</w:t>
            </w:r>
          </w:p>
        </w:tc>
      </w:tr>
      <w:tr w:rsidR="007F35CE" w:rsidRPr="007C70E8" w14:paraId="0C50F55B" w14:textId="14B0D012" w:rsidTr="002C6775">
        <w:trPr>
          <w:trHeight w:val="283"/>
        </w:trPr>
        <w:tc>
          <w:tcPr>
            <w:tcW w:w="2191" w:type="pct"/>
            <w:tcBorders>
              <w:bottom w:val="single" w:sz="4" w:space="0" w:color="auto"/>
            </w:tcBorders>
            <w:shd w:val="clear" w:color="auto" w:fill="auto"/>
            <w:noWrap/>
            <w:vAlign w:val="center"/>
            <w:hideMark/>
          </w:tcPr>
          <w:p w14:paraId="4D072E04" w14:textId="659B0F51" w:rsidR="007F35CE" w:rsidRPr="007C70E8" w:rsidRDefault="007F35CE" w:rsidP="000C1D3E">
            <w:pPr>
              <w:spacing w:after="0"/>
              <w:jc w:val="both"/>
              <w:rPr>
                <w:rFonts w:ascii="Arial" w:hAnsi="Arial" w:cs="Arial"/>
                <w:b/>
                <w:bCs/>
                <w:sz w:val="20"/>
                <w:szCs w:val="20"/>
                <w:lang w:eastAsia="ru-RU"/>
              </w:rPr>
            </w:pPr>
            <w:r w:rsidRPr="007C70E8">
              <w:rPr>
                <w:rFonts w:ascii="Arial" w:hAnsi="Arial" w:cs="Arial"/>
                <w:b/>
                <w:bCs/>
                <w:sz w:val="20"/>
                <w:szCs w:val="20"/>
                <w:lang w:eastAsia="ru-RU"/>
              </w:rPr>
              <w:t>Net Cash from operating activities</w:t>
            </w:r>
          </w:p>
        </w:tc>
        <w:tc>
          <w:tcPr>
            <w:tcW w:w="138" w:type="pct"/>
          </w:tcPr>
          <w:p w14:paraId="277D307D" w14:textId="77777777" w:rsidR="007F35CE" w:rsidRPr="007C70E8" w:rsidRDefault="007F35CE" w:rsidP="000C1D3E">
            <w:pPr>
              <w:spacing w:after="0"/>
              <w:jc w:val="right"/>
              <w:rPr>
                <w:rFonts w:ascii="Arial" w:hAnsi="Arial" w:cs="Arial"/>
                <w:b/>
                <w:bCs/>
                <w:sz w:val="20"/>
                <w:szCs w:val="20"/>
                <w:lang w:eastAsia="ru-RU"/>
              </w:rPr>
            </w:pPr>
          </w:p>
        </w:tc>
        <w:tc>
          <w:tcPr>
            <w:tcW w:w="548" w:type="pct"/>
            <w:tcBorders>
              <w:bottom w:val="single" w:sz="2" w:space="0" w:color="auto"/>
            </w:tcBorders>
            <w:shd w:val="clear" w:color="auto" w:fill="auto"/>
            <w:noWrap/>
            <w:vAlign w:val="center"/>
            <w:hideMark/>
          </w:tcPr>
          <w:p w14:paraId="08B9E782" w14:textId="6C155FC1" w:rsidR="007F35CE" w:rsidRPr="00CA08B2" w:rsidRDefault="007F35CE" w:rsidP="000C1D3E">
            <w:pPr>
              <w:spacing w:after="0"/>
              <w:jc w:val="right"/>
              <w:rPr>
                <w:rFonts w:ascii="Arial" w:hAnsi="Arial" w:cs="Arial"/>
                <w:b/>
                <w:bCs/>
                <w:sz w:val="20"/>
                <w:szCs w:val="20"/>
                <w:lang w:eastAsia="ru-RU"/>
              </w:rPr>
            </w:pPr>
            <w:r w:rsidRPr="00CA08B2">
              <w:rPr>
                <w:rFonts w:ascii="Arial" w:eastAsiaTheme="minorEastAsia" w:hAnsi="Arial" w:cs="Arial"/>
                <w:b/>
                <w:bCs/>
                <w:sz w:val="20"/>
                <w:szCs w:val="20"/>
                <w:lang w:eastAsia="ru-RU"/>
              </w:rPr>
              <w:t xml:space="preserve"> </w:t>
            </w:r>
            <w:r w:rsidR="00E44D33" w:rsidRPr="00CA08B2">
              <w:rPr>
                <w:rFonts w:ascii="Arial" w:hAnsi="Arial" w:cs="Arial"/>
                <w:b/>
                <w:bCs/>
                <w:sz w:val="20"/>
                <w:szCs w:val="20"/>
              </w:rPr>
              <w:t xml:space="preserve"> </w:t>
            </w:r>
            <w:r w:rsidR="00BC2A8E" w:rsidRPr="000D120B">
              <w:rPr>
                <w:rFonts w:ascii="Arial" w:hAnsi="Arial" w:cs="Arial"/>
                <w:b/>
                <w:bCs/>
                <w:sz w:val="20"/>
                <w:szCs w:val="20"/>
              </w:rPr>
              <w:t xml:space="preserve"> 8</w:t>
            </w:r>
          </w:p>
        </w:tc>
        <w:tc>
          <w:tcPr>
            <w:tcW w:w="137" w:type="pct"/>
          </w:tcPr>
          <w:p w14:paraId="5EF30D43" w14:textId="77777777" w:rsidR="007F35CE" w:rsidRPr="00CA08B2" w:rsidRDefault="007F35CE" w:rsidP="000C1D3E">
            <w:pPr>
              <w:spacing w:after="0"/>
              <w:jc w:val="right"/>
              <w:rPr>
                <w:rFonts w:ascii="Arial" w:hAnsi="Arial" w:cs="Arial"/>
                <w:b/>
                <w:bCs/>
                <w:sz w:val="20"/>
                <w:szCs w:val="20"/>
                <w:lang w:eastAsia="ru-RU"/>
              </w:rPr>
            </w:pPr>
          </w:p>
        </w:tc>
        <w:tc>
          <w:tcPr>
            <w:tcW w:w="617" w:type="pct"/>
            <w:tcBorders>
              <w:bottom w:val="single" w:sz="2" w:space="0" w:color="auto"/>
            </w:tcBorders>
            <w:shd w:val="clear" w:color="auto" w:fill="auto"/>
            <w:noWrap/>
            <w:vAlign w:val="center"/>
            <w:hideMark/>
          </w:tcPr>
          <w:p w14:paraId="2D50B588" w14:textId="02563094" w:rsidR="007F35CE" w:rsidRPr="00CA08B2" w:rsidRDefault="007F35CE" w:rsidP="000C1D3E">
            <w:pPr>
              <w:spacing w:after="0"/>
              <w:jc w:val="right"/>
              <w:rPr>
                <w:rFonts w:ascii="Arial" w:eastAsiaTheme="minorEastAsia" w:hAnsi="Arial" w:cs="Arial"/>
                <w:b/>
                <w:bCs/>
                <w:sz w:val="20"/>
                <w:szCs w:val="20"/>
                <w:lang w:eastAsia="ru-RU"/>
              </w:rPr>
            </w:pPr>
            <w:r w:rsidRPr="00CA08B2">
              <w:rPr>
                <w:rFonts w:ascii="Arial" w:eastAsiaTheme="minorEastAsia" w:hAnsi="Arial" w:cs="Arial"/>
                <w:b/>
                <w:bCs/>
                <w:sz w:val="20"/>
                <w:szCs w:val="20"/>
                <w:lang w:eastAsia="ru-RU"/>
              </w:rPr>
              <w:t xml:space="preserve"> </w:t>
            </w:r>
            <w:r w:rsidR="00E44D33" w:rsidRPr="00CA08B2">
              <w:rPr>
                <w:rFonts w:ascii="Arial" w:hAnsi="Arial" w:cs="Arial"/>
                <w:b/>
                <w:bCs/>
                <w:sz w:val="20"/>
                <w:szCs w:val="20"/>
              </w:rPr>
              <w:t xml:space="preserve"> </w:t>
            </w:r>
            <w:r w:rsidR="00BC2A8E" w:rsidRPr="000D120B">
              <w:rPr>
                <w:rFonts w:ascii="Arial" w:hAnsi="Arial" w:cs="Arial"/>
                <w:b/>
                <w:bCs/>
                <w:sz w:val="20"/>
                <w:szCs w:val="20"/>
              </w:rPr>
              <w:t>(133)</w:t>
            </w:r>
          </w:p>
        </w:tc>
        <w:tc>
          <w:tcPr>
            <w:tcW w:w="273" w:type="pct"/>
            <w:tcBorders>
              <w:bottom w:val="single" w:sz="2" w:space="0" w:color="auto"/>
            </w:tcBorders>
          </w:tcPr>
          <w:p w14:paraId="4CFB1DDC" w14:textId="77777777" w:rsidR="007F35CE" w:rsidRPr="00CA08B2" w:rsidRDefault="007F35CE" w:rsidP="000C1D3E">
            <w:pPr>
              <w:spacing w:after="0"/>
              <w:jc w:val="right"/>
              <w:rPr>
                <w:rFonts w:ascii="Arial" w:eastAsiaTheme="minorEastAsia" w:hAnsi="Arial" w:cs="Arial"/>
                <w:b/>
                <w:bCs/>
                <w:sz w:val="20"/>
                <w:szCs w:val="20"/>
                <w:lang w:eastAsia="ru-RU"/>
              </w:rPr>
            </w:pPr>
          </w:p>
        </w:tc>
        <w:tc>
          <w:tcPr>
            <w:tcW w:w="469" w:type="pct"/>
            <w:tcBorders>
              <w:bottom w:val="single" w:sz="2" w:space="0" w:color="auto"/>
            </w:tcBorders>
          </w:tcPr>
          <w:p w14:paraId="5F422AF2" w14:textId="0A0760EA" w:rsidR="007F35CE" w:rsidRPr="00CA08B2" w:rsidRDefault="00DD2ECB" w:rsidP="000C1D3E">
            <w:pPr>
              <w:spacing w:after="0"/>
              <w:jc w:val="right"/>
              <w:rPr>
                <w:rFonts w:ascii="Arial" w:eastAsiaTheme="minorEastAsia" w:hAnsi="Arial" w:cs="Arial"/>
                <w:b/>
                <w:bCs/>
                <w:sz w:val="20"/>
                <w:szCs w:val="20"/>
                <w:lang w:eastAsia="ru-RU"/>
              </w:rPr>
            </w:pPr>
            <w:r w:rsidRPr="00CA08B2">
              <w:rPr>
                <w:rFonts w:ascii="Arial" w:hAnsi="Arial" w:cs="Arial"/>
                <w:b/>
                <w:bCs/>
                <w:sz w:val="20"/>
                <w:szCs w:val="20"/>
              </w:rPr>
              <w:t xml:space="preserve"> </w:t>
            </w:r>
            <w:r w:rsidR="00BC2A8E" w:rsidRPr="000D120B">
              <w:rPr>
                <w:rFonts w:ascii="Arial" w:hAnsi="Arial" w:cs="Arial"/>
                <w:b/>
                <w:bCs/>
                <w:sz w:val="20"/>
                <w:szCs w:val="20"/>
              </w:rPr>
              <w:t xml:space="preserve"> 138</w:t>
            </w:r>
          </w:p>
        </w:tc>
        <w:tc>
          <w:tcPr>
            <w:tcW w:w="114" w:type="pct"/>
            <w:tcBorders>
              <w:bottom w:val="single" w:sz="2" w:space="0" w:color="auto"/>
            </w:tcBorders>
          </w:tcPr>
          <w:p w14:paraId="74E2DB67" w14:textId="77777777" w:rsidR="007F35CE" w:rsidRPr="00CA08B2" w:rsidRDefault="007F35CE" w:rsidP="000C1D3E">
            <w:pPr>
              <w:spacing w:after="0"/>
              <w:jc w:val="right"/>
              <w:rPr>
                <w:rFonts w:ascii="Arial" w:eastAsiaTheme="minorEastAsia" w:hAnsi="Arial" w:cs="Arial"/>
                <w:b/>
                <w:bCs/>
                <w:sz w:val="20"/>
                <w:szCs w:val="20"/>
                <w:lang w:eastAsia="ru-RU"/>
              </w:rPr>
            </w:pPr>
          </w:p>
        </w:tc>
        <w:tc>
          <w:tcPr>
            <w:tcW w:w="512" w:type="pct"/>
            <w:tcBorders>
              <w:bottom w:val="single" w:sz="2" w:space="0" w:color="auto"/>
            </w:tcBorders>
          </w:tcPr>
          <w:p w14:paraId="5E2AF69D" w14:textId="73A2E5EB" w:rsidR="007F35CE" w:rsidRPr="00CA08B2" w:rsidRDefault="00E44D33" w:rsidP="000C1D3E">
            <w:pPr>
              <w:spacing w:after="0"/>
              <w:jc w:val="right"/>
              <w:rPr>
                <w:rFonts w:ascii="Arial" w:eastAsiaTheme="minorEastAsia" w:hAnsi="Arial" w:cs="Arial"/>
                <w:b/>
                <w:bCs/>
                <w:sz w:val="20"/>
                <w:szCs w:val="20"/>
                <w:lang w:eastAsia="ru-RU"/>
              </w:rPr>
            </w:pPr>
            <w:r w:rsidRPr="00CA08B2">
              <w:rPr>
                <w:rFonts w:ascii="Arial" w:hAnsi="Arial" w:cs="Arial"/>
                <w:b/>
                <w:bCs/>
                <w:sz w:val="20"/>
                <w:szCs w:val="20"/>
              </w:rPr>
              <w:t xml:space="preserve"> </w:t>
            </w:r>
            <w:r w:rsidR="00BC2A8E" w:rsidRPr="000D120B">
              <w:rPr>
                <w:rFonts w:ascii="Arial" w:hAnsi="Arial" w:cs="Arial"/>
                <w:b/>
                <w:bCs/>
                <w:sz w:val="20"/>
                <w:szCs w:val="20"/>
              </w:rPr>
              <w:t xml:space="preserve"> 125</w:t>
            </w:r>
          </w:p>
        </w:tc>
      </w:tr>
      <w:tr w:rsidR="007F35CE" w:rsidRPr="007C70E8" w14:paraId="4DD2A7CF" w14:textId="3143C817" w:rsidTr="002C6775">
        <w:trPr>
          <w:trHeight w:val="283"/>
        </w:trPr>
        <w:tc>
          <w:tcPr>
            <w:tcW w:w="2191" w:type="pct"/>
            <w:tcBorders>
              <w:top w:val="single" w:sz="4" w:space="0" w:color="auto"/>
            </w:tcBorders>
            <w:shd w:val="clear" w:color="auto" w:fill="auto"/>
            <w:noWrap/>
            <w:vAlign w:val="center"/>
          </w:tcPr>
          <w:p w14:paraId="01ABC11E" w14:textId="5652C0D9" w:rsidR="007F35CE" w:rsidRPr="007C70E8" w:rsidRDefault="007F35CE" w:rsidP="000C1D3E">
            <w:pPr>
              <w:spacing w:after="0"/>
              <w:jc w:val="both"/>
              <w:rPr>
                <w:rFonts w:ascii="Arial" w:hAnsi="Arial" w:cs="Arial"/>
                <w:b/>
                <w:bCs/>
                <w:sz w:val="20"/>
                <w:szCs w:val="20"/>
                <w:lang w:eastAsia="ru-RU"/>
              </w:rPr>
            </w:pPr>
            <w:r w:rsidRPr="007C70E8">
              <w:rPr>
                <w:rFonts w:ascii="Arial" w:hAnsi="Arial" w:cs="Arial"/>
                <w:b/>
                <w:bCs/>
                <w:sz w:val="20"/>
                <w:szCs w:val="20"/>
                <w:lang w:eastAsia="ru-RU"/>
              </w:rPr>
              <w:t>Cash used in investing activities</w:t>
            </w:r>
          </w:p>
        </w:tc>
        <w:tc>
          <w:tcPr>
            <w:tcW w:w="138" w:type="pct"/>
          </w:tcPr>
          <w:p w14:paraId="351C46E9" w14:textId="77777777" w:rsidR="007F35CE" w:rsidRPr="007C70E8" w:rsidRDefault="007F35CE" w:rsidP="000C1D3E">
            <w:pPr>
              <w:spacing w:after="0"/>
              <w:jc w:val="right"/>
              <w:rPr>
                <w:rFonts w:ascii="Arial" w:hAnsi="Arial" w:cs="Arial"/>
                <w:b/>
                <w:sz w:val="20"/>
                <w:szCs w:val="20"/>
                <w:lang w:eastAsia="ru-RU"/>
              </w:rPr>
            </w:pPr>
          </w:p>
        </w:tc>
        <w:tc>
          <w:tcPr>
            <w:tcW w:w="548" w:type="pct"/>
            <w:shd w:val="clear" w:color="auto" w:fill="auto"/>
            <w:noWrap/>
            <w:vAlign w:val="center"/>
          </w:tcPr>
          <w:p w14:paraId="18D9162A" w14:textId="79AD7A2B" w:rsidR="007F35CE" w:rsidRPr="00CA08B2" w:rsidRDefault="00BC2A8E" w:rsidP="000C1D3E">
            <w:pPr>
              <w:spacing w:after="0"/>
              <w:jc w:val="right"/>
              <w:rPr>
                <w:rFonts w:ascii="Arial" w:eastAsiaTheme="minorEastAsia" w:hAnsi="Arial" w:cs="Arial"/>
                <w:b/>
                <w:iCs/>
                <w:sz w:val="20"/>
                <w:szCs w:val="20"/>
                <w:lang w:eastAsia="ru-RU"/>
              </w:rPr>
            </w:pPr>
            <w:r w:rsidRPr="000D120B">
              <w:rPr>
                <w:rFonts w:ascii="Arial" w:hAnsi="Arial" w:cs="Arial"/>
                <w:b/>
                <w:sz w:val="20"/>
                <w:szCs w:val="20"/>
              </w:rPr>
              <w:t>(49)</w:t>
            </w:r>
          </w:p>
        </w:tc>
        <w:tc>
          <w:tcPr>
            <w:tcW w:w="137" w:type="pct"/>
          </w:tcPr>
          <w:p w14:paraId="5B34189B" w14:textId="77777777" w:rsidR="007F35CE" w:rsidRPr="00CA08B2" w:rsidRDefault="007F35CE" w:rsidP="000C1D3E">
            <w:pPr>
              <w:spacing w:after="0"/>
              <w:jc w:val="right"/>
              <w:rPr>
                <w:rFonts w:ascii="Arial" w:eastAsiaTheme="minorEastAsia" w:hAnsi="Arial" w:cs="Arial"/>
                <w:b/>
                <w:iCs/>
                <w:sz w:val="20"/>
                <w:szCs w:val="20"/>
                <w:lang w:eastAsia="ru-RU"/>
              </w:rPr>
            </w:pPr>
          </w:p>
        </w:tc>
        <w:tc>
          <w:tcPr>
            <w:tcW w:w="617" w:type="pct"/>
            <w:shd w:val="clear" w:color="auto" w:fill="auto"/>
            <w:noWrap/>
            <w:vAlign w:val="center"/>
          </w:tcPr>
          <w:p w14:paraId="78A0D9DB" w14:textId="31BB5B96" w:rsidR="007F35CE" w:rsidRPr="00CA08B2" w:rsidRDefault="007F35CE" w:rsidP="000C1D3E">
            <w:pPr>
              <w:spacing w:after="0"/>
              <w:jc w:val="right"/>
              <w:rPr>
                <w:rFonts w:ascii="Arial" w:eastAsiaTheme="minorEastAsia" w:hAnsi="Arial" w:cs="Arial"/>
                <w:b/>
                <w:iCs/>
                <w:sz w:val="20"/>
                <w:szCs w:val="20"/>
                <w:lang w:eastAsia="ru-RU"/>
              </w:rPr>
            </w:pPr>
            <w:r w:rsidRPr="00CA08B2">
              <w:rPr>
                <w:rFonts w:ascii="Arial" w:eastAsiaTheme="minorEastAsia" w:hAnsi="Arial" w:cs="Arial"/>
                <w:b/>
                <w:iCs/>
                <w:sz w:val="20"/>
                <w:szCs w:val="20"/>
                <w:lang w:eastAsia="ru-RU"/>
              </w:rPr>
              <w:t xml:space="preserve"> </w:t>
            </w:r>
            <w:r w:rsidR="00BC2A8E" w:rsidRPr="000D120B">
              <w:rPr>
                <w:rFonts w:ascii="Arial" w:hAnsi="Arial" w:cs="Arial"/>
                <w:b/>
                <w:sz w:val="20"/>
                <w:szCs w:val="20"/>
              </w:rPr>
              <w:t>(3)</w:t>
            </w:r>
          </w:p>
        </w:tc>
        <w:tc>
          <w:tcPr>
            <w:tcW w:w="273" w:type="pct"/>
          </w:tcPr>
          <w:p w14:paraId="42F15F49" w14:textId="77777777" w:rsidR="007F35CE" w:rsidRPr="00CA08B2" w:rsidRDefault="007F35CE" w:rsidP="000C1D3E">
            <w:pPr>
              <w:spacing w:after="0"/>
              <w:jc w:val="right"/>
              <w:rPr>
                <w:rFonts w:ascii="Arial" w:eastAsiaTheme="minorEastAsia" w:hAnsi="Arial" w:cs="Arial"/>
                <w:b/>
                <w:iCs/>
                <w:sz w:val="20"/>
                <w:szCs w:val="20"/>
                <w:lang w:eastAsia="ru-RU"/>
              </w:rPr>
            </w:pPr>
          </w:p>
        </w:tc>
        <w:tc>
          <w:tcPr>
            <w:tcW w:w="469" w:type="pct"/>
          </w:tcPr>
          <w:p w14:paraId="40699F1B" w14:textId="55A2C341" w:rsidR="007F35CE" w:rsidRPr="00CA08B2" w:rsidRDefault="00BC2A8E" w:rsidP="000C1D3E">
            <w:pPr>
              <w:spacing w:after="0"/>
              <w:jc w:val="right"/>
              <w:rPr>
                <w:rFonts w:ascii="Arial" w:eastAsiaTheme="minorEastAsia" w:hAnsi="Arial" w:cs="Arial"/>
                <w:b/>
                <w:iCs/>
                <w:sz w:val="20"/>
                <w:szCs w:val="20"/>
                <w:lang w:eastAsia="ru-RU"/>
              </w:rPr>
            </w:pPr>
            <w:r w:rsidRPr="000D120B">
              <w:rPr>
                <w:rFonts w:ascii="Arial" w:hAnsi="Arial" w:cs="Arial"/>
                <w:b/>
                <w:sz w:val="20"/>
                <w:szCs w:val="20"/>
              </w:rPr>
              <w:t>(174)</w:t>
            </w:r>
          </w:p>
        </w:tc>
        <w:tc>
          <w:tcPr>
            <w:tcW w:w="114" w:type="pct"/>
          </w:tcPr>
          <w:p w14:paraId="536C8F55" w14:textId="77777777" w:rsidR="007F35CE" w:rsidRPr="00CA08B2" w:rsidRDefault="007F35CE" w:rsidP="000C1D3E">
            <w:pPr>
              <w:spacing w:after="0"/>
              <w:jc w:val="right"/>
              <w:rPr>
                <w:rFonts w:ascii="Arial" w:eastAsiaTheme="minorEastAsia" w:hAnsi="Arial" w:cs="Arial"/>
                <w:b/>
                <w:iCs/>
                <w:sz w:val="20"/>
                <w:szCs w:val="20"/>
                <w:lang w:eastAsia="ru-RU"/>
              </w:rPr>
            </w:pPr>
          </w:p>
        </w:tc>
        <w:tc>
          <w:tcPr>
            <w:tcW w:w="512" w:type="pct"/>
          </w:tcPr>
          <w:p w14:paraId="105FF925" w14:textId="161D01C8" w:rsidR="007F35CE" w:rsidRPr="00CA08B2" w:rsidRDefault="00BC2A8E" w:rsidP="000C1D3E">
            <w:pPr>
              <w:spacing w:after="0"/>
              <w:jc w:val="right"/>
              <w:rPr>
                <w:rFonts w:ascii="Arial" w:eastAsiaTheme="minorEastAsia" w:hAnsi="Arial" w:cs="Arial"/>
                <w:b/>
                <w:iCs/>
                <w:sz w:val="20"/>
                <w:szCs w:val="20"/>
                <w:lang w:eastAsia="ru-RU"/>
              </w:rPr>
            </w:pPr>
            <w:r w:rsidRPr="000D120B">
              <w:rPr>
                <w:rFonts w:ascii="Arial" w:hAnsi="Arial" w:cs="Arial"/>
                <w:b/>
                <w:sz w:val="20"/>
                <w:szCs w:val="20"/>
              </w:rPr>
              <w:t>(100)</w:t>
            </w:r>
          </w:p>
        </w:tc>
      </w:tr>
      <w:tr w:rsidR="007F35CE" w:rsidRPr="007C70E8" w14:paraId="3EC56DB2" w14:textId="4CE5AB4D" w:rsidTr="002C6775">
        <w:trPr>
          <w:trHeight w:val="283"/>
        </w:trPr>
        <w:tc>
          <w:tcPr>
            <w:tcW w:w="2191" w:type="pct"/>
            <w:shd w:val="clear" w:color="auto" w:fill="auto"/>
            <w:noWrap/>
            <w:vAlign w:val="center"/>
          </w:tcPr>
          <w:p w14:paraId="778DDDBC" w14:textId="14E6463B" w:rsidR="007F35CE" w:rsidRPr="007C70E8" w:rsidRDefault="007F35CE" w:rsidP="000C1D3E">
            <w:pPr>
              <w:spacing w:after="0"/>
              <w:jc w:val="both"/>
              <w:rPr>
                <w:rFonts w:ascii="Arial" w:hAnsi="Arial" w:cs="Arial"/>
                <w:bCs/>
                <w:i/>
                <w:sz w:val="20"/>
                <w:szCs w:val="20"/>
                <w:lang w:eastAsia="ru-RU"/>
              </w:rPr>
            </w:pPr>
            <w:r w:rsidRPr="007C70E8">
              <w:rPr>
                <w:rFonts w:ascii="Arial" w:hAnsi="Arial" w:cs="Arial"/>
                <w:bCs/>
                <w:i/>
                <w:sz w:val="20"/>
                <w:szCs w:val="20"/>
                <w:lang w:eastAsia="ru-RU"/>
              </w:rPr>
              <w:t>Including:</w:t>
            </w:r>
          </w:p>
        </w:tc>
        <w:tc>
          <w:tcPr>
            <w:tcW w:w="138" w:type="pct"/>
          </w:tcPr>
          <w:p w14:paraId="18806FA8" w14:textId="77777777" w:rsidR="007F35CE" w:rsidRPr="007C70E8" w:rsidRDefault="007F35CE" w:rsidP="000C1D3E">
            <w:pPr>
              <w:spacing w:after="0"/>
              <w:jc w:val="right"/>
              <w:rPr>
                <w:rFonts w:ascii="Arial" w:hAnsi="Arial" w:cs="Arial"/>
                <w:b/>
                <w:sz w:val="20"/>
                <w:szCs w:val="20"/>
                <w:lang w:eastAsia="ru-RU"/>
              </w:rPr>
            </w:pPr>
          </w:p>
        </w:tc>
        <w:tc>
          <w:tcPr>
            <w:tcW w:w="548" w:type="pct"/>
            <w:shd w:val="clear" w:color="auto" w:fill="auto"/>
            <w:noWrap/>
            <w:vAlign w:val="center"/>
          </w:tcPr>
          <w:p w14:paraId="12484B56" w14:textId="77777777" w:rsidR="007F35CE" w:rsidRPr="007C70E8" w:rsidRDefault="007F35CE" w:rsidP="000C1D3E">
            <w:pPr>
              <w:spacing w:after="0"/>
              <w:jc w:val="right"/>
              <w:rPr>
                <w:rFonts w:ascii="Arial" w:eastAsiaTheme="minorEastAsia" w:hAnsi="Arial" w:cs="Arial"/>
                <w:b/>
                <w:bCs/>
                <w:sz w:val="20"/>
                <w:szCs w:val="20"/>
                <w:lang w:eastAsia="ru-RU"/>
              </w:rPr>
            </w:pPr>
          </w:p>
        </w:tc>
        <w:tc>
          <w:tcPr>
            <w:tcW w:w="137" w:type="pct"/>
          </w:tcPr>
          <w:p w14:paraId="7A7EEAC5" w14:textId="77777777" w:rsidR="007F35CE" w:rsidRPr="007C70E8" w:rsidRDefault="007F35CE" w:rsidP="000C1D3E">
            <w:pPr>
              <w:spacing w:after="0"/>
              <w:jc w:val="right"/>
              <w:rPr>
                <w:rFonts w:ascii="Arial" w:eastAsiaTheme="minorEastAsia" w:hAnsi="Arial" w:cs="Arial"/>
                <w:b/>
                <w:iCs/>
                <w:sz w:val="20"/>
                <w:szCs w:val="20"/>
                <w:lang w:eastAsia="ru-RU"/>
              </w:rPr>
            </w:pPr>
          </w:p>
        </w:tc>
        <w:tc>
          <w:tcPr>
            <w:tcW w:w="617" w:type="pct"/>
            <w:shd w:val="clear" w:color="auto" w:fill="auto"/>
            <w:noWrap/>
            <w:vAlign w:val="center"/>
          </w:tcPr>
          <w:p w14:paraId="7201812C" w14:textId="77777777" w:rsidR="007F35CE" w:rsidRPr="007C70E8" w:rsidRDefault="007F35CE" w:rsidP="000C1D3E">
            <w:pPr>
              <w:spacing w:after="0"/>
              <w:jc w:val="right"/>
              <w:rPr>
                <w:rFonts w:ascii="Arial" w:eastAsiaTheme="minorEastAsia" w:hAnsi="Arial" w:cs="Arial"/>
                <w:b/>
                <w:iCs/>
                <w:sz w:val="20"/>
                <w:szCs w:val="20"/>
                <w:lang w:eastAsia="ru-RU"/>
              </w:rPr>
            </w:pPr>
          </w:p>
        </w:tc>
        <w:tc>
          <w:tcPr>
            <w:tcW w:w="273" w:type="pct"/>
          </w:tcPr>
          <w:p w14:paraId="1CB8273D" w14:textId="77777777" w:rsidR="007F35CE" w:rsidRPr="007C70E8" w:rsidRDefault="007F35CE" w:rsidP="000C1D3E">
            <w:pPr>
              <w:spacing w:after="0"/>
              <w:jc w:val="right"/>
              <w:rPr>
                <w:rFonts w:ascii="Arial" w:eastAsiaTheme="minorEastAsia" w:hAnsi="Arial" w:cs="Arial"/>
                <w:b/>
                <w:iCs/>
                <w:sz w:val="20"/>
                <w:szCs w:val="20"/>
                <w:lang w:eastAsia="ru-RU"/>
              </w:rPr>
            </w:pPr>
          </w:p>
        </w:tc>
        <w:tc>
          <w:tcPr>
            <w:tcW w:w="469" w:type="pct"/>
          </w:tcPr>
          <w:p w14:paraId="1E3EF502" w14:textId="77777777" w:rsidR="007F35CE" w:rsidRPr="007C70E8" w:rsidRDefault="007F35CE" w:rsidP="000C1D3E">
            <w:pPr>
              <w:spacing w:after="0"/>
              <w:jc w:val="right"/>
              <w:rPr>
                <w:rFonts w:ascii="Arial" w:eastAsiaTheme="minorEastAsia" w:hAnsi="Arial" w:cs="Arial"/>
                <w:b/>
                <w:iCs/>
                <w:sz w:val="20"/>
                <w:szCs w:val="20"/>
                <w:lang w:eastAsia="ru-RU"/>
              </w:rPr>
            </w:pPr>
          </w:p>
        </w:tc>
        <w:tc>
          <w:tcPr>
            <w:tcW w:w="114" w:type="pct"/>
          </w:tcPr>
          <w:p w14:paraId="19362A9C" w14:textId="77777777" w:rsidR="007F35CE" w:rsidRPr="007C70E8" w:rsidRDefault="007F35CE" w:rsidP="000C1D3E">
            <w:pPr>
              <w:spacing w:after="0"/>
              <w:jc w:val="right"/>
              <w:rPr>
                <w:rFonts w:ascii="Arial" w:eastAsiaTheme="minorEastAsia" w:hAnsi="Arial" w:cs="Arial"/>
                <w:b/>
                <w:iCs/>
                <w:sz w:val="20"/>
                <w:szCs w:val="20"/>
                <w:lang w:eastAsia="ru-RU"/>
              </w:rPr>
            </w:pPr>
          </w:p>
        </w:tc>
        <w:tc>
          <w:tcPr>
            <w:tcW w:w="512" w:type="pct"/>
          </w:tcPr>
          <w:p w14:paraId="21E97EEB" w14:textId="06C39BA1" w:rsidR="007F35CE" w:rsidRPr="007C70E8" w:rsidRDefault="007F35CE" w:rsidP="000C1D3E">
            <w:pPr>
              <w:spacing w:after="0"/>
              <w:jc w:val="right"/>
              <w:rPr>
                <w:rFonts w:ascii="Arial" w:eastAsiaTheme="minorEastAsia" w:hAnsi="Arial" w:cs="Arial"/>
                <w:b/>
                <w:iCs/>
                <w:sz w:val="20"/>
                <w:szCs w:val="20"/>
                <w:lang w:eastAsia="ru-RU"/>
              </w:rPr>
            </w:pPr>
          </w:p>
        </w:tc>
      </w:tr>
      <w:tr w:rsidR="007F35CE" w:rsidRPr="007C70E8" w14:paraId="26E49DE8" w14:textId="15B6BDF6" w:rsidTr="002C6775">
        <w:trPr>
          <w:trHeight w:val="283"/>
        </w:trPr>
        <w:tc>
          <w:tcPr>
            <w:tcW w:w="2191" w:type="pct"/>
            <w:tcBorders>
              <w:bottom w:val="single" w:sz="4" w:space="0" w:color="auto"/>
            </w:tcBorders>
            <w:shd w:val="clear" w:color="auto" w:fill="auto"/>
            <w:noWrap/>
            <w:vAlign w:val="center"/>
          </w:tcPr>
          <w:p w14:paraId="722D790B" w14:textId="344608ED" w:rsidR="007F35CE" w:rsidRPr="007C70E8" w:rsidRDefault="007F35CE" w:rsidP="000C1D3E">
            <w:pPr>
              <w:spacing w:after="0"/>
              <w:jc w:val="both"/>
              <w:rPr>
                <w:rFonts w:ascii="Arial" w:hAnsi="Arial" w:cs="Arial"/>
                <w:bCs/>
                <w:sz w:val="20"/>
                <w:szCs w:val="20"/>
                <w:lang w:eastAsia="ru-RU"/>
              </w:rPr>
            </w:pPr>
            <w:r w:rsidRPr="007C70E8">
              <w:rPr>
                <w:rFonts w:ascii="Arial" w:hAnsi="Arial" w:cs="Arial"/>
                <w:bCs/>
                <w:sz w:val="20"/>
                <w:szCs w:val="20"/>
                <w:lang w:eastAsia="ru-RU"/>
              </w:rPr>
              <w:t>CAPEX</w:t>
            </w:r>
            <w:r w:rsidRPr="007C70E8">
              <w:rPr>
                <w:rFonts w:ascii="Arial" w:hAnsi="Arial" w:cs="Arial"/>
                <w:bCs/>
                <w:sz w:val="20"/>
                <w:szCs w:val="20"/>
                <w:vertAlign w:val="superscript"/>
                <w:lang w:eastAsia="ru-RU"/>
              </w:rPr>
              <w:t>1)</w:t>
            </w:r>
          </w:p>
        </w:tc>
        <w:tc>
          <w:tcPr>
            <w:tcW w:w="138" w:type="pct"/>
          </w:tcPr>
          <w:p w14:paraId="55898E3C" w14:textId="77777777" w:rsidR="007F35CE" w:rsidRPr="007C70E8" w:rsidRDefault="007F35CE" w:rsidP="000C1D3E">
            <w:pPr>
              <w:spacing w:after="0"/>
              <w:jc w:val="right"/>
              <w:rPr>
                <w:rFonts w:ascii="Arial" w:hAnsi="Arial" w:cs="Arial"/>
                <w:sz w:val="20"/>
                <w:szCs w:val="20"/>
                <w:lang w:eastAsia="ru-RU"/>
              </w:rPr>
            </w:pPr>
          </w:p>
        </w:tc>
        <w:tc>
          <w:tcPr>
            <w:tcW w:w="548" w:type="pct"/>
            <w:tcBorders>
              <w:bottom w:val="single" w:sz="4" w:space="0" w:color="auto"/>
            </w:tcBorders>
            <w:shd w:val="clear" w:color="auto" w:fill="auto"/>
            <w:noWrap/>
            <w:vAlign w:val="center"/>
          </w:tcPr>
          <w:p w14:paraId="19227BBA" w14:textId="6AFA33DD" w:rsidR="007F35CE" w:rsidRPr="007C70E8" w:rsidRDefault="00BC2A8E" w:rsidP="000C1D3E">
            <w:pPr>
              <w:spacing w:after="0"/>
              <w:jc w:val="right"/>
              <w:rPr>
                <w:rFonts w:ascii="Arial" w:hAnsi="Arial" w:cs="Arial"/>
                <w:sz w:val="20"/>
                <w:szCs w:val="20"/>
              </w:rPr>
            </w:pPr>
            <w:r w:rsidRPr="000D120B">
              <w:rPr>
                <w:rFonts w:ascii="Arial" w:hAnsi="Arial" w:cs="Arial"/>
                <w:sz w:val="20"/>
                <w:szCs w:val="20"/>
              </w:rPr>
              <w:t>(54)</w:t>
            </w:r>
          </w:p>
        </w:tc>
        <w:tc>
          <w:tcPr>
            <w:tcW w:w="137" w:type="pct"/>
          </w:tcPr>
          <w:p w14:paraId="5AF13F92" w14:textId="77777777" w:rsidR="007F35CE" w:rsidRPr="007C70E8" w:rsidRDefault="007F35CE" w:rsidP="000C1D3E">
            <w:pPr>
              <w:spacing w:after="0"/>
              <w:jc w:val="right"/>
              <w:rPr>
                <w:rFonts w:ascii="Arial" w:hAnsi="Arial" w:cs="Arial"/>
                <w:sz w:val="20"/>
                <w:szCs w:val="20"/>
              </w:rPr>
            </w:pPr>
          </w:p>
        </w:tc>
        <w:tc>
          <w:tcPr>
            <w:tcW w:w="617" w:type="pct"/>
            <w:tcBorders>
              <w:bottom w:val="single" w:sz="4" w:space="0" w:color="auto"/>
            </w:tcBorders>
            <w:shd w:val="clear" w:color="auto" w:fill="auto"/>
            <w:noWrap/>
            <w:vAlign w:val="center"/>
          </w:tcPr>
          <w:p w14:paraId="7420BC4C" w14:textId="35ED43B6" w:rsidR="007F35CE" w:rsidRPr="007C70E8" w:rsidRDefault="00BC2A8E" w:rsidP="000C1D3E">
            <w:pPr>
              <w:spacing w:after="0"/>
              <w:jc w:val="right"/>
              <w:rPr>
                <w:rFonts w:ascii="Arial" w:hAnsi="Arial" w:cs="Arial"/>
                <w:sz w:val="20"/>
                <w:szCs w:val="20"/>
              </w:rPr>
            </w:pPr>
            <w:r w:rsidRPr="000D120B">
              <w:rPr>
                <w:rFonts w:ascii="Arial" w:hAnsi="Arial" w:cs="Arial"/>
                <w:sz w:val="20"/>
                <w:szCs w:val="20"/>
              </w:rPr>
              <w:t>(51)</w:t>
            </w:r>
          </w:p>
        </w:tc>
        <w:tc>
          <w:tcPr>
            <w:tcW w:w="273" w:type="pct"/>
            <w:tcBorders>
              <w:bottom w:val="single" w:sz="4" w:space="0" w:color="auto"/>
            </w:tcBorders>
          </w:tcPr>
          <w:p w14:paraId="49B94063" w14:textId="77777777" w:rsidR="007F35CE" w:rsidRPr="007C70E8" w:rsidRDefault="007F35CE" w:rsidP="000C1D3E">
            <w:pPr>
              <w:spacing w:after="0"/>
              <w:jc w:val="right"/>
              <w:rPr>
                <w:rFonts w:ascii="Arial" w:hAnsi="Arial" w:cs="Arial"/>
                <w:sz w:val="20"/>
                <w:szCs w:val="20"/>
              </w:rPr>
            </w:pPr>
          </w:p>
        </w:tc>
        <w:tc>
          <w:tcPr>
            <w:tcW w:w="469" w:type="pct"/>
            <w:tcBorders>
              <w:bottom w:val="single" w:sz="4" w:space="0" w:color="auto"/>
            </w:tcBorders>
          </w:tcPr>
          <w:p w14:paraId="64A3BC76" w14:textId="2C93FCA1" w:rsidR="007F35CE" w:rsidRPr="007C70E8" w:rsidRDefault="00BC2A8E" w:rsidP="000C1D3E">
            <w:pPr>
              <w:spacing w:after="0"/>
              <w:jc w:val="right"/>
              <w:rPr>
                <w:rFonts w:ascii="Arial" w:hAnsi="Arial" w:cs="Arial"/>
                <w:sz w:val="20"/>
                <w:szCs w:val="20"/>
              </w:rPr>
            </w:pPr>
            <w:r w:rsidRPr="000D120B">
              <w:rPr>
                <w:rFonts w:ascii="Arial" w:hAnsi="Arial" w:cs="Arial"/>
                <w:sz w:val="20"/>
                <w:szCs w:val="20"/>
              </w:rPr>
              <w:t>(160)</w:t>
            </w:r>
          </w:p>
        </w:tc>
        <w:tc>
          <w:tcPr>
            <w:tcW w:w="114" w:type="pct"/>
            <w:tcBorders>
              <w:bottom w:val="single" w:sz="4" w:space="0" w:color="auto"/>
            </w:tcBorders>
          </w:tcPr>
          <w:p w14:paraId="727D8CA7" w14:textId="77777777" w:rsidR="007F35CE" w:rsidRPr="007C70E8" w:rsidRDefault="007F35CE" w:rsidP="000C1D3E">
            <w:pPr>
              <w:spacing w:after="0"/>
              <w:jc w:val="right"/>
              <w:rPr>
                <w:rFonts w:ascii="Arial" w:hAnsi="Arial" w:cs="Arial"/>
                <w:sz w:val="20"/>
                <w:szCs w:val="20"/>
              </w:rPr>
            </w:pPr>
          </w:p>
        </w:tc>
        <w:tc>
          <w:tcPr>
            <w:tcW w:w="512" w:type="pct"/>
            <w:tcBorders>
              <w:bottom w:val="single" w:sz="4" w:space="0" w:color="auto"/>
            </w:tcBorders>
          </w:tcPr>
          <w:p w14:paraId="1EA24FE0" w14:textId="7F1C54C5" w:rsidR="007F35CE" w:rsidRPr="007C70E8" w:rsidRDefault="00BC2A8E" w:rsidP="000C1D3E">
            <w:pPr>
              <w:spacing w:after="0"/>
              <w:jc w:val="right"/>
              <w:rPr>
                <w:rFonts w:ascii="Arial" w:hAnsi="Arial" w:cs="Arial"/>
                <w:sz w:val="20"/>
                <w:szCs w:val="20"/>
              </w:rPr>
            </w:pPr>
            <w:r w:rsidRPr="000D120B">
              <w:rPr>
                <w:rFonts w:ascii="Arial" w:hAnsi="Arial" w:cs="Arial"/>
                <w:sz w:val="20"/>
                <w:szCs w:val="20"/>
              </w:rPr>
              <w:t>(143)</w:t>
            </w:r>
          </w:p>
        </w:tc>
      </w:tr>
      <w:tr w:rsidR="007F35CE" w:rsidRPr="007C70E8" w14:paraId="74F17FB3" w14:textId="53DEFF1E" w:rsidTr="002C6775">
        <w:trPr>
          <w:trHeight w:val="283"/>
        </w:trPr>
        <w:tc>
          <w:tcPr>
            <w:tcW w:w="2191" w:type="pct"/>
            <w:tcBorders>
              <w:top w:val="single" w:sz="4" w:space="0" w:color="auto"/>
              <w:bottom w:val="single" w:sz="4" w:space="0" w:color="auto"/>
            </w:tcBorders>
            <w:shd w:val="clear" w:color="auto" w:fill="auto"/>
            <w:noWrap/>
            <w:vAlign w:val="center"/>
            <w:hideMark/>
          </w:tcPr>
          <w:p w14:paraId="5A8665F9" w14:textId="13FD8B61" w:rsidR="007F35CE" w:rsidRPr="007C70E8" w:rsidRDefault="007F35CE" w:rsidP="000C1D3E">
            <w:pPr>
              <w:spacing w:after="0"/>
              <w:jc w:val="both"/>
              <w:rPr>
                <w:rFonts w:ascii="Arial" w:hAnsi="Arial" w:cs="Arial"/>
                <w:iCs/>
                <w:sz w:val="20"/>
                <w:szCs w:val="20"/>
                <w:lang w:eastAsia="ru-RU"/>
              </w:rPr>
            </w:pPr>
            <w:r w:rsidRPr="007C70E8">
              <w:rPr>
                <w:rFonts w:ascii="Arial" w:eastAsia="Times New Roman" w:hAnsi="Arial" w:cs="Arial"/>
                <w:b/>
                <w:iCs/>
                <w:color w:val="000000"/>
                <w:sz w:val="20"/>
                <w:szCs w:val="20"/>
                <w:lang w:eastAsia="ru-RU"/>
              </w:rPr>
              <w:t xml:space="preserve">Cash from </w:t>
            </w:r>
            <w:r w:rsidRPr="007C70E8">
              <w:rPr>
                <w:rFonts w:ascii="Arial" w:hAnsi="Arial" w:cs="Arial"/>
                <w:b/>
                <w:iCs/>
                <w:sz w:val="20"/>
                <w:szCs w:val="20"/>
                <w:lang w:eastAsia="ru-RU"/>
              </w:rPr>
              <w:t>financing activities</w:t>
            </w:r>
          </w:p>
        </w:tc>
        <w:tc>
          <w:tcPr>
            <w:tcW w:w="138" w:type="pct"/>
          </w:tcPr>
          <w:p w14:paraId="7102F212" w14:textId="77777777" w:rsidR="007F35CE" w:rsidRPr="007C70E8" w:rsidRDefault="007F35CE" w:rsidP="000C1D3E">
            <w:pPr>
              <w:spacing w:after="0"/>
              <w:jc w:val="right"/>
              <w:rPr>
                <w:rFonts w:ascii="Arial" w:hAnsi="Arial" w:cs="Arial"/>
                <w:iCs/>
                <w:sz w:val="20"/>
                <w:szCs w:val="20"/>
                <w:lang w:eastAsia="ru-RU"/>
              </w:rPr>
            </w:pPr>
          </w:p>
        </w:tc>
        <w:tc>
          <w:tcPr>
            <w:tcW w:w="548" w:type="pct"/>
            <w:tcBorders>
              <w:top w:val="single" w:sz="4" w:space="0" w:color="auto"/>
              <w:bottom w:val="single" w:sz="4" w:space="0" w:color="auto"/>
            </w:tcBorders>
            <w:shd w:val="clear" w:color="auto" w:fill="auto"/>
            <w:noWrap/>
            <w:vAlign w:val="center"/>
            <w:hideMark/>
          </w:tcPr>
          <w:p w14:paraId="190D9CF8" w14:textId="41AD81EA" w:rsidR="007F35CE" w:rsidRPr="00CA08B2" w:rsidRDefault="00E44D33" w:rsidP="000C1D3E">
            <w:pPr>
              <w:spacing w:after="0"/>
              <w:jc w:val="right"/>
              <w:rPr>
                <w:rFonts w:ascii="Arial" w:hAnsi="Arial" w:cs="Arial"/>
                <w:b/>
                <w:bCs/>
                <w:sz w:val="20"/>
                <w:szCs w:val="20"/>
              </w:rPr>
            </w:pPr>
            <w:r w:rsidRPr="00CA08B2">
              <w:rPr>
                <w:rFonts w:ascii="Arial" w:hAnsi="Arial" w:cs="Arial"/>
                <w:b/>
                <w:bCs/>
                <w:sz w:val="20"/>
                <w:szCs w:val="20"/>
              </w:rPr>
              <w:t xml:space="preserve"> </w:t>
            </w:r>
            <w:r w:rsidR="00BC2A8E" w:rsidRPr="000D120B">
              <w:rPr>
                <w:rFonts w:ascii="Arial" w:hAnsi="Arial" w:cs="Arial"/>
                <w:b/>
                <w:bCs/>
                <w:sz w:val="20"/>
                <w:szCs w:val="20"/>
              </w:rPr>
              <w:t xml:space="preserve"> 14</w:t>
            </w:r>
          </w:p>
        </w:tc>
        <w:tc>
          <w:tcPr>
            <w:tcW w:w="137" w:type="pct"/>
          </w:tcPr>
          <w:p w14:paraId="3A4B9675" w14:textId="77777777" w:rsidR="007F35CE" w:rsidRPr="00CA08B2" w:rsidRDefault="007F35CE" w:rsidP="000C1D3E">
            <w:pPr>
              <w:spacing w:after="0"/>
              <w:jc w:val="right"/>
              <w:rPr>
                <w:rFonts w:ascii="Arial" w:hAnsi="Arial" w:cs="Arial"/>
                <w:b/>
                <w:bCs/>
                <w:iCs/>
                <w:sz w:val="20"/>
                <w:szCs w:val="20"/>
                <w:lang w:eastAsia="ru-RU"/>
              </w:rPr>
            </w:pPr>
          </w:p>
        </w:tc>
        <w:tc>
          <w:tcPr>
            <w:tcW w:w="617" w:type="pct"/>
            <w:tcBorders>
              <w:top w:val="single" w:sz="4" w:space="0" w:color="auto"/>
              <w:bottom w:val="single" w:sz="4" w:space="0" w:color="auto"/>
            </w:tcBorders>
            <w:shd w:val="clear" w:color="auto" w:fill="auto"/>
            <w:noWrap/>
            <w:vAlign w:val="center"/>
            <w:hideMark/>
          </w:tcPr>
          <w:p w14:paraId="00D7E179" w14:textId="707678A1" w:rsidR="007F35CE" w:rsidRPr="00CA08B2" w:rsidRDefault="007F35CE" w:rsidP="000C1D3E">
            <w:pPr>
              <w:spacing w:after="0"/>
              <w:jc w:val="right"/>
              <w:rPr>
                <w:rFonts w:ascii="Arial" w:eastAsiaTheme="minorEastAsia" w:hAnsi="Arial" w:cs="Arial"/>
                <w:b/>
                <w:bCs/>
                <w:iCs/>
                <w:sz w:val="20"/>
                <w:szCs w:val="20"/>
                <w:lang w:eastAsia="ru-RU"/>
              </w:rPr>
            </w:pPr>
            <w:r w:rsidRPr="00CA08B2">
              <w:rPr>
                <w:rFonts w:ascii="Arial" w:hAnsi="Arial" w:cs="Arial"/>
                <w:b/>
                <w:bCs/>
                <w:sz w:val="20"/>
                <w:szCs w:val="20"/>
              </w:rPr>
              <w:t xml:space="preserve"> </w:t>
            </w:r>
            <w:r w:rsidR="00BC2A8E" w:rsidRPr="000D120B">
              <w:rPr>
                <w:rFonts w:ascii="Arial" w:hAnsi="Arial" w:cs="Arial"/>
                <w:b/>
                <w:bCs/>
                <w:sz w:val="20"/>
                <w:szCs w:val="20"/>
              </w:rPr>
              <w:t xml:space="preserve"> 130</w:t>
            </w:r>
          </w:p>
        </w:tc>
        <w:tc>
          <w:tcPr>
            <w:tcW w:w="273" w:type="pct"/>
            <w:tcBorders>
              <w:top w:val="single" w:sz="4" w:space="0" w:color="auto"/>
              <w:bottom w:val="single" w:sz="4" w:space="0" w:color="auto"/>
            </w:tcBorders>
          </w:tcPr>
          <w:p w14:paraId="78297505" w14:textId="77777777" w:rsidR="007F35CE" w:rsidRPr="00CA08B2" w:rsidRDefault="007F35CE" w:rsidP="000C1D3E">
            <w:pPr>
              <w:spacing w:after="0"/>
              <w:jc w:val="right"/>
              <w:rPr>
                <w:rFonts w:ascii="Arial" w:hAnsi="Arial" w:cs="Arial"/>
                <w:b/>
                <w:bCs/>
                <w:sz w:val="20"/>
                <w:szCs w:val="20"/>
              </w:rPr>
            </w:pPr>
          </w:p>
        </w:tc>
        <w:tc>
          <w:tcPr>
            <w:tcW w:w="469" w:type="pct"/>
            <w:tcBorders>
              <w:top w:val="single" w:sz="4" w:space="0" w:color="auto"/>
              <w:bottom w:val="single" w:sz="4" w:space="0" w:color="auto"/>
            </w:tcBorders>
          </w:tcPr>
          <w:p w14:paraId="2C813F1C" w14:textId="6BCE4C99" w:rsidR="007F35CE" w:rsidRPr="00CA08B2" w:rsidRDefault="00DD2ECB" w:rsidP="000C1D3E">
            <w:pPr>
              <w:spacing w:after="0"/>
              <w:jc w:val="right"/>
              <w:rPr>
                <w:rFonts w:ascii="Arial" w:hAnsi="Arial" w:cs="Arial"/>
                <w:b/>
                <w:bCs/>
                <w:sz w:val="20"/>
                <w:szCs w:val="20"/>
              </w:rPr>
            </w:pPr>
            <w:r w:rsidRPr="00CA08B2">
              <w:rPr>
                <w:rFonts w:ascii="Arial" w:hAnsi="Arial" w:cs="Arial"/>
                <w:b/>
                <w:bCs/>
                <w:sz w:val="20"/>
                <w:szCs w:val="20"/>
              </w:rPr>
              <w:t xml:space="preserve"> </w:t>
            </w:r>
            <w:r w:rsidR="00BC2A8E" w:rsidRPr="000D120B">
              <w:rPr>
                <w:rFonts w:ascii="Arial" w:hAnsi="Arial" w:cs="Arial"/>
                <w:b/>
                <w:bCs/>
                <w:sz w:val="20"/>
                <w:szCs w:val="20"/>
              </w:rPr>
              <w:t xml:space="preserve"> 57</w:t>
            </w:r>
          </w:p>
        </w:tc>
        <w:tc>
          <w:tcPr>
            <w:tcW w:w="114" w:type="pct"/>
            <w:tcBorders>
              <w:top w:val="single" w:sz="4" w:space="0" w:color="auto"/>
              <w:bottom w:val="single" w:sz="4" w:space="0" w:color="auto"/>
            </w:tcBorders>
          </w:tcPr>
          <w:p w14:paraId="240E0B24" w14:textId="77777777" w:rsidR="007F35CE" w:rsidRPr="00CA08B2" w:rsidRDefault="007F35CE" w:rsidP="000C1D3E">
            <w:pPr>
              <w:spacing w:after="0"/>
              <w:jc w:val="right"/>
              <w:rPr>
                <w:rFonts w:ascii="Arial" w:hAnsi="Arial" w:cs="Arial"/>
                <w:b/>
                <w:bCs/>
                <w:sz w:val="20"/>
                <w:szCs w:val="20"/>
              </w:rPr>
            </w:pPr>
          </w:p>
        </w:tc>
        <w:tc>
          <w:tcPr>
            <w:tcW w:w="512" w:type="pct"/>
            <w:tcBorders>
              <w:top w:val="single" w:sz="4" w:space="0" w:color="auto"/>
              <w:bottom w:val="single" w:sz="4" w:space="0" w:color="auto"/>
            </w:tcBorders>
          </w:tcPr>
          <w:p w14:paraId="2CEE0B53" w14:textId="525A1843" w:rsidR="007F35CE" w:rsidRPr="00CA08B2" w:rsidRDefault="00BC2A8E" w:rsidP="000C1D3E">
            <w:pPr>
              <w:spacing w:after="0"/>
              <w:jc w:val="right"/>
              <w:rPr>
                <w:rFonts w:ascii="Arial" w:hAnsi="Arial" w:cs="Arial"/>
                <w:b/>
                <w:bCs/>
                <w:sz w:val="20"/>
                <w:szCs w:val="20"/>
              </w:rPr>
            </w:pPr>
            <w:r w:rsidRPr="000D120B">
              <w:rPr>
                <w:rFonts w:ascii="Arial" w:hAnsi="Arial" w:cs="Arial"/>
                <w:b/>
                <w:bCs/>
                <w:sz w:val="20"/>
                <w:szCs w:val="20"/>
              </w:rPr>
              <w:t xml:space="preserve"> 35</w:t>
            </w:r>
          </w:p>
        </w:tc>
      </w:tr>
      <w:tr w:rsidR="007F35CE" w:rsidRPr="007C70E8" w14:paraId="00027025" w14:textId="4335386F" w:rsidTr="002C6775">
        <w:trPr>
          <w:trHeight w:val="283"/>
        </w:trPr>
        <w:tc>
          <w:tcPr>
            <w:tcW w:w="2191" w:type="pct"/>
            <w:tcBorders>
              <w:top w:val="single" w:sz="4" w:space="0" w:color="auto"/>
              <w:bottom w:val="single" w:sz="12" w:space="0" w:color="auto"/>
            </w:tcBorders>
            <w:shd w:val="clear" w:color="auto" w:fill="auto"/>
            <w:noWrap/>
            <w:vAlign w:val="center"/>
            <w:hideMark/>
          </w:tcPr>
          <w:p w14:paraId="4B4690FA" w14:textId="6BF42DD2" w:rsidR="007F35CE" w:rsidRPr="007C70E8" w:rsidRDefault="007F35CE" w:rsidP="000C1D3E">
            <w:pPr>
              <w:spacing w:after="0"/>
              <w:jc w:val="both"/>
              <w:rPr>
                <w:rFonts w:ascii="Arial" w:hAnsi="Arial" w:cs="Arial"/>
                <w:b/>
                <w:bCs/>
                <w:sz w:val="20"/>
                <w:szCs w:val="20"/>
                <w:lang w:eastAsia="ru-RU"/>
              </w:rPr>
            </w:pPr>
            <w:r w:rsidRPr="007C70E8">
              <w:rPr>
                <w:rFonts w:ascii="Arial" w:hAnsi="Arial" w:cs="Arial"/>
                <w:b/>
                <w:bCs/>
                <w:sz w:val="20"/>
                <w:szCs w:val="20"/>
                <w:lang w:eastAsia="ru-RU"/>
              </w:rPr>
              <w:t>Total change in cash</w:t>
            </w:r>
            <w:r w:rsidRPr="007C70E8">
              <w:rPr>
                <w:rFonts w:ascii="Arial" w:hAnsi="Arial" w:cs="Arial"/>
                <w:b/>
                <w:bCs/>
                <w:sz w:val="20"/>
                <w:szCs w:val="20"/>
                <w:vertAlign w:val="superscript"/>
                <w:lang w:eastAsia="ru-RU"/>
              </w:rPr>
              <w:t>2)</w:t>
            </w:r>
          </w:p>
        </w:tc>
        <w:tc>
          <w:tcPr>
            <w:tcW w:w="138" w:type="pct"/>
          </w:tcPr>
          <w:p w14:paraId="6D34A77A" w14:textId="77777777" w:rsidR="007F35CE" w:rsidRPr="007C70E8" w:rsidRDefault="007F35CE" w:rsidP="000C1D3E">
            <w:pPr>
              <w:spacing w:after="0"/>
              <w:jc w:val="right"/>
              <w:rPr>
                <w:rFonts w:ascii="Arial" w:hAnsi="Arial" w:cs="Arial"/>
                <w:b/>
                <w:bCs/>
                <w:sz w:val="20"/>
                <w:szCs w:val="20"/>
                <w:lang w:eastAsia="ru-RU"/>
              </w:rPr>
            </w:pPr>
          </w:p>
        </w:tc>
        <w:tc>
          <w:tcPr>
            <w:tcW w:w="548" w:type="pct"/>
            <w:tcBorders>
              <w:top w:val="single" w:sz="4" w:space="0" w:color="auto"/>
              <w:bottom w:val="single" w:sz="12" w:space="0" w:color="auto"/>
            </w:tcBorders>
            <w:shd w:val="clear" w:color="auto" w:fill="auto"/>
            <w:noWrap/>
            <w:vAlign w:val="center"/>
            <w:hideMark/>
          </w:tcPr>
          <w:p w14:paraId="1809D94D" w14:textId="523A24E5" w:rsidR="007F35CE" w:rsidRPr="00CA08B2" w:rsidRDefault="00E44D33" w:rsidP="000C1D3E">
            <w:pPr>
              <w:spacing w:after="0"/>
              <w:jc w:val="right"/>
              <w:rPr>
                <w:rFonts w:ascii="Arial" w:hAnsi="Arial" w:cs="Arial"/>
                <w:b/>
                <w:bCs/>
                <w:sz w:val="20"/>
                <w:szCs w:val="20"/>
                <w:lang w:eastAsia="ru-RU"/>
              </w:rPr>
            </w:pPr>
            <w:r w:rsidRPr="00CA08B2">
              <w:rPr>
                <w:rFonts w:ascii="Arial" w:hAnsi="Arial" w:cs="Arial"/>
                <w:b/>
                <w:bCs/>
                <w:sz w:val="20"/>
                <w:szCs w:val="20"/>
              </w:rPr>
              <w:t xml:space="preserve"> </w:t>
            </w:r>
            <w:r w:rsidR="00BC2A8E" w:rsidRPr="000D120B">
              <w:rPr>
                <w:rFonts w:ascii="Arial" w:hAnsi="Arial" w:cs="Arial"/>
                <w:b/>
                <w:bCs/>
                <w:sz w:val="20"/>
                <w:szCs w:val="20"/>
              </w:rPr>
              <w:t>(27)</w:t>
            </w:r>
          </w:p>
        </w:tc>
        <w:tc>
          <w:tcPr>
            <w:tcW w:w="137" w:type="pct"/>
          </w:tcPr>
          <w:p w14:paraId="4CE21AB1" w14:textId="77777777" w:rsidR="007F35CE" w:rsidRPr="00CA08B2" w:rsidRDefault="007F35CE" w:rsidP="000C1D3E">
            <w:pPr>
              <w:spacing w:after="0"/>
              <w:jc w:val="right"/>
              <w:rPr>
                <w:rFonts w:ascii="Arial" w:hAnsi="Arial" w:cs="Arial"/>
                <w:b/>
                <w:bCs/>
                <w:sz w:val="20"/>
                <w:szCs w:val="20"/>
                <w:lang w:eastAsia="ru-RU"/>
              </w:rPr>
            </w:pPr>
          </w:p>
        </w:tc>
        <w:tc>
          <w:tcPr>
            <w:tcW w:w="617" w:type="pct"/>
            <w:tcBorders>
              <w:top w:val="single" w:sz="4" w:space="0" w:color="auto"/>
              <w:bottom w:val="single" w:sz="12" w:space="0" w:color="auto"/>
            </w:tcBorders>
            <w:shd w:val="clear" w:color="auto" w:fill="auto"/>
            <w:noWrap/>
            <w:vAlign w:val="center"/>
            <w:hideMark/>
          </w:tcPr>
          <w:p w14:paraId="1926C93A" w14:textId="7B73F280" w:rsidR="007F35CE" w:rsidRPr="00CA08B2" w:rsidRDefault="00E44D33" w:rsidP="000C1D3E">
            <w:pPr>
              <w:spacing w:after="0"/>
              <w:jc w:val="right"/>
              <w:rPr>
                <w:rFonts w:ascii="Arial" w:eastAsiaTheme="minorEastAsia" w:hAnsi="Arial" w:cs="Arial"/>
                <w:b/>
                <w:bCs/>
                <w:sz w:val="20"/>
                <w:szCs w:val="20"/>
                <w:lang w:eastAsia="ru-RU"/>
              </w:rPr>
            </w:pPr>
            <w:r w:rsidRPr="00CA08B2">
              <w:rPr>
                <w:rFonts w:ascii="Arial" w:hAnsi="Arial" w:cs="Arial"/>
                <w:b/>
                <w:bCs/>
                <w:sz w:val="20"/>
                <w:szCs w:val="20"/>
              </w:rPr>
              <w:t xml:space="preserve"> </w:t>
            </w:r>
            <w:r w:rsidR="00BC2A8E" w:rsidRPr="000D120B">
              <w:rPr>
                <w:rFonts w:ascii="Arial" w:hAnsi="Arial" w:cs="Arial"/>
                <w:b/>
                <w:bCs/>
                <w:sz w:val="20"/>
                <w:szCs w:val="20"/>
              </w:rPr>
              <w:t>(6)</w:t>
            </w:r>
          </w:p>
        </w:tc>
        <w:tc>
          <w:tcPr>
            <w:tcW w:w="273" w:type="pct"/>
            <w:tcBorders>
              <w:top w:val="single" w:sz="4" w:space="0" w:color="auto"/>
              <w:bottom w:val="single" w:sz="12" w:space="0" w:color="auto"/>
            </w:tcBorders>
          </w:tcPr>
          <w:p w14:paraId="383AF169" w14:textId="77777777" w:rsidR="007F35CE" w:rsidRPr="00CA08B2" w:rsidRDefault="007F35CE" w:rsidP="000C1D3E">
            <w:pPr>
              <w:spacing w:after="0"/>
              <w:jc w:val="right"/>
              <w:rPr>
                <w:rFonts w:ascii="Arial" w:eastAsiaTheme="minorEastAsia" w:hAnsi="Arial" w:cs="Arial"/>
                <w:b/>
                <w:bCs/>
                <w:sz w:val="20"/>
                <w:szCs w:val="20"/>
                <w:lang w:eastAsia="ru-RU"/>
              </w:rPr>
            </w:pPr>
          </w:p>
        </w:tc>
        <w:tc>
          <w:tcPr>
            <w:tcW w:w="469" w:type="pct"/>
            <w:tcBorders>
              <w:top w:val="single" w:sz="4" w:space="0" w:color="auto"/>
              <w:bottom w:val="single" w:sz="12" w:space="0" w:color="auto"/>
            </w:tcBorders>
          </w:tcPr>
          <w:p w14:paraId="554C200A" w14:textId="3A99ECAF" w:rsidR="007F35CE" w:rsidRPr="00CA08B2" w:rsidRDefault="00DD2ECB" w:rsidP="000C1D3E">
            <w:pPr>
              <w:spacing w:after="0"/>
              <w:jc w:val="right"/>
              <w:rPr>
                <w:rFonts w:ascii="Arial" w:eastAsiaTheme="minorEastAsia" w:hAnsi="Arial" w:cs="Arial"/>
                <w:b/>
                <w:bCs/>
                <w:sz w:val="20"/>
                <w:szCs w:val="20"/>
                <w:lang w:eastAsia="ru-RU"/>
              </w:rPr>
            </w:pPr>
            <w:r w:rsidRPr="00CA08B2">
              <w:rPr>
                <w:rFonts w:ascii="Arial" w:hAnsi="Arial" w:cs="Arial"/>
                <w:b/>
                <w:bCs/>
                <w:sz w:val="20"/>
                <w:szCs w:val="20"/>
              </w:rPr>
              <w:t xml:space="preserve"> </w:t>
            </w:r>
            <w:r w:rsidR="00BC2A8E" w:rsidRPr="000D120B">
              <w:rPr>
                <w:rFonts w:ascii="Arial" w:hAnsi="Arial" w:cs="Arial"/>
                <w:b/>
                <w:bCs/>
                <w:sz w:val="20"/>
                <w:szCs w:val="20"/>
              </w:rPr>
              <w:t xml:space="preserve"> 21</w:t>
            </w:r>
          </w:p>
        </w:tc>
        <w:tc>
          <w:tcPr>
            <w:tcW w:w="114" w:type="pct"/>
            <w:tcBorders>
              <w:top w:val="single" w:sz="4" w:space="0" w:color="auto"/>
            </w:tcBorders>
          </w:tcPr>
          <w:p w14:paraId="03A985E8" w14:textId="77777777" w:rsidR="007F35CE" w:rsidRPr="00CA08B2" w:rsidRDefault="007F35CE" w:rsidP="000C1D3E">
            <w:pPr>
              <w:spacing w:after="0"/>
              <w:jc w:val="right"/>
              <w:rPr>
                <w:rFonts w:ascii="Arial" w:eastAsiaTheme="minorEastAsia" w:hAnsi="Arial" w:cs="Arial"/>
                <w:b/>
                <w:bCs/>
                <w:sz w:val="20"/>
                <w:szCs w:val="20"/>
                <w:lang w:eastAsia="ru-RU"/>
              </w:rPr>
            </w:pPr>
          </w:p>
        </w:tc>
        <w:tc>
          <w:tcPr>
            <w:tcW w:w="512" w:type="pct"/>
            <w:tcBorders>
              <w:top w:val="single" w:sz="4" w:space="0" w:color="auto"/>
              <w:bottom w:val="single" w:sz="12" w:space="0" w:color="auto"/>
            </w:tcBorders>
          </w:tcPr>
          <w:p w14:paraId="6BC2C686" w14:textId="7079B4C5" w:rsidR="007F35CE" w:rsidRPr="00CA08B2" w:rsidRDefault="00E44D33" w:rsidP="000C1D3E">
            <w:pPr>
              <w:spacing w:after="0"/>
              <w:jc w:val="right"/>
              <w:rPr>
                <w:rFonts w:ascii="Arial" w:eastAsiaTheme="minorEastAsia" w:hAnsi="Arial" w:cs="Arial"/>
                <w:b/>
                <w:bCs/>
                <w:sz w:val="20"/>
                <w:szCs w:val="20"/>
                <w:lang w:eastAsia="ru-RU"/>
              </w:rPr>
            </w:pPr>
            <w:r w:rsidRPr="00CA08B2">
              <w:rPr>
                <w:rFonts w:ascii="Arial" w:hAnsi="Arial" w:cs="Arial"/>
                <w:b/>
                <w:bCs/>
                <w:sz w:val="20"/>
                <w:szCs w:val="20"/>
              </w:rPr>
              <w:t xml:space="preserve"> </w:t>
            </w:r>
            <w:r w:rsidR="00BC2A8E" w:rsidRPr="000D120B">
              <w:rPr>
                <w:rFonts w:ascii="Arial" w:hAnsi="Arial" w:cs="Arial"/>
                <w:b/>
                <w:bCs/>
                <w:sz w:val="20"/>
                <w:szCs w:val="20"/>
              </w:rPr>
              <w:t xml:space="preserve"> 60</w:t>
            </w:r>
          </w:p>
        </w:tc>
      </w:tr>
    </w:tbl>
    <w:p w14:paraId="12332E3A" w14:textId="36FB9DED" w:rsidR="00BF0469" w:rsidRPr="009840B8" w:rsidRDefault="00BF0469" w:rsidP="000C1D3E">
      <w:pPr>
        <w:spacing w:after="0" w:line="240" w:lineRule="exact"/>
        <w:jc w:val="both"/>
        <w:rPr>
          <w:rFonts w:ascii="Arial" w:hAnsi="Arial" w:cs="Arial"/>
          <w:i/>
          <w:iCs/>
          <w:sz w:val="16"/>
          <w:szCs w:val="16"/>
          <w:vertAlign w:val="superscript"/>
        </w:rPr>
      </w:pPr>
      <w:r w:rsidRPr="009840B8">
        <w:rPr>
          <w:rFonts w:ascii="Arial" w:hAnsi="Arial" w:cs="Arial"/>
          <w:i/>
          <w:iCs/>
          <w:sz w:val="16"/>
          <w:szCs w:val="16"/>
          <w:vertAlign w:val="superscript"/>
        </w:rPr>
        <w:t>1)</w:t>
      </w:r>
      <w:r w:rsidRPr="009840B8">
        <w:rPr>
          <w:rFonts w:ascii="Arial" w:hAnsi="Arial" w:cs="Arial"/>
          <w:i/>
          <w:iCs/>
          <w:sz w:val="16"/>
          <w:szCs w:val="16"/>
        </w:rPr>
        <w:t xml:space="preserve">Calculated as cash used for </w:t>
      </w:r>
      <w:r w:rsidR="001618AB">
        <w:rPr>
          <w:rFonts w:ascii="Arial" w:hAnsi="Arial" w:cs="Arial"/>
          <w:i/>
          <w:iCs/>
          <w:sz w:val="16"/>
          <w:szCs w:val="16"/>
        </w:rPr>
        <w:t>p</w:t>
      </w:r>
      <w:r w:rsidRPr="009840B8">
        <w:rPr>
          <w:rFonts w:ascii="Arial" w:hAnsi="Arial" w:cs="Arial"/>
          <w:i/>
          <w:iCs/>
          <w:sz w:val="16"/>
          <w:szCs w:val="16"/>
        </w:rPr>
        <w:t>urchases of property, plant and equipment plus cash used for purchases of other non-current assets</w:t>
      </w:r>
      <w:r w:rsidR="001618AB">
        <w:rPr>
          <w:rFonts w:ascii="Arial" w:hAnsi="Arial" w:cs="Arial"/>
          <w:i/>
          <w:iCs/>
          <w:sz w:val="16"/>
          <w:szCs w:val="16"/>
        </w:rPr>
        <w:t>.</w:t>
      </w:r>
    </w:p>
    <w:p w14:paraId="7894E626" w14:textId="385E490E" w:rsidR="00CF2A10" w:rsidRPr="009840B8" w:rsidRDefault="00BF0469" w:rsidP="000C1D3E">
      <w:pPr>
        <w:spacing w:after="40" w:line="240" w:lineRule="exact"/>
        <w:jc w:val="both"/>
        <w:rPr>
          <w:rFonts w:ascii="Arial" w:hAnsi="Arial" w:cs="Arial"/>
          <w:i/>
          <w:iCs/>
          <w:sz w:val="16"/>
          <w:szCs w:val="16"/>
        </w:rPr>
      </w:pPr>
      <w:r w:rsidRPr="009840B8">
        <w:rPr>
          <w:rFonts w:ascii="Arial" w:hAnsi="Arial" w:cs="Arial"/>
          <w:i/>
          <w:iCs/>
          <w:sz w:val="16"/>
          <w:szCs w:val="16"/>
          <w:vertAlign w:val="superscript"/>
        </w:rPr>
        <w:t>2)</w:t>
      </w:r>
      <w:r w:rsidR="00CF2A10" w:rsidRPr="009840B8">
        <w:rPr>
          <w:rFonts w:ascii="Arial" w:hAnsi="Arial" w:cs="Arial"/>
          <w:i/>
          <w:iCs/>
          <w:sz w:val="16"/>
          <w:szCs w:val="16"/>
        </w:rPr>
        <w:t xml:space="preserve">Calculated as </w:t>
      </w:r>
      <w:r w:rsidR="001618AB">
        <w:rPr>
          <w:rFonts w:ascii="Arial" w:hAnsi="Arial" w:cs="Arial"/>
          <w:i/>
          <w:iCs/>
          <w:sz w:val="16"/>
          <w:szCs w:val="16"/>
        </w:rPr>
        <w:t>n</w:t>
      </w:r>
      <w:r w:rsidR="00CF2A10" w:rsidRPr="009840B8">
        <w:rPr>
          <w:rFonts w:ascii="Arial" w:hAnsi="Arial" w:cs="Arial"/>
          <w:i/>
          <w:iCs/>
          <w:sz w:val="16"/>
          <w:szCs w:val="16"/>
        </w:rPr>
        <w:t xml:space="preserve">et </w:t>
      </w:r>
      <w:r w:rsidR="001618AB">
        <w:rPr>
          <w:rFonts w:ascii="Arial" w:hAnsi="Arial" w:cs="Arial"/>
          <w:i/>
          <w:iCs/>
          <w:sz w:val="16"/>
          <w:szCs w:val="16"/>
        </w:rPr>
        <w:t>c</w:t>
      </w:r>
      <w:r w:rsidR="00CF2A10" w:rsidRPr="009840B8">
        <w:rPr>
          <w:rFonts w:ascii="Arial" w:hAnsi="Arial" w:cs="Arial"/>
          <w:i/>
          <w:iCs/>
          <w:sz w:val="16"/>
          <w:szCs w:val="16"/>
        </w:rPr>
        <w:t xml:space="preserve">ash from operating activities plus </w:t>
      </w:r>
      <w:r w:rsidR="001618AB">
        <w:rPr>
          <w:rFonts w:ascii="Arial" w:hAnsi="Arial" w:cs="Arial"/>
          <w:i/>
          <w:iCs/>
          <w:sz w:val="16"/>
          <w:szCs w:val="16"/>
        </w:rPr>
        <w:t>c</w:t>
      </w:r>
      <w:r w:rsidR="00CF2A10" w:rsidRPr="009840B8">
        <w:rPr>
          <w:rFonts w:ascii="Arial" w:hAnsi="Arial" w:cs="Arial"/>
          <w:i/>
          <w:iCs/>
          <w:sz w:val="16"/>
          <w:szCs w:val="16"/>
        </w:rPr>
        <w:t xml:space="preserve">ash used in investing activities plus </w:t>
      </w:r>
      <w:r w:rsidR="001618AB">
        <w:rPr>
          <w:rFonts w:ascii="Arial" w:hAnsi="Arial" w:cs="Arial"/>
          <w:i/>
          <w:iCs/>
          <w:sz w:val="16"/>
          <w:szCs w:val="16"/>
        </w:rPr>
        <w:t>c</w:t>
      </w:r>
      <w:r w:rsidR="002B6EB5" w:rsidRPr="009840B8">
        <w:rPr>
          <w:rFonts w:ascii="Arial" w:hAnsi="Arial" w:cs="Arial"/>
          <w:i/>
          <w:iCs/>
          <w:sz w:val="16"/>
          <w:szCs w:val="16"/>
        </w:rPr>
        <w:t>ash used in financing activities</w:t>
      </w:r>
      <w:r w:rsidR="001618AB">
        <w:rPr>
          <w:rFonts w:ascii="Arial" w:hAnsi="Arial" w:cs="Arial"/>
          <w:i/>
          <w:iCs/>
          <w:sz w:val="16"/>
          <w:szCs w:val="16"/>
        </w:rPr>
        <w:t>.</w:t>
      </w:r>
    </w:p>
    <w:p w14:paraId="09D5F296" w14:textId="5309DF90" w:rsidR="002E3C64" w:rsidRDefault="005C56B6" w:rsidP="00DE454C">
      <w:pPr>
        <w:autoSpaceDE w:val="0"/>
        <w:spacing w:before="120" w:after="120"/>
        <w:jc w:val="both"/>
        <w:rPr>
          <w:rFonts w:ascii="Arial" w:hAnsi="Arial" w:cs="Arial"/>
          <w:color w:val="000000" w:themeColor="text1"/>
          <w:sz w:val="20"/>
          <w:szCs w:val="20"/>
        </w:rPr>
      </w:pPr>
      <w:r w:rsidRPr="005C56B6">
        <w:rPr>
          <w:rFonts w:ascii="Arial" w:hAnsi="Arial" w:cs="Arial"/>
          <w:color w:val="000000" w:themeColor="text1"/>
          <w:sz w:val="20"/>
          <w:szCs w:val="20"/>
        </w:rPr>
        <w:lastRenderedPageBreak/>
        <w:t xml:space="preserve">Cash flow from operations for 12M 2022 amounted to US$ </w:t>
      </w:r>
      <w:r w:rsidRPr="000D120B">
        <w:rPr>
          <w:rFonts w:ascii="Arial" w:hAnsi="Arial" w:cs="Arial"/>
          <w:sz w:val="20"/>
          <w:szCs w:val="20"/>
        </w:rPr>
        <w:t>479</w:t>
      </w:r>
      <w:r w:rsidRPr="005C56B6">
        <w:rPr>
          <w:rFonts w:ascii="Arial" w:hAnsi="Arial" w:cs="Arial"/>
          <w:color w:val="000000" w:themeColor="text1"/>
          <w:sz w:val="20"/>
          <w:szCs w:val="20"/>
        </w:rPr>
        <w:t xml:space="preserve"> million (12M 2021: US$ </w:t>
      </w:r>
      <w:r w:rsidRPr="000D120B">
        <w:rPr>
          <w:rFonts w:ascii="Arial" w:hAnsi="Arial" w:cs="Arial"/>
          <w:sz w:val="20"/>
          <w:szCs w:val="20"/>
        </w:rPr>
        <w:t>370</w:t>
      </w:r>
      <w:r w:rsidRPr="005C56B6">
        <w:rPr>
          <w:rFonts w:ascii="Arial" w:hAnsi="Arial" w:cs="Arial"/>
          <w:color w:val="000000" w:themeColor="text1"/>
          <w:sz w:val="20"/>
          <w:szCs w:val="20"/>
        </w:rPr>
        <w:t xml:space="preserve"> million</w:t>
      </w:r>
      <w:r w:rsidRPr="0065377F">
        <w:rPr>
          <w:rFonts w:ascii="Arial" w:hAnsi="Arial" w:cs="Arial"/>
          <w:color w:val="000000" w:themeColor="text1"/>
          <w:sz w:val="20"/>
          <w:szCs w:val="20"/>
        </w:rPr>
        <w:t>). Higher cash generation compared to EBITDA is mainly attributable to a non-cash IAS 41 gain/(loss) on revaluation of crops that will be realized the next year (in 2023).</w:t>
      </w:r>
      <w:r w:rsidRPr="00B46DB3">
        <w:rPr>
          <w:rFonts w:ascii="Arial" w:hAnsi="Arial" w:cs="Arial"/>
          <w:color w:val="000000" w:themeColor="text1"/>
          <w:sz w:val="20"/>
          <w:szCs w:val="20"/>
        </w:rPr>
        <w:t xml:space="preserve"> Despite </w:t>
      </w:r>
      <w:r>
        <w:rPr>
          <w:rFonts w:ascii="Arial" w:hAnsi="Arial" w:cs="Arial"/>
          <w:color w:val="000000" w:themeColor="text1"/>
          <w:sz w:val="20"/>
          <w:szCs w:val="20"/>
        </w:rPr>
        <w:t xml:space="preserve">an </w:t>
      </w:r>
      <w:r w:rsidRPr="00B46DB3">
        <w:rPr>
          <w:rFonts w:ascii="Arial" w:hAnsi="Arial" w:cs="Arial"/>
          <w:color w:val="000000" w:themeColor="text1"/>
          <w:sz w:val="20"/>
          <w:szCs w:val="20"/>
        </w:rPr>
        <w:t xml:space="preserve">increase in </w:t>
      </w:r>
      <w:proofErr w:type="spellStart"/>
      <w:r w:rsidRPr="00B46DB3">
        <w:rPr>
          <w:rFonts w:ascii="Arial" w:hAnsi="Arial" w:cs="Arial"/>
          <w:color w:val="000000" w:themeColor="text1"/>
          <w:sz w:val="20"/>
          <w:szCs w:val="20"/>
        </w:rPr>
        <w:t>сash</w:t>
      </w:r>
      <w:proofErr w:type="spellEnd"/>
      <w:r w:rsidRPr="00B46DB3">
        <w:rPr>
          <w:rFonts w:ascii="Arial" w:hAnsi="Arial" w:cs="Arial"/>
          <w:color w:val="000000" w:themeColor="text1"/>
          <w:sz w:val="20"/>
          <w:szCs w:val="20"/>
        </w:rPr>
        <w:t xml:space="preserve"> obtained from operations, MHP needed to invest it in</w:t>
      </w:r>
      <w:r>
        <w:rPr>
          <w:rFonts w:ascii="Arial" w:hAnsi="Arial" w:cs="Arial"/>
          <w:color w:val="000000" w:themeColor="text1"/>
          <w:sz w:val="20"/>
          <w:szCs w:val="20"/>
        </w:rPr>
        <w:t xml:space="preserve"> </w:t>
      </w:r>
      <w:r w:rsidRPr="00B46DB3">
        <w:rPr>
          <w:rFonts w:ascii="Arial" w:hAnsi="Arial" w:cs="Arial"/>
          <w:color w:val="000000" w:themeColor="text1"/>
          <w:sz w:val="20"/>
          <w:szCs w:val="20"/>
        </w:rPr>
        <w:t>working capital</w:t>
      </w:r>
      <w:r>
        <w:rPr>
          <w:rFonts w:ascii="Arial" w:hAnsi="Arial" w:cs="Arial"/>
          <w:color w:val="000000" w:themeColor="text1"/>
          <w:sz w:val="20"/>
          <w:szCs w:val="20"/>
        </w:rPr>
        <w:t>.</w:t>
      </w:r>
    </w:p>
    <w:p w14:paraId="3A223B3A" w14:textId="7D6F1715" w:rsidR="00383D6E" w:rsidRPr="00CA08B2" w:rsidRDefault="002E3C64" w:rsidP="00DE454C">
      <w:pPr>
        <w:autoSpaceDE w:val="0"/>
        <w:spacing w:before="120" w:after="120"/>
        <w:jc w:val="both"/>
        <w:rPr>
          <w:rFonts w:ascii="Arial" w:hAnsi="Arial" w:cs="Arial"/>
          <w:color w:val="000000" w:themeColor="text1"/>
          <w:sz w:val="20"/>
          <w:szCs w:val="20"/>
        </w:rPr>
      </w:pPr>
      <w:r w:rsidRPr="00B46DB3">
        <w:rPr>
          <w:rFonts w:ascii="Arial" w:hAnsi="Arial" w:cs="Arial"/>
          <w:color w:val="000000" w:themeColor="text1"/>
          <w:sz w:val="20"/>
          <w:szCs w:val="20"/>
        </w:rPr>
        <w:t>Investment in working capital are mostly related to</w:t>
      </w:r>
      <w:r>
        <w:rPr>
          <w:rFonts w:ascii="Arial" w:hAnsi="Arial" w:cs="Arial"/>
          <w:color w:val="000000" w:themeColor="text1"/>
          <w:sz w:val="20"/>
          <w:szCs w:val="20"/>
        </w:rPr>
        <w:t>:</w:t>
      </w:r>
      <w:r w:rsidR="000330FD" w:rsidRPr="00CA08B2">
        <w:rPr>
          <w:rFonts w:ascii="Arial" w:hAnsi="Arial" w:cs="Arial"/>
          <w:color w:val="000000" w:themeColor="text1"/>
          <w:sz w:val="20"/>
          <w:szCs w:val="20"/>
        </w:rPr>
        <w:t xml:space="preserve"> </w:t>
      </w:r>
    </w:p>
    <w:p w14:paraId="470C44D8" w14:textId="36F4A11E" w:rsidR="00383D6E" w:rsidRDefault="00205827" w:rsidP="00383D6E">
      <w:pPr>
        <w:pStyle w:val="a5"/>
        <w:numPr>
          <w:ilvl w:val="0"/>
          <w:numId w:val="17"/>
        </w:numPr>
        <w:autoSpaceDE w:val="0"/>
        <w:spacing w:before="120" w:after="120"/>
        <w:jc w:val="both"/>
        <w:rPr>
          <w:rFonts w:ascii="Arial" w:hAnsi="Arial" w:cs="Arial"/>
          <w:color w:val="000000" w:themeColor="text1"/>
          <w:sz w:val="20"/>
          <w:szCs w:val="20"/>
        </w:rPr>
      </w:pPr>
      <w:r w:rsidRPr="003154AA">
        <w:rPr>
          <w:rFonts w:ascii="Arial" w:hAnsi="Arial" w:cs="Arial"/>
          <w:color w:val="000000" w:themeColor="text1"/>
          <w:sz w:val="20"/>
          <w:szCs w:val="20"/>
        </w:rPr>
        <w:t>An increase in trade accounts receivable for sunflower oil due to longer settlement periods as a result of increased delivery periods</w:t>
      </w:r>
      <w:r w:rsidR="00F46F30" w:rsidRPr="003154AA">
        <w:rPr>
          <w:rFonts w:ascii="Arial" w:hAnsi="Arial" w:cs="Arial"/>
          <w:color w:val="000000" w:themeColor="text1"/>
          <w:sz w:val="20"/>
          <w:szCs w:val="20"/>
        </w:rPr>
        <w:t>;</w:t>
      </w:r>
    </w:p>
    <w:p w14:paraId="569EDFE6" w14:textId="7B1F0F78" w:rsidR="00A36CCD" w:rsidRPr="00DA0B8C" w:rsidRDefault="00862430" w:rsidP="00383D6E">
      <w:pPr>
        <w:pStyle w:val="a5"/>
        <w:numPr>
          <w:ilvl w:val="0"/>
          <w:numId w:val="17"/>
        </w:numPr>
        <w:autoSpaceDE w:val="0"/>
        <w:spacing w:before="120" w:after="120"/>
        <w:jc w:val="both"/>
        <w:rPr>
          <w:rFonts w:ascii="Arial" w:hAnsi="Arial" w:cs="Arial"/>
          <w:color w:val="000000" w:themeColor="text1"/>
          <w:sz w:val="20"/>
          <w:szCs w:val="20"/>
        </w:rPr>
      </w:pPr>
      <w:r>
        <w:rPr>
          <w:rFonts w:ascii="Arial" w:hAnsi="Arial" w:cs="Arial"/>
          <w:color w:val="000000"/>
          <w:sz w:val="20"/>
          <w:szCs w:val="20"/>
        </w:rPr>
        <w:t>L</w:t>
      </w:r>
      <w:r w:rsidR="00DA0B8C">
        <w:rPr>
          <w:rFonts w:ascii="Arial" w:hAnsi="Arial" w:cs="Arial"/>
          <w:color w:val="000000"/>
          <w:sz w:val="20"/>
          <w:szCs w:val="20"/>
        </w:rPr>
        <w:t>ower advances received for grains and meat</w:t>
      </w:r>
      <w:r w:rsidR="00A15324" w:rsidRPr="00DA0B8C">
        <w:rPr>
          <w:rFonts w:ascii="Arial" w:hAnsi="Arial" w:cs="Arial"/>
          <w:color w:val="000000"/>
          <w:sz w:val="20"/>
          <w:szCs w:val="20"/>
        </w:rPr>
        <w:t>;</w:t>
      </w:r>
      <w:r w:rsidR="001618AB">
        <w:rPr>
          <w:rFonts w:ascii="Arial" w:hAnsi="Arial" w:cs="Arial"/>
          <w:color w:val="000000"/>
          <w:sz w:val="20"/>
          <w:szCs w:val="20"/>
        </w:rPr>
        <w:t xml:space="preserve"> and</w:t>
      </w:r>
    </w:p>
    <w:p w14:paraId="57C95ED2" w14:textId="5561651B" w:rsidR="00383D6E" w:rsidRPr="00B431F0" w:rsidRDefault="00B431F0" w:rsidP="00B431F0">
      <w:pPr>
        <w:pStyle w:val="a5"/>
        <w:numPr>
          <w:ilvl w:val="0"/>
          <w:numId w:val="17"/>
        </w:numPr>
        <w:autoSpaceDE w:val="0"/>
        <w:spacing w:before="120" w:after="120"/>
        <w:jc w:val="both"/>
        <w:rPr>
          <w:rFonts w:ascii="Arial" w:hAnsi="Arial" w:cs="Arial"/>
          <w:color w:val="000000" w:themeColor="text1"/>
          <w:sz w:val="20"/>
          <w:szCs w:val="20"/>
        </w:rPr>
      </w:pPr>
      <w:r w:rsidRPr="00B431F0">
        <w:rPr>
          <w:rFonts w:ascii="Arial" w:hAnsi="Arial" w:cs="Arial"/>
          <w:color w:val="000000" w:themeColor="text1"/>
          <w:sz w:val="20"/>
          <w:szCs w:val="20"/>
        </w:rPr>
        <w:t xml:space="preserve">Higher </w:t>
      </w:r>
      <w:r w:rsidR="00EE5EC5">
        <w:rPr>
          <w:rFonts w:ascii="Arial" w:hAnsi="Arial" w:cs="Arial"/>
          <w:color w:val="000000" w:themeColor="text1"/>
          <w:sz w:val="20"/>
          <w:szCs w:val="20"/>
        </w:rPr>
        <w:t>volumes</w:t>
      </w:r>
      <w:r w:rsidR="00EE5EC5" w:rsidRPr="00B431F0">
        <w:rPr>
          <w:rFonts w:ascii="Arial" w:hAnsi="Arial" w:cs="Arial"/>
          <w:color w:val="000000" w:themeColor="text1"/>
          <w:sz w:val="20"/>
          <w:szCs w:val="20"/>
        </w:rPr>
        <w:t xml:space="preserve"> </w:t>
      </w:r>
      <w:r w:rsidRPr="00B431F0">
        <w:rPr>
          <w:rFonts w:ascii="Arial" w:hAnsi="Arial" w:cs="Arial"/>
          <w:color w:val="000000" w:themeColor="text1"/>
          <w:sz w:val="20"/>
          <w:szCs w:val="20"/>
        </w:rPr>
        <w:t>of oils as at the end of 2022 designated for sale</w:t>
      </w:r>
      <w:r w:rsidRPr="00B431F0">
        <w:rPr>
          <w:rFonts w:ascii="Arial" w:hAnsi="Arial" w:cs="Arial"/>
          <w:color w:val="000000" w:themeColor="text1"/>
          <w:sz w:val="20"/>
          <w:szCs w:val="20"/>
          <w:lang w:val="uk-UA"/>
        </w:rPr>
        <w:t xml:space="preserve"> </w:t>
      </w:r>
      <w:r w:rsidRPr="00B431F0">
        <w:rPr>
          <w:rFonts w:ascii="Arial" w:hAnsi="Arial" w:cs="Arial"/>
          <w:color w:val="000000" w:themeColor="text1"/>
          <w:sz w:val="20"/>
          <w:szCs w:val="20"/>
        </w:rPr>
        <w:t>as well as increased investments in fertilizers and fuel before the spring sowing campaign.</w:t>
      </w:r>
    </w:p>
    <w:p w14:paraId="2BA25A24" w14:textId="3A8787E7" w:rsidR="00EE3B7D" w:rsidRPr="004343DD" w:rsidRDefault="00F15B84" w:rsidP="00DE454C">
      <w:pPr>
        <w:autoSpaceDE w:val="0"/>
        <w:spacing w:before="120" w:after="120"/>
        <w:jc w:val="both"/>
        <w:rPr>
          <w:rFonts w:ascii="Arial" w:hAnsi="Arial" w:cs="Arial"/>
          <w:color w:val="000000" w:themeColor="text1"/>
          <w:sz w:val="20"/>
          <w:szCs w:val="20"/>
          <w:lang w:val="uk-UA"/>
        </w:rPr>
      </w:pPr>
      <w:r w:rsidRPr="00CA08B2">
        <w:rPr>
          <w:rFonts w:ascii="Arial" w:hAnsi="Arial" w:cs="Arial"/>
          <w:color w:val="000000" w:themeColor="text1"/>
          <w:sz w:val="20"/>
          <w:szCs w:val="20"/>
        </w:rPr>
        <w:t xml:space="preserve">In </w:t>
      </w:r>
      <w:r w:rsidR="00D2118D" w:rsidRPr="00CA08B2">
        <w:rPr>
          <w:rFonts w:ascii="Arial" w:hAnsi="Arial" w:cs="Arial"/>
          <w:color w:val="000000" w:themeColor="text1"/>
          <w:sz w:val="20"/>
          <w:szCs w:val="20"/>
        </w:rPr>
        <w:t>12</w:t>
      </w:r>
      <w:r w:rsidR="007C51B3" w:rsidRPr="00CA08B2">
        <w:rPr>
          <w:rFonts w:ascii="Arial" w:hAnsi="Arial" w:cs="Arial"/>
          <w:color w:val="000000" w:themeColor="text1"/>
          <w:sz w:val="20"/>
          <w:szCs w:val="20"/>
        </w:rPr>
        <w:t>M</w:t>
      </w:r>
      <w:r w:rsidR="007C1531" w:rsidRPr="00CA08B2">
        <w:rPr>
          <w:rFonts w:ascii="Arial" w:hAnsi="Arial" w:cs="Arial"/>
          <w:color w:val="000000" w:themeColor="text1"/>
          <w:sz w:val="20"/>
          <w:szCs w:val="20"/>
        </w:rPr>
        <w:t xml:space="preserve"> </w:t>
      </w:r>
      <w:r w:rsidR="00E22622" w:rsidRPr="00CA08B2">
        <w:rPr>
          <w:rFonts w:ascii="Arial" w:hAnsi="Arial" w:cs="Arial"/>
          <w:color w:val="000000" w:themeColor="text1"/>
          <w:sz w:val="20"/>
          <w:szCs w:val="20"/>
        </w:rPr>
        <w:t>2022</w:t>
      </w:r>
      <w:r w:rsidR="00A07CFE" w:rsidRPr="00CA08B2">
        <w:rPr>
          <w:rFonts w:ascii="Arial" w:hAnsi="Arial" w:cs="Arial"/>
          <w:color w:val="000000" w:themeColor="text1"/>
          <w:sz w:val="20"/>
          <w:szCs w:val="20"/>
        </w:rPr>
        <w:t xml:space="preserve"> </w:t>
      </w:r>
      <w:r w:rsidR="00FD1A83" w:rsidRPr="000E6C57">
        <w:rPr>
          <w:rFonts w:ascii="Arial" w:hAnsi="Arial" w:cs="Arial"/>
          <w:color w:val="000000" w:themeColor="text1"/>
          <w:sz w:val="20"/>
          <w:szCs w:val="20"/>
        </w:rPr>
        <w:t>total CAPEX</w:t>
      </w:r>
      <w:r w:rsidR="000E6C57" w:rsidRPr="000E6C57">
        <w:rPr>
          <w:rFonts w:ascii="Arial" w:hAnsi="Arial" w:cs="Arial"/>
          <w:color w:val="000000" w:themeColor="text1"/>
          <w:sz w:val="20"/>
          <w:szCs w:val="20"/>
        </w:rPr>
        <w:t xml:space="preserve"> was </w:t>
      </w:r>
      <w:r w:rsidR="000E6C57" w:rsidRPr="000D120B">
        <w:rPr>
          <w:rFonts w:ascii="Arial" w:hAnsi="Arial" w:cs="Arial"/>
          <w:sz w:val="20"/>
          <w:szCs w:val="20"/>
        </w:rPr>
        <w:t>12%</w:t>
      </w:r>
      <w:r w:rsidR="000E6C57" w:rsidRPr="000E6C57">
        <w:rPr>
          <w:rFonts w:ascii="Arial" w:hAnsi="Arial" w:cs="Arial"/>
          <w:color w:val="000000" w:themeColor="text1"/>
          <w:sz w:val="20"/>
          <w:szCs w:val="20"/>
        </w:rPr>
        <w:t xml:space="preserve"> higher</w:t>
      </w:r>
      <w:r w:rsidR="000E6C57">
        <w:rPr>
          <w:rFonts w:ascii="Arial" w:hAnsi="Arial" w:cs="Arial"/>
          <w:color w:val="000000" w:themeColor="text1"/>
          <w:sz w:val="20"/>
          <w:szCs w:val="20"/>
        </w:rPr>
        <w:t xml:space="preserve"> compared to 2021 and</w:t>
      </w:r>
      <w:r w:rsidR="00FD1A83" w:rsidRPr="00CA08B2">
        <w:rPr>
          <w:rFonts w:ascii="Arial" w:hAnsi="Arial" w:cs="Arial"/>
          <w:color w:val="000000" w:themeColor="text1"/>
          <w:sz w:val="20"/>
          <w:szCs w:val="20"/>
        </w:rPr>
        <w:t xml:space="preserve"> amounted to US$</w:t>
      </w:r>
      <w:r w:rsidR="00F741DA" w:rsidRPr="00CA08B2">
        <w:rPr>
          <w:rFonts w:ascii="Arial" w:hAnsi="Arial" w:cs="Arial"/>
          <w:color w:val="000000" w:themeColor="text1"/>
          <w:sz w:val="20"/>
          <w:szCs w:val="20"/>
        </w:rPr>
        <w:t xml:space="preserve"> </w:t>
      </w:r>
      <w:r w:rsidR="009C7001" w:rsidRPr="000D120B">
        <w:rPr>
          <w:rFonts w:ascii="Arial" w:hAnsi="Arial" w:cs="Arial"/>
          <w:sz w:val="20"/>
          <w:szCs w:val="20"/>
        </w:rPr>
        <w:t>160</w:t>
      </w:r>
      <w:r w:rsidRPr="00CA08B2">
        <w:rPr>
          <w:rFonts w:ascii="Arial" w:hAnsi="Arial" w:cs="Arial"/>
          <w:color w:val="000000" w:themeColor="text1"/>
          <w:sz w:val="20"/>
          <w:szCs w:val="20"/>
        </w:rPr>
        <w:t xml:space="preserve"> </w:t>
      </w:r>
      <w:r w:rsidR="00FD1A83" w:rsidRPr="00CA08B2">
        <w:rPr>
          <w:rFonts w:ascii="Arial" w:hAnsi="Arial" w:cs="Arial"/>
          <w:color w:val="000000" w:themeColor="text1"/>
          <w:sz w:val="20"/>
          <w:szCs w:val="20"/>
        </w:rPr>
        <w:t>million</w:t>
      </w:r>
      <w:r w:rsidR="000E6C57">
        <w:rPr>
          <w:rFonts w:ascii="Arial" w:hAnsi="Arial" w:cs="Arial"/>
          <w:color w:val="000000" w:themeColor="text1"/>
          <w:sz w:val="20"/>
          <w:szCs w:val="20"/>
        </w:rPr>
        <w:t>.</w:t>
      </w:r>
      <w:r w:rsidR="00FD1A83" w:rsidRPr="00CA08B2">
        <w:rPr>
          <w:rFonts w:ascii="Arial" w:hAnsi="Arial" w:cs="Arial"/>
          <w:color w:val="000000" w:themeColor="text1"/>
          <w:sz w:val="20"/>
          <w:szCs w:val="20"/>
        </w:rPr>
        <w:t xml:space="preserve"> </w:t>
      </w:r>
      <w:r w:rsidR="000E6C57" w:rsidRPr="000E6C57">
        <w:rPr>
          <w:rFonts w:ascii="Arial" w:hAnsi="Arial" w:cs="Arial"/>
          <w:color w:val="000000" w:themeColor="text1"/>
          <w:sz w:val="20"/>
          <w:szCs w:val="20"/>
        </w:rPr>
        <w:t>The increase in CAPEX year-on-year is mainly attributable to the expansion of operations and moderni</w:t>
      </w:r>
      <w:r w:rsidR="00B221AA">
        <w:rPr>
          <w:rFonts w:ascii="Arial" w:hAnsi="Arial" w:cs="Arial"/>
          <w:color w:val="000000" w:themeColor="text1"/>
          <w:sz w:val="20"/>
          <w:szCs w:val="20"/>
        </w:rPr>
        <w:t>z</w:t>
      </w:r>
      <w:r w:rsidR="000E6C57" w:rsidRPr="000E6C57">
        <w:rPr>
          <w:rFonts w:ascii="Arial" w:hAnsi="Arial" w:cs="Arial"/>
          <w:color w:val="000000" w:themeColor="text1"/>
          <w:sz w:val="20"/>
          <w:szCs w:val="20"/>
        </w:rPr>
        <w:t xml:space="preserve">ation of </w:t>
      </w:r>
      <w:proofErr w:type="spellStart"/>
      <w:r w:rsidR="000E6C57" w:rsidRPr="000E6C57">
        <w:rPr>
          <w:rFonts w:ascii="Arial" w:hAnsi="Arial" w:cs="Arial"/>
          <w:color w:val="000000" w:themeColor="text1"/>
          <w:sz w:val="20"/>
          <w:szCs w:val="20"/>
        </w:rPr>
        <w:t>Perutnina</w:t>
      </w:r>
      <w:proofErr w:type="spellEnd"/>
      <w:r w:rsidR="000E6C57" w:rsidRPr="000E6C57">
        <w:rPr>
          <w:rFonts w:ascii="Arial" w:hAnsi="Arial" w:cs="Arial"/>
          <w:color w:val="000000" w:themeColor="text1"/>
          <w:sz w:val="20"/>
          <w:szCs w:val="20"/>
        </w:rPr>
        <w:t xml:space="preserve"> </w:t>
      </w:r>
      <w:proofErr w:type="spellStart"/>
      <w:r w:rsidR="000E6C57" w:rsidRPr="000E6C57">
        <w:rPr>
          <w:rFonts w:ascii="Arial" w:hAnsi="Arial" w:cs="Arial"/>
          <w:color w:val="000000" w:themeColor="text1"/>
          <w:sz w:val="20"/>
          <w:szCs w:val="20"/>
        </w:rPr>
        <w:t>Ptuj</w:t>
      </w:r>
      <w:proofErr w:type="spellEnd"/>
      <w:r w:rsidR="000E6C57" w:rsidRPr="000E6C57">
        <w:rPr>
          <w:rFonts w:ascii="Arial" w:hAnsi="Arial" w:cs="Arial"/>
          <w:color w:val="000000" w:themeColor="text1"/>
          <w:sz w:val="20"/>
          <w:szCs w:val="20"/>
        </w:rPr>
        <w:t xml:space="preserve"> production facilities (including facilities for environmental friendly production and compliance) as well as the War-resilience CAPEX (barges to facilitate exports, diesel generators </w:t>
      </w:r>
      <w:proofErr w:type="spellStart"/>
      <w:r w:rsidR="000E6C57" w:rsidRPr="000E6C57">
        <w:rPr>
          <w:rFonts w:ascii="Arial" w:hAnsi="Arial" w:cs="Arial"/>
          <w:color w:val="000000" w:themeColor="text1"/>
          <w:sz w:val="20"/>
          <w:szCs w:val="20"/>
        </w:rPr>
        <w:t>etc</w:t>
      </w:r>
      <w:proofErr w:type="spellEnd"/>
      <w:r w:rsidR="000E6C57" w:rsidRPr="000E6C57">
        <w:rPr>
          <w:rFonts w:ascii="Arial" w:hAnsi="Arial" w:cs="Arial"/>
          <w:color w:val="000000" w:themeColor="text1"/>
          <w:sz w:val="20"/>
          <w:szCs w:val="20"/>
        </w:rPr>
        <w:t>)</w:t>
      </w:r>
      <w:r w:rsidR="00812532" w:rsidRPr="00CA08B2">
        <w:rPr>
          <w:rFonts w:ascii="Arial" w:hAnsi="Arial" w:cs="Arial"/>
          <w:color w:val="000000" w:themeColor="text1"/>
          <w:sz w:val="20"/>
          <w:szCs w:val="20"/>
        </w:rPr>
        <w:t>.</w:t>
      </w:r>
    </w:p>
    <w:p w14:paraId="66BD7ED4" w14:textId="1E4D59D9" w:rsidR="007E05CF" w:rsidRPr="00CA08B2" w:rsidRDefault="007E05CF" w:rsidP="000C1D3E">
      <w:pPr>
        <w:spacing w:before="240" w:after="120" w:line="360" w:lineRule="auto"/>
        <w:jc w:val="both"/>
        <w:rPr>
          <w:rFonts w:ascii="Arial" w:hAnsi="Arial" w:cs="Arial"/>
          <w:b/>
          <w:sz w:val="20"/>
          <w:szCs w:val="20"/>
        </w:rPr>
      </w:pPr>
      <w:r w:rsidRPr="00CA08B2">
        <w:rPr>
          <w:rFonts w:ascii="Arial" w:hAnsi="Arial" w:cs="Arial"/>
          <w:b/>
          <w:sz w:val="20"/>
          <w:szCs w:val="20"/>
        </w:rPr>
        <w:t>Debt Structure and Liquidity</w:t>
      </w:r>
    </w:p>
    <w:tbl>
      <w:tblPr>
        <w:tblW w:w="5000" w:type="pct"/>
        <w:tblLook w:val="04A0" w:firstRow="1" w:lastRow="0" w:firstColumn="1" w:lastColumn="0" w:noHBand="0" w:noVBand="1"/>
      </w:tblPr>
      <w:tblGrid>
        <w:gridCol w:w="3728"/>
        <w:gridCol w:w="222"/>
        <w:gridCol w:w="1962"/>
        <w:gridCol w:w="222"/>
        <w:gridCol w:w="2029"/>
        <w:gridCol w:w="222"/>
        <w:gridCol w:w="1962"/>
      </w:tblGrid>
      <w:tr w:rsidR="007E05CF" w:rsidRPr="00375C2F" w14:paraId="62C2F17A" w14:textId="77777777" w:rsidTr="004F76ED">
        <w:trPr>
          <w:trHeight w:hRule="exact" w:val="419"/>
        </w:trPr>
        <w:tc>
          <w:tcPr>
            <w:tcW w:w="1873" w:type="pct"/>
            <w:tcBorders>
              <w:top w:val="single" w:sz="12" w:space="0" w:color="auto"/>
              <w:bottom w:val="single" w:sz="12" w:space="0" w:color="auto"/>
            </w:tcBorders>
            <w:shd w:val="clear" w:color="auto" w:fill="auto"/>
            <w:noWrap/>
            <w:vAlign w:val="center"/>
            <w:hideMark/>
          </w:tcPr>
          <w:p w14:paraId="0EB7762B" w14:textId="77777777" w:rsidR="007E05CF" w:rsidRPr="00375C2F" w:rsidRDefault="007E05CF" w:rsidP="000C1D3E">
            <w:pPr>
              <w:spacing w:after="0"/>
              <w:rPr>
                <w:rFonts w:ascii="Arial" w:hAnsi="Arial" w:cs="Arial"/>
                <w:b/>
                <w:bCs/>
                <w:sz w:val="20"/>
                <w:szCs w:val="20"/>
                <w:lang w:eastAsia="ru-RU"/>
              </w:rPr>
            </w:pPr>
            <w:r w:rsidRPr="00375C2F">
              <w:rPr>
                <w:rFonts w:ascii="Arial" w:hAnsi="Arial" w:cs="Arial"/>
                <w:i/>
                <w:sz w:val="20"/>
                <w:szCs w:val="20"/>
                <w:lang w:eastAsia="ru-RU"/>
              </w:rPr>
              <w:t xml:space="preserve">(in </w:t>
            </w:r>
            <w:proofErr w:type="spellStart"/>
            <w:r w:rsidRPr="00375C2F">
              <w:rPr>
                <w:rFonts w:ascii="Arial" w:hAnsi="Arial" w:cs="Arial"/>
                <w:i/>
                <w:sz w:val="20"/>
                <w:szCs w:val="20"/>
                <w:lang w:eastAsia="ru-RU"/>
              </w:rPr>
              <w:t>mln</w:t>
            </w:r>
            <w:proofErr w:type="spellEnd"/>
            <w:r w:rsidRPr="00375C2F">
              <w:rPr>
                <w:rFonts w:ascii="Arial" w:hAnsi="Arial" w:cs="Arial"/>
                <w:i/>
                <w:sz w:val="20"/>
                <w:szCs w:val="20"/>
                <w:lang w:eastAsia="ru-RU"/>
              </w:rPr>
              <w:t>. US$)</w:t>
            </w:r>
          </w:p>
        </w:tc>
        <w:tc>
          <w:tcPr>
            <w:tcW w:w="126" w:type="pct"/>
          </w:tcPr>
          <w:p w14:paraId="2F3CF95C" w14:textId="77777777" w:rsidR="007E05CF" w:rsidRPr="00375C2F" w:rsidRDefault="007E05CF" w:rsidP="000C1D3E">
            <w:pPr>
              <w:spacing w:after="0"/>
              <w:jc w:val="right"/>
              <w:rPr>
                <w:rFonts w:ascii="Arial" w:hAnsi="Arial" w:cs="Arial"/>
                <w:b/>
                <w:bCs/>
                <w:sz w:val="20"/>
                <w:szCs w:val="20"/>
                <w:lang w:eastAsia="ru-RU"/>
              </w:rPr>
            </w:pPr>
          </w:p>
        </w:tc>
        <w:tc>
          <w:tcPr>
            <w:tcW w:w="846" w:type="pct"/>
            <w:tcBorders>
              <w:top w:val="single" w:sz="12" w:space="0" w:color="auto"/>
              <w:bottom w:val="single" w:sz="12" w:space="0" w:color="auto"/>
            </w:tcBorders>
            <w:shd w:val="clear" w:color="auto" w:fill="auto"/>
            <w:noWrap/>
            <w:vAlign w:val="center"/>
            <w:hideMark/>
          </w:tcPr>
          <w:p w14:paraId="5136F891" w14:textId="01311E24" w:rsidR="007E05CF" w:rsidRPr="00375C2F" w:rsidRDefault="00F741DA" w:rsidP="000C1D3E">
            <w:pPr>
              <w:spacing w:after="0"/>
              <w:jc w:val="right"/>
              <w:rPr>
                <w:rFonts w:ascii="Arial" w:hAnsi="Arial" w:cs="Arial"/>
                <w:b/>
                <w:sz w:val="20"/>
                <w:szCs w:val="20"/>
              </w:rPr>
            </w:pPr>
            <w:r w:rsidRPr="00375C2F">
              <w:rPr>
                <w:rFonts w:ascii="Arial" w:hAnsi="Arial" w:cs="Arial"/>
                <w:b/>
                <w:sz w:val="20"/>
                <w:szCs w:val="20"/>
              </w:rPr>
              <w:t>3</w:t>
            </w:r>
            <w:r w:rsidR="00F5576E" w:rsidRPr="00375C2F">
              <w:rPr>
                <w:rFonts w:ascii="Arial" w:hAnsi="Arial" w:cs="Arial"/>
                <w:b/>
                <w:sz w:val="20"/>
                <w:szCs w:val="20"/>
              </w:rPr>
              <w:t>1</w:t>
            </w:r>
            <w:r w:rsidRPr="00375C2F">
              <w:rPr>
                <w:rFonts w:ascii="Arial" w:hAnsi="Arial" w:cs="Arial"/>
                <w:b/>
                <w:sz w:val="20"/>
                <w:szCs w:val="20"/>
              </w:rPr>
              <w:t xml:space="preserve"> </w:t>
            </w:r>
            <w:r w:rsidR="00F5576E" w:rsidRPr="00375C2F">
              <w:rPr>
                <w:rFonts w:ascii="Arial" w:hAnsi="Arial" w:cs="Arial"/>
                <w:b/>
                <w:sz w:val="20"/>
                <w:szCs w:val="20"/>
              </w:rPr>
              <w:t>December</w:t>
            </w:r>
            <w:r w:rsidRPr="00375C2F">
              <w:rPr>
                <w:rFonts w:ascii="Arial" w:hAnsi="Arial" w:cs="Arial"/>
                <w:b/>
                <w:sz w:val="20"/>
                <w:szCs w:val="20"/>
              </w:rPr>
              <w:t xml:space="preserve"> 2022</w:t>
            </w:r>
          </w:p>
        </w:tc>
        <w:tc>
          <w:tcPr>
            <w:tcW w:w="126" w:type="pct"/>
          </w:tcPr>
          <w:p w14:paraId="44EAAAB7" w14:textId="77777777" w:rsidR="007E05CF" w:rsidRPr="00375C2F" w:rsidRDefault="007E05CF" w:rsidP="000C1D3E">
            <w:pPr>
              <w:spacing w:after="0"/>
              <w:jc w:val="right"/>
              <w:rPr>
                <w:rFonts w:ascii="Arial" w:hAnsi="Arial" w:cs="Arial"/>
                <w:b/>
                <w:sz w:val="20"/>
                <w:szCs w:val="20"/>
              </w:rPr>
            </w:pPr>
          </w:p>
        </w:tc>
        <w:tc>
          <w:tcPr>
            <w:tcW w:w="1057" w:type="pct"/>
            <w:tcBorders>
              <w:top w:val="single" w:sz="12" w:space="0" w:color="auto"/>
              <w:bottom w:val="single" w:sz="12" w:space="0" w:color="auto"/>
            </w:tcBorders>
            <w:shd w:val="clear" w:color="auto" w:fill="auto"/>
            <w:noWrap/>
            <w:vAlign w:val="center"/>
            <w:hideMark/>
          </w:tcPr>
          <w:p w14:paraId="79A418BA" w14:textId="615EF73B" w:rsidR="007E05CF" w:rsidRPr="00375C2F" w:rsidRDefault="00F741DA" w:rsidP="000C1D3E">
            <w:pPr>
              <w:spacing w:after="0"/>
              <w:jc w:val="right"/>
              <w:rPr>
                <w:rFonts w:ascii="Arial" w:hAnsi="Arial" w:cs="Arial"/>
                <w:b/>
                <w:sz w:val="20"/>
                <w:szCs w:val="20"/>
              </w:rPr>
            </w:pPr>
            <w:r w:rsidRPr="00375C2F">
              <w:rPr>
                <w:rFonts w:ascii="Arial" w:hAnsi="Arial" w:cs="Arial"/>
                <w:b/>
                <w:sz w:val="20"/>
                <w:szCs w:val="20"/>
              </w:rPr>
              <w:t>3</w:t>
            </w:r>
            <w:r w:rsidR="00F5576E" w:rsidRPr="00375C2F">
              <w:rPr>
                <w:rFonts w:ascii="Arial" w:hAnsi="Arial" w:cs="Arial"/>
                <w:b/>
                <w:sz w:val="20"/>
                <w:szCs w:val="20"/>
              </w:rPr>
              <w:t>0</w:t>
            </w:r>
            <w:r w:rsidRPr="00375C2F">
              <w:rPr>
                <w:rFonts w:ascii="Arial" w:hAnsi="Arial" w:cs="Arial"/>
                <w:b/>
                <w:sz w:val="20"/>
                <w:szCs w:val="20"/>
              </w:rPr>
              <w:t xml:space="preserve"> </w:t>
            </w:r>
            <w:r w:rsidR="00F5576E" w:rsidRPr="00375C2F">
              <w:rPr>
                <w:rFonts w:ascii="Arial" w:hAnsi="Arial" w:cs="Arial"/>
                <w:b/>
                <w:sz w:val="20"/>
                <w:szCs w:val="20"/>
              </w:rPr>
              <w:t>September</w:t>
            </w:r>
            <w:r w:rsidRPr="00375C2F">
              <w:rPr>
                <w:rFonts w:ascii="Arial" w:hAnsi="Arial" w:cs="Arial"/>
                <w:b/>
                <w:sz w:val="20"/>
                <w:szCs w:val="20"/>
              </w:rPr>
              <w:t xml:space="preserve"> 202</w:t>
            </w:r>
            <w:r w:rsidR="00F5576E" w:rsidRPr="00375C2F">
              <w:rPr>
                <w:rFonts w:ascii="Arial" w:hAnsi="Arial" w:cs="Arial"/>
                <w:b/>
                <w:sz w:val="20"/>
                <w:szCs w:val="20"/>
              </w:rPr>
              <w:t>2</w:t>
            </w:r>
          </w:p>
        </w:tc>
        <w:tc>
          <w:tcPr>
            <w:tcW w:w="126" w:type="pct"/>
          </w:tcPr>
          <w:p w14:paraId="27558724" w14:textId="77777777" w:rsidR="007E05CF" w:rsidRPr="00375C2F" w:rsidRDefault="007E05CF" w:rsidP="000C1D3E">
            <w:pPr>
              <w:spacing w:after="0"/>
              <w:jc w:val="right"/>
              <w:rPr>
                <w:rFonts w:ascii="Arial" w:hAnsi="Arial" w:cs="Arial"/>
                <w:b/>
                <w:sz w:val="20"/>
                <w:szCs w:val="20"/>
              </w:rPr>
            </w:pPr>
          </w:p>
        </w:tc>
        <w:tc>
          <w:tcPr>
            <w:tcW w:w="846" w:type="pct"/>
            <w:tcBorders>
              <w:top w:val="single" w:sz="12" w:space="0" w:color="auto"/>
              <w:bottom w:val="single" w:sz="12" w:space="0" w:color="auto"/>
            </w:tcBorders>
            <w:shd w:val="clear" w:color="auto" w:fill="auto"/>
            <w:noWrap/>
            <w:vAlign w:val="center"/>
          </w:tcPr>
          <w:p w14:paraId="172E3564" w14:textId="7692F79C" w:rsidR="007E05CF" w:rsidRPr="00375C2F" w:rsidRDefault="00F741DA" w:rsidP="000C1D3E">
            <w:pPr>
              <w:spacing w:after="0"/>
              <w:jc w:val="right"/>
              <w:rPr>
                <w:rFonts w:ascii="Arial" w:hAnsi="Arial" w:cs="Arial"/>
                <w:b/>
                <w:sz w:val="20"/>
                <w:szCs w:val="20"/>
              </w:rPr>
            </w:pPr>
            <w:r w:rsidRPr="00375C2F">
              <w:rPr>
                <w:rFonts w:ascii="Arial" w:hAnsi="Arial" w:cs="Arial"/>
                <w:b/>
                <w:sz w:val="20"/>
                <w:szCs w:val="20"/>
              </w:rPr>
              <w:t>3</w:t>
            </w:r>
            <w:r w:rsidR="00F5576E" w:rsidRPr="00375C2F">
              <w:rPr>
                <w:rFonts w:ascii="Arial" w:hAnsi="Arial" w:cs="Arial"/>
                <w:b/>
                <w:sz w:val="20"/>
                <w:szCs w:val="20"/>
              </w:rPr>
              <w:t>1</w:t>
            </w:r>
            <w:r w:rsidRPr="00375C2F">
              <w:rPr>
                <w:rFonts w:ascii="Arial" w:hAnsi="Arial" w:cs="Arial"/>
                <w:b/>
                <w:sz w:val="20"/>
                <w:szCs w:val="20"/>
              </w:rPr>
              <w:t xml:space="preserve"> </w:t>
            </w:r>
            <w:r w:rsidR="00F5576E" w:rsidRPr="00375C2F">
              <w:rPr>
                <w:rFonts w:ascii="Arial" w:hAnsi="Arial" w:cs="Arial"/>
                <w:b/>
                <w:sz w:val="20"/>
                <w:szCs w:val="20"/>
              </w:rPr>
              <w:t>December</w:t>
            </w:r>
            <w:r w:rsidRPr="00375C2F">
              <w:rPr>
                <w:rFonts w:ascii="Arial" w:hAnsi="Arial" w:cs="Arial"/>
                <w:b/>
                <w:sz w:val="20"/>
                <w:szCs w:val="20"/>
              </w:rPr>
              <w:t xml:space="preserve"> 2021</w:t>
            </w:r>
          </w:p>
        </w:tc>
      </w:tr>
      <w:tr w:rsidR="007E05CF" w:rsidRPr="00375C2F" w14:paraId="1B809FFA" w14:textId="77777777" w:rsidTr="004F76ED">
        <w:trPr>
          <w:trHeight w:hRule="exact" w:val="104"/>
        </w:trPr>
        <w:tc>
          <w:tcPr>
            <w:tcW w:w="1873" w:type="pct"/>
            <w:tcBorders>
              <w:top w:val="single" w:sz="12" w:space="0" w:color="auto"/>
            </w:tcBorders>
            <w:shd w:val="clear" w:color="auto" w:fill="auto"/>
            <w:noWrap/>
            <w:vAlign w:val="center"/>
          </w:tcPr>
          <w:p w14:paraId="6BB6BF57" w14:textId="77777777" w:rsidR="007E05CF" w:rsidRPr="00375C2F" w:rsidRDefault="007E05CF" w:rsidP="000C1D3E">
            <w:pPr>
              <w:rPr>
                <w:rFonts w:ascii="Arial" w:hAnsi="Arial" w:cs="Arial"/>
                <w:b/>
                <w:bCs/>
                <w:sz w:val="20"/>
                <w:szCs w:val="20"/>
                <w:lang w:eastAsia="ru-RU"/>
              </w:rPr>
            </w:pPr>
          </w:p>
        </w:tc>
        <w:tc>
          <w:tcPr>
            <w:tcW w:w="126" w:type="pct"/>
          </w:tcPr>
          <w:p w14:paraId="5CD76DA1" w14:textId="77777777" w:rsidR="007E05CF" w:rsidRPr="00375C2F" w:rsidRDefault="007E05CF" w:rsidP="000C1D3E">
            <w:pPr>
              <w:jc w:val="right"/>
              <w:rPr>
                <w:rFonts w:ascii="Arial" w:hAnsi="Arial" w:cs="Arial"/>
                <w:b/>
                <w:bCs/>
                <w:sz w:val="20"/>
                <w:szCs w:val="20"/>
                <w:lang w:eastAsia="ru-RU"/>
              </w:rPr>
            </w:pPr>
          </w:p>
        </w:tc>
        <w:tc>
          <w:tcPr>
            <w:tcW w:w="846" w:type="pct"/>
            <w:tcBorders>
              <w:top w:val="single" w:sz="12" w:space="0" w:color="auto"/>
            </w:tcBorders>
            <w:shd w:val="clear" w:color="auto" w:fill="auto"/>
            <w:noWrap/>
            <w:vAlign w:val="center"/>
          </w:tcPr>
          <w:p w14:paraId="4F95B199" w14:textId="77777777" w:rsidR="007E05CF" w:rsidRPr="00375C2F" w:rsidRDefault="007E05CF" w:rsidP="000C1D3E">
            <w:pPr>
              <w:jc w:val="right"/>
              <w:rPr>
                <w:rFonts w:ascii="Arial" w:hAnsi="Arial" w:cs="Arial"/>
                <w:b/>
                <w:bCs/>
                <w:sz w:val="20"/>
                <w:szCs w:val="20"/>
                <w:lang w:eastAsia="ru-RU"/>
              </w:rPr>
            </w:pPr>
          </w:p>
        </w:tc>
        <w:tc>
          <w:tcPr>
            <w:tcW w:w="126" w:type="pct"/>
          </w:tcPr>
          <w:p w14:paraId="3CCB1AF1" w14:textId="77777777" w:rsidR="007E05CF" w:rsidRPr="00375C2F" w:rsidRDefault="007E05CF" w:rsidP="000C1D3E">
            <w:pPr>
              <w:jc w:val="right"/>
              <w:rPr>
                <w:rFonts w:ascii="Arial" w:hAnsi="Arial" w:cs="Arial"/>
                <w:b/>
                <w:bCs/>
                <w:sz w:val="20"/>
                <w:szCs w:val="20"/>
                <w:lang w:eastAsia="ru-RU"/>
              </w:rPr>
            </w:pPr>
          </w:p>
        </w:tc>
        <w:tc>
          <w:tcPr>
            <w:tcW w:w="1057" w:type="pct"/>
            <w:tcBorders>
              <w:top w:val="single" w:sz="12" w:space="0" w:color="auto"/>
            </w:tcBorders>
            <w:shd w:val="clear" w:color="auto" w:fill="auto"/>
            <w:noWrap/>
            <w:vAlign w:val="center"/>
          </w:tcPr>
          <w:p w14:paraId="56D559A7" w14:textId="77777777" w:rsidR="007E05CF" w:rsidRPr="00375C2F" w:rsidRDefault="007E05CF" w:rsidP="000C1D3E">
            <w:pPr>
              <w:jc w:val="right"/>
              <w:rPr>
                <w:rFonts w:ascii="Arial" w:hAnsi="Arial" w:cs="Arial"/>
                <w:b/>
                <w:bCs/>
                <w:sz w:val="20"/>
                <w:szCs w:val="20"/>
                <w:lang w:eastAsia="ru-RU"/>
              </w:rPr>
            </w:pPr>
          </w:p>
        </w:tc>
        <w:tc>
          <w:tcPr>
            <w:tcW w:w="126" w:type="pct"/>
          </w:tcPr>
          <w:p w14:paraId="51DD4E28" w14:textId="77777777" w:rsidR="007E05CF" w:rsidRPr="00375C2F" w:rsidRDefault="007E05CF" w:rsidP="000C1D3E">
            <w:pPr>
              <w:jc w:val="right"/>
              <w:rPr>
                <w:rFonts w:ascii="Arial" w:hAnsi="Arial" w:cs="Arial"/>
                <w:b/>
                <w:bCs/>
                <w:sz w:val="20"/>
                <w:szCs w:val="20"/>
                <w:lang w:eastAsia="ru-RU"/>
              </w:rPr>
            </w:pPr>
          </w:p>
        </w:tc>
        <w:tc>
          <w:tcPr>
            <w:tcW w:w="846" w:type="pct"/>
            <w:tcBorders>
              <w:top w:val="single" w:sz="12" w:space="0" w:color="auto"/>
            </w:tcBorders>
            <w:shd w:val="clear" w:color="auto" w:fill="auto"/>
            <w:noWrap/>
            <w:vAlign w:val="center"/>
          </w:tcPr>
          <w:p w14:paraId="320C435A" w14:textId="77777777" w:rsidR="007E05CF" w:rsidRPr="00375C2F" w:rsidRDefault="007E05CF" w:rsidP="000C1D3E">
            <w:pPr>
              <w:jc w:val="right"/>
              <w:rPr>
                <w:rFonts w:ascii="Arial" w:hAnsi="Arial" w:cs="Arial"/>
                <w:b/>
                <w:bCs/>
                <w:sz w:val="20"/>
                <w:szCs w:val="20"/>
                <w:lang w:eastAsia="ru-RU"/>
              </w:rPr>
            </w:pPr>
          </w:p>
        </w:tc>
      </w:tr>
      <w:tr w:rsidR="007E05CF" w:rsidRPr="00375C2F" w14:paraId="6C9C7011" w14:textId="77777777" w:rsidTr="004F76ED">
        <w:trPr>
          <w:trHeight w:hRule="exact" w:val="284"/>
        </w:trPr>
        <w:tc>
          <w:tcPr>
            <w:tcW w:w="1873" w:type="pct"/>
            <w:shd w:val="clear" w:color="auto" w:fill="auto"/>
            <w:noWrap/>
            <w:vAlign w:val="center"/>
            <w:hideMark/>
          </w:tcPr>
          <w:p w14:paraId="3085E9DA" w14:textId="2B05925B" w:rsidR="007E05CF" w:rsidRPr="00375C2F" w:rsidRDefault="007E05CF" w:rsidP="000C1D3E">
            <w:pPr>
              <w:rPr>
                <w:rFonts w:ascii="Arial" w:hAnsi="Arial" w:cs="Arial"/>
                <w:b/>
                <w:bCs/>
                <w:sz w:val="20"/>
                <w:szCs w:val="20"/>
                <w:lang w:eastAsia="ru-RU"/>
              </w:rPr>
            </w:pPr>
            <w:r w:rsidRPr="00375C2F">
              <w:rPr>
                <w:rFonts w:ascii="Arial" w:hAnsi="Arial" w:cs="Arial"/>
                <w:b/>
                <w:bCs/>
                <w:sz w:val="20"/>
                <w:szCs w:val="20"/>
                <w:lang w:eastAsia="ru-RU"/>
              </w:rPr>
              <w:t>Total Debt</w:t>
            </w:r>
            <w:r w:rsidR="00A545E7" w:rsidRPr="00375C2F">
              <w:rPr>
                <w:rFonts w:ascii="Arial" w:hAnsi="Arial" w:cs="Arial"/>
                <w:b/>
                <w:bCs/>
                <w:sz w:val="20"/>
                <w:szCs w:val="20"/>
                <w:vertAlign w:val="superscript"/>
                <w:lang w:eastAsia="ru-RU"/>
              </w:rPr>
              <w:t>1)</w:t>
            </w:r>
            <w:r w:rsidR="00CD27A0" w:rsidRPr="00375C2F">
              <w:rPr>
                <w:rFonts w:ascii="Arial" w:hAnsi="Arial" w:cs="Arial"/>
                <w:b/>
                <w:bCs/>
                <w:sz w:val="20"/>
                <w:szCs w:val="20"/>
                <w:vertAlign w:val="superscript"/>
                <w:lang w:eastAsia="ru-RU"/>
              </w:rPr>
              <w:t xml:space="preserve"> 2)</w:t>
            </w:r>
          </w:p>
        </w:tc>
        <w:tc>
          <w:tcPr>
            <w:tcW w:w="126" w:type="pct"/>
          </w:tcPr>
          <w:p w14:paraId="1C69143C" w14:textId="77777777" w:rsidR="007E05CF" w:rsidRPr="00375C2F" w:rsidRDefault="007E05CF" w:rsidP="000C1D3E">
            <w:pPr>
              <w:jc w:val="right"/>
              <w:rPr>
                <w:rFonts w:ascii="Arial" w:hAnsi="Arial" w:cs="Arial"/>
                <w:b/>
                <w:bCs/>
                <w:sz w:val="20"/>
                <w:szCs w:val="20"/>
                <w:lang w:eastAsia="ru-RU"/>
              </w:rPr>
            </w:pPr>
          </w:p>
        </w:tc>
        <w:tc>
          <w:tcPr>
            <w:tcW w:w="846" w:type="pct"/>
            <w:shd w:val="clear" w:color="auto" w:fill="auto"/>
            <w:noWrap/>
            <w:vAlign w:val="center"/>
            <w:hideMark/>
          </w:tcPr>
          <w:p w14:paraId="0639F294" w14:textId="618796F3" w:rsidR="007E05CF" w:rsidRPr="00375C2F" w:rsidRDefault="00036F40" w:rsidP="000C1D3E">
            <w:pPr>
              <w:jc w:val="right"/>
              <w:rPr>
                <w:rFonts w:ascii="Arial" w:hAnsi="Arial" w:cs="Arial"/>
                <w:b/>
                <w:sz w:val="20"/>
                <w:szCs w:val="20"/>
                <w:lang w:eastAsia="ru-RU"/>
              </w:rPr>
            </w:pPr>
            <w:r w:rsidRPr="00375C2F">
              <w:rPr>
                <w:rFonts w:ascii="Arial" w:hAnsi="Arial" w:cs="Arial"/>
                <w:b/>
                <w:sz w:val="20"/>
                <w:szCs w:val="20"/>
              </w:rPr>
              <w:t xml:space="preserve"> </w:t>
            </w:r>
            <w:r w:rsidR="00DB5AAE" w:rsidRPr="000D120B">
              <w:rPr>
                <w:rFonts w:ascii="Arial" w:hAnsi="Arial" w:cs="Arial"/>
                <w:b/>
                <w:sz w:val="20"/>
                <w:szCs w:val="20"/>
              </w:rPr>
              <w:t xml:space="preserve"> 1,537</w:t>
            </w:r>
          </w:p>
        </w:tc>
        <w:tc>
          <w:tcPr>
            <w:tcW w:w="126" w:type="pct"/>
          </w:tcPr>
          <w:p w14:paraId="781BD4C1" w14:textId="77777777" w:rsidR="007E05CF" w:rsidRPr="00375C2F" w:rsidRDefault="007E05CF" w:rsidP="000C1D3E">
            <w:pPr>
              <w:jc w:val="right"/>
              <w:rPr>
                <w:rFonts w:ascii="Arial" w:hAnsi="Arial" w:cs="Arial"/>
                <w:b/>
                <w:sz w:val="20"/>
                <w:szCs w:val="20"/>
                <w:lang w:eastAsia="ru-RU"/>
              </w:rPr>
            </w:pPr>
          </w:p>
        </w:tc>
        <w:tc>
          <w:tcPr>
            <w:tcW w:w="1057" w:type="pct"/>
            <w:shd w:val="clear" w:color="auto" w:fill="auto"/>
            <w:noWrap/>
            <w:vAlign w:val="center"/>
            <w:hideMark/>
          </w:tcPr>
          <w:p w14:paraId="5EBDEAC5" w14:textId="4FD66BFF" w:rsidR="007E05CF" w:rsidRPr="00375C2F" w:rsidRDefault="007E05CF" w:rsidP="000C1D3E">
            <w:pPr>
              <w:jc w:val="right"/>
              <w:rPr>
                <w:rFonts w:ascii="Arial" w:eastAsiaTheme="minorEastAsia" w:hAnsi="Arial" w:cs="Arial"/>
                <w:b/>
                <w:sz w:val="20"/>
                <w:szCs w:val="20"/>
                <w:lang w:eastAsia="ru-RU"/>
              </w:rPr>
            </w:pPr>
            <w:r w:rsidRPr="00375C2F">
              <w:rPr>
                <w:rFonts w:ascii="Arial" w:eastAsiaTheme="minorEastAsia" w:hAnsi="Arial" w:cs="Arial"/>
                <w:b/>
                <w:sz w:val="20"/>
                <w:szCs w:val="20"/>
                <w:lang w:eastAsia="ru-RU"/>
              </w:rPr>
              <w:t xml:space="preserve">         </w:t>
            </w:r>
            <w:r w:rsidR="00E15FE0" w:rsidRPr="00375C2F">
              <w:rPr>
                <w:rFonts w:ascii="Arial" w:hAnsi="Arial" w:cs="Arial"/>
                <w:b/>
                <w:sz w:val="20"/>
                <w:szCs w:val="20"/>
              </w:rPr>
              <w:t xml:space="preserve"> </w:t>
            </w:r>
            <w:r w:rsidR="00DB5AAE" w:rsidRPr="000D120B">
              <w:rPr>
                <w:rFonts w:ascii="Arial" w:hAnsi="Arial" w:cs="Arial"/>
                <w:b/>
                <w:sz w:val="20"/>
                <w:szCs w:val="20"/>
              </w:rPr>
              <w:t xml:space="preserve"> 1,503</w:t>
            </w:r>
            <w:r w:rsidR="00E15FE0" w:rsidRPr="00375C2F">
              <w:rPr>
                <w:rFonts w:ascii="Arial" w:hAnsi="Arial" w:cs="Arial"/>
                <w:b/>
                <w:sz w:val="20"/>
                <w:szCs w:val="20"/>
              </w:rPr>
              <w:t xml:space="preserve"> </w:t>
            </w:r>
          </w:p>
        </w:tc>
        <w:tc>
          <w:tcPr>
            <w:tcW w:w="126" w:type="pct"/>
          </w:tcPr>
          <w:p w14:paraId="36E46EBE" w14:textId="77777777" w:rsidR="007E05CF" w:rsidRPr="00375C2F" w:rsidRDefault="007E05CF" w:rsidP="000C1D3E">
            <w:pPr>
              <w:jc w:val="right"/>
              <w:rPr>
                <w:rFonts w:ascii="Arial" w:hAnsi="Arial" w:cs="Arial"/>
                <w:b/>
                <w:sz w:val="20"/>
                <w:szCs w:val="20"/>
                <w:lang w:eastAsia="ru-RU"/>
              </w:rPr>
            </w:pPr>
          </w:p>
        </w:tc>
        <w:tc>
          <w:tcPr>
            <w:tcW w:w="846" w:type="pct"/>
            <w:shd w:val="clear" w:color="auto" w:fill="auto"/>
            <w:noWrap/>
            <w:vAlign w:val="center"/>
            <w:hideMark/>
          </w:tcPr>
          <w:p w14:paraId="74794D6E" w14:textId="150E23AE" w:rsidR="007E05CF" w:rsidRPr="00375C2F" w:rsidRDefault="00E15FE0" w:rsidP="000C1D3E">
            <w:pPr>
              <w:jc w:val="right"/>
              <w:rPr>
                <w:rFonts w:ascii="Arial" w:eastAsiaTheme="minorEastAsia" w:hAnsi="Arial" w:cs="Arial"/>
                <w:b/>
                <w:sz w:val="20"/>
                <w:szCs w:val="20"/>
                <w:lang w:eastAsia="ru-RU"/>
              </w:rPr>
            </w:pPr>
            <w:r w:rsidRPr="00375C2F">
              <w:rPr>
                <w:rFonts w:ascii="Arial" w:hAnsi="Arial" w:cs="Arial"/>
                <w:b/>
                <w:sz w:val="20"/>
                <w:szCs w:val="20"/>
              </w:rPr>
              <w:t xml:space="preserve"> </w:t>
            </w:r>
            <w:r w:rsidR="00DB5AAE" w:rsidRPr="000D120B">
              <w:rPr>
                <w:rFonts w:ascii="Arial" w:hAnsi="Arial" w:cs="Arial"/>
                <w:b/>
                <w:sz w:val="20"/>
                <w:szCs w:val="20"/>
              </w:rPr>
              <w:t xml:space="preserve"> 1,505</w:t>
            </w:r>
          </w:p>
        </w:tc>
      </w:tr>
      <w:tr w:rsidR="007E05CF" w:rsidRPr="00375C2F" w14:paraId="5E602688" w14:textId="77777777" w:rsidTr="004F76ED">
        <w:trPr>
          <w:trHeight w:hRule="exact" w:val="284"/>
        </w:trPr>
        <w:tc>
          <w:tcPr>
            <w:tcW w:w="1873" w:type="pct"/>
            <w:shd w:val="clear" w:color="auto" w:fill="auto"/>
            <w:noWrap/>
            <w:vAlign w:val="center"/>
            <w:hideMark/>
          </w:tcPr>
          <w:p w14:paraId="488426CC" w14:textId="37A15A97" w:rsidR="007E05CF" w:rsidRPr="00375C2F" w:rsidRDefault="007E05CF" w:rsidP="000C1D3E">
            <w:pPr>
              <w:rPr>
                <w:rFonts w:ascii="Arial" w:hAnsi="Arial" w:cs="Arial"/>
                <w:sz w:val="20"/>
                <w:szCs w:val="20"/>
                <w:lang w:eastAsia="ru-RU"/>
              </w:rPr>
            </w:pPr>
            <w:r w:rsidRPr="00375C2F">
              <w:rPr>
                <w:rFonts w:ascii="Arial" w:hAnsi="Arial" w:cs="Arial"/>
                <w:sz w:val="20"/>
                <w:szCs w:val="20"/>
                <w:lang w:eastAsia="ru-RU"/>
              </w:rPr>
              <w:t>LT Debt</w:t>
            </w:r>
            <w:r w:rsidR="00A545E7" w:rsidRPr="00375C2F">
              <w:rPr>
                <w:rFonts w:ascii="Arial" w:hAnsi="Arial" w:cs="Arial"/>
                <w:b/>
                <w:bCs/>
                <w:sz w:val="20"/>
                <w:szCs w:val="20"/>
                <w:vertAlign w:val="superscript"/>
                <w:lang w:eastAsia="ru-RU"/>
              </w:rPr>
              <w:t>1)</w:t>
            </w:r>
          </w:p>
        </w:tc>
        <w:tc>
          <w:tcPr>
            <w:tcW w:w="126" w:type="pct"/>
          </w:tcPr>
          <w:p w14:paraId="10D14C3C" w14:textId="77777777" w:rsidR="007E05CF" w:rsidRPr="00375C2F"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48665165" w14:textId="2D475AAD" w:rsidR="007E05CF" w:rsidRPr="00375C2F" w:rsidRDefault="007E05CF" w:rsidP="000C1D3E">
            <w:pPr>
              <w:jc w:val="right"/>
              <w:rPr>
                <w:rFonts w:ascii="Arial" w:hAnsi="Arial" w:cs="Arial"/>
                <w:sz w:val="20"/>
                <w:szCs w:val="20"/>
                <w:lang w:eastAsia="ru-RU"/>
              </w:rPr>
            </w:pPr>
            <w:r w:rsidRPr="00375C2F">
              <w:rPr>
                <w:rFonts w:ascii="Arial" w:eastAsiaTheme="minorEastAsia" w:hAnsi="Arial" w:cs="Arial"/>
                <w:sz w:val="20"/>
                <w:szCs w:val="20"/>
                <w:lang w:eastAsia="ru-RU"/>
              </w:rPr>
              <w:t xml:space="preserve"> </w:t>
            </w:r>
            <w:r w:rsidR="00036F40" w:rsidRPr="00375C2F">
              <w:rPr>
                <w:rFonts w:ascii="Arial" w:hAnsi="Arial" w:cs="Arial"/>
                <w:sz w:val="20"/>
                <w:szCs w:val="20"/>
              </w:rPr>
              <w:t xml:space="preserve"> </w:t>
            </w:r>
            <w:r w:rsidR="00DB5AAE" w:rsidRPr="000D120B">
              <w:rPr>
                <w:rFonts w:ascii="Arial" w:hAnsi="Arial" w:cs="Arial"/>
                <w:sz w:val="20"/>
                <w:szCs w:val="20"/>
              </w:rPr>
              <w:t xml:space="preserve"> 1,507</w:t>
            </w:r>
          </w:p>
        </w:tc>
        <w:tc>
          <w:tcPr>
            <w:tcW w:w="126" w:type="pct"/>
          </w:tcPr>
          <w:p w14:paraId="184D60FE" w14:textId="77777777" w:rsidR="007E05CF" w:rsidRPr="00375C2F" w:rsidRDefault="007E05CF" w:rsidP="000C1D3E">
            <w:pPr>
              <w:jc w:val="right"/>
              <w:rPr>
                <w:rFonts w:ascii="Arial" w:hAnsi="Arial" w:cs="Arial"/>
                <w:sz w:val="20"/>
                <w:szCs w:val="20"/>
                <w:lang w:eastAsia="ru-RU"/>
              </w:rPr>
            </w:pPr>
          </w:p>
        </w:tc>
        <w:tc>
          <w:tcPr>
            <w:tcW w:w="1057" w:type="pct"/>
            <w:shd w:val="clear" w:color="auto" w:fill="auto"/>
            <w:noWrap/>
            <w:vAlign w:val="center"/>
            <w:hideMark/>
          </w:tcPr>
          <w:p w14:paraId="6B8EA6D2" w14:textId="6A79CC1B" w:rsidR="007E05CF" w:rsidRPr="00375C2F" w:rsidRDefault="007E05CF" w:rsidP="000C1D3E">
            <w:pPr>
              <w:jc w:val="right"/>
              <w:rPr>
                <w:rFonts w:ascii="Arial" w:eastAsiaTheme="minorEastAsia" w:hAnsi="Arial" w:cs="Arial"/>
                <w:sz w:val="20"/>
                <w:szCs w:val="20"/>
                <w:lang w:eastAsia="ru-RU"/>
              </w:rPr>
            </w:pPr>
            <w:r w:rsidRPr="00375C2F">
              <w:rPr>
                <w:rFonts w:ascii="Arial" w:eastAsiaTheme="minorEastAsia" w:hAnsi="Arial" w:cs="Arial"/>
                <w:sz w:val="20"/>
                <w:szCs w:val="20"/>
                <w:lang w:eastAsia="ru-RU"/>
              </w:rPr>
              <w:t xml:space="preserve">         </w:t>
            </w:r>
            <w:r w:rsidR="00E15FE0" w:rsidRPr="00375C2F">
              <w:rPr>
                <w:rFonts w:ascii="Arial" w:hAnsi="Arial" w:cs="Arial"/>
                <w:sz w:val="20"/>
                <w:szCs w:val="20"/>
              </w:rPr>
              <w:t xml:space="preserve"> </w:t>
            </w:r>
            <w:r w:rsidR="00DB5AAE" w:rsidRPr="000D120B">
              <w:rPr>
                <w:rFonts w:ascii="Arial" w:hAnsi="Arial" w:cs="Arial"/>
                <w:sz w:val="20"/>
                <w:szCs w:val="20"/>
              </w:rPr>
              <w:t xml:space="preserve"> 1,480</w:t>
            </w:r>
            <w:r w:rsidR="00E15FE0" w:rsidRPr="00375C2F">
              <w:rPr>
                <w:rFonts w:ascii="Arial" w:hAnsi="Arial" w:cs="Arial"/>
                <w:sz w:val="20"/>
                <w:szCs w:val="20"/>
              </w:rPr>
              <w:t xml:space="preserve"> </w:t>
            </w:r>
          </w:p>
        </w:tc>
        <w:tc>
          <w:tcPr>
            <w:tcW w:w="126" w:type="pct"/>
          </w:tcPr>
          <w:p w14:paraId="5AA2A91E" w14:textId="77777777" w:rsidR="007E05CF" w:rsidRPr="00375C2F"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2D3ED438" w14:textId="1AB7AEFD" w:rsidR="007E05CF" w:rsidRPr="00375C2F" w:rsidRDefault="007E05CF" w:rsidP="000C1D3E">
            <w:pPr>
              <w:jc w:val="right"/>
              <w:rPr>
                <w:rFonts w:ascii="Arial" w:eastAsiaTheme="minorEastAsia" w:hAnsi="Arial" w:cs="Arial"/>
                <w:sz w:val="20"/>
                <w:szCs w:val="20"/>
                <w:lang w:eastAsia="ru-RU"/>
              </w:rPr>
            </w:pPr>
            <w:r w:rsidRPr="00375C2F">
              <w:rPr>
                <w:rFonts w:ascii="Arial" w:eastAsiaTheme="minorEastAsia" w:hAnsi="Arial" w:cs="Arial"/>
                <w:sz w:val="20"/>
                <w:szCs w:val="20"/>
                <w:lang w:eastAsia="ru-RU"/>
              </w:rPr>
              <w:t xml:space="preserve"> </w:t>
            </w:r>
            <w:r w:rsidR="00E15FE0" w:rsidRPr="00375C2F">
              <w:rPr>
                <w:rFonts w:ascii="Arial" w:hAnsi="Arial" w:cs="Arial"/>
                <w:sz w:val="20"/>
                <w:szCs w:val="20"/>
              </w:rPr>
              <w:t xml:space="preserve"> </w:t>
            </w:r>
            <w:r w:rsidR="00DB5AAE" w:rsidRPr="000D120B">
              <w:rPr>
                <w:rFonts w:ascii="Arial" w:hAnsi="Arial" w:cs="Arial"/>
                <w:sz w:val="20"/>
                <w:szCs w:val="20"/>
              </w:rPr>
              <w:t xml:space="preserve"> 1,489</w:t>
            </w:r>
          </w:p>
        </w:tc>
      </w:tr>
      <w:tr w:rsidR="007E05CF" w:rsidRPr="00375C2F" w14:paraId="15DBD096" w14:textId="77777777" w:rsidTr="004F76ED">
        <w:trPr>
          <w:trHeight w:hRule="exact" w:val="284"/>
        </w:trPr>
        <w:tc>
          <w:tcPr>
            <w:tcW w:w="1873" w:type="pct"/>
            <w:shd w:val="clear" w:color="auto" w:fill="auto"/>
            <w:noWrap/>
            <w:vAlign w:val="center"/>
            <w:hideMark/>
          </w:tcPr>
          <w:p w14:paraId="29B32678" w14:textId="58EA4749" w:rsidR="007E05CF" w:rsidRPr="00375C2F" w:rsidRDefault="007E05CF" w:rsidP="000C1D3E">
            <w:pPr>
              <w:rPr>
                <w:rFonts w:ascii="Arial" w:hAnsi="Arial" w:cs="Arial"/>
                <w:sz w:val="20"/>
                <w:szCs w:val="20"/>
                <w:lang w:eastAsia="ru-RU"/>
              </w:rPr>
            </w:pPr>
            <w:r w:rsidRPr="00375C2F">
              <w:rPr>
                <w:rFonts w:ascii="Arial" w:hAnsi="Arial" w:cs="Arial"/>
                <w:sz w:val="20"/>
                <w:szCs w:val="20"/>
                <w:lang w:eastAsia="ru-RU"/>
              </w:rPr>
              <w:t xml:space="preserve">ST Debt </w:t>
            </w:r>
            <w:r w:rsidR="00A545E7" w:rsidRPr="00375C2F">
              <w:rPr>
                <w:rFonts w:ascii="Arial" w:hAnsi="Arial" w:cs="Arial"/>
                <w:b/>
                <w:bCs/>
                <w:sz w:val="20"/>
                <w:szCs w:val="20"/>
                <w:vertAlign w:val="superscript"/>
                <w:lang w:eastAsia="ru-RU"/>
              </w:rPr>
              <w:t>1)</w:t>
            </w:r>
          </w:p>
        </w:tc>
        <w:tc>
          <w:tcPr>
            <w:tcW w:w="126" w:type="pct"/>
          </w:tcPr>
          <w:p w14:paraId="58D7951F" w14:textId="77777777" w:rsidR="007E05CF" w:rsidRPr="00375C2F"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6180A3B2" w14:textId="61C02023" w:rsidR="007E05CF" w:rsidRPr="00375C2F" w:rsidRDefault="007E05CF" w:rsidP="000C1D3E">
            <w:pPr>
              <w:jc w:val="right"/>
              <w:rPr>
                <w:rFonts w:ascii="Arial" w:hAnsi="Arial" w:cs="Arial"/>
                <w:sz w:val="20"/>
                <w:szCs w:val="20"/>
                <w:lang w:eastAsia="ru-RU"/>
              </w:rPr>
            </w:pPr>
            <w:r w:rsidRPr="00375C2F">
              <w:rPr>
                <w:rFonts w:ascii="Arial" w:eastAsiaTheme="minorEastAsia" w:hAnsi="Arial" w:cs="Arial"/>
                <w:sz w:val="20"/>
                <w:szCs w:val="20"/>
                <w:lang w:eastAsia="ru-RU"/>
              </w:rPr>
              <w:t xml:space="preserve"> </w:t>
            </w:r>
            <w:r w:rsidR="00036F40" w:rsidRPr="00375C2F">
              <w:rPr>
                <w:rFonts w:ascii="Arial" w:hAnsi="Arial" w:cs="Arial"/>
                <w:sz w:val="20"/>
                <w:szCs w:val="20"/>
              </w:rPr>
              <w:t xml:space="preserve"> </w:t>
            </w:r>
            <w:r w:rsidR="00DB5AAE" w:rsidRPr="000D120B">
              <w:rPr>
                <w:rFonts w:ascii="Arial" w:hAnsi="Arial" w:cs="Arial"/>
                <w:sz w:val="20"/>
                <w:szCs w:val="20"/>
              </w:rPr>
              <w:t xml:space="preserve"> 182</w:t>
            </w:r>
          </w:p>
        </w:tc>
        <w:tc>
          <w:tcPr>
            <w:tcW w:w="126" w:type="pct"/>
          </w:tcPr>
          <w:p w14:paraId="1F14D0E9" w14:textId="77777777" w:rsidR="007E05CF" w:rsidRPr="00375C2F" w:rsidRDefault="007E05CF" w:rsidP="000C1D3E">
            <w:pPr>
              <w:jc w:val="right"/>
              <w:rPr>
                <w:rFonts w:ascii="Arial" w:hAnsi="Arial" w:cs="Arial"/>
                <w:sz w:val="20"/>
                <w:szCs w:val="20"/>
                <w:lang w:eastAsia="ru-RU"/>
              </w:rPr>
            </w:pPr>
          </w:p>
        </w:tc>
        <w:tc>
          <w:tcPr>
            <w:tcW w:w="1057" w:type="pct"/>
            <w:shd w:val="clear" w:color="auto" w:fill="auto"/>
            <w:noWrap/>
            <w:vAlign w:val="center"/>
            <w:hideMark/>
          </w:tcPr>
          <w:p w14:paraId="7C9F4E09" w14:textId="5B3C74A6" w:rsidR="007E05CF" w:rsidRPr="00375C2F" w:rsidRDefault="00E15FE0" w:rsidP="000C1D3E">
            <w:pPr>
              <w:jc w:val="right"/>
              <w:rPr>
                <w:rFonts w:ascii="Arial" w:eastAsiaTheme="minorEastAsia" w:hAnsi="Arial" w:cs="Arial"/>
                <w:sz w:val="20"/>
                <w:szCs w:val="20"/>
                <w:lang w:eastAsia="ru-RU"/>
              </w:rPr>
            </w:pPr>
            <w:r w:rsidRPr="00375C2F">
              <w:rPr>
                <w:rFonts w:ascii="Arial" w:hAnsi="Arial" w:cs="Arial"/>
                <w:sz w:val="20"/>
                <w:szCs w:val="20"/>
              </w:rPr>
              <w:t xml:space="preserve"> </w:t>
            </w:r>
            <w:r w:rsidR="00DB5AAE" w:rsidRPr="000D120B">
              <w:rPr>
                <w:rFonts w:ascii="Arial" w:hAnsi="Arial" w:cs="Arial"/>
                <w:sz w:val="20"/>
                <w:szCs w:val="20"/>
              </w:rPr>
              <w:t xml:space="preserve"> 168</w:t>
            </w:r>
            <w:r w:rsidRPr="00375C2F">
              <w:rPr>
                <w:rFonts w:ascii="Arial" w:hAnsi="Arial" w:cs="Arial"/>
                <w:sz w:val="20"/>
                <w:szCs w:val="20"/>
              </w:rPr>
              <w:t xml:space="preserve"> </w:t>
            </w:r>
          </w:p>
        </w:tc>
        <w:tc>
          <w:tcPr>
            <w:tcW w:w="126" w:type="pct"/>
          </w:tcPr>
          <w:p w14:paraId="0681B5D8" w14:textId="77777777" w:rsidR="007E05CF" w:rsidRPr="00375C2F"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3929DBA3" w14:textId="7AC78EED" w:rsidR="007E05CF" w:rsidRPr="00375C2F" w:rsidRDefault="00E15FE0" w:rsidP="000C1D3E">
            <w:pPr>
              <w:jc w:val="right"/>
              <w:rPr>
                <w:rFonts w:ascii="Arial" w:eastAsiaTheme="minorEastAsia" w:hAnsi="Arial" w:cs="Arial"/>
                <w:sz w:val="20"/>
                <w:szCs w:val="20"/>
                <w:lang w:eastAsia="ru-RU"/>
              </w:rPr>
            </w:pPr>
            <w:r w:rsidRPr="00375C2F">
              <w:rPr>
                <w:rFonts w:ascii="Arial" w:hAnsi="Arial" w:cs="Arial"/>
                <w:sz w:val="20"/>
                <w:szCs w:val="20"/>
              </w:rPr>
              <w:t xml:space="preserve"> </w:t>
            </w:r>
            <w:r w:rsidR="00DB5AAE" w:rsidRPr="000D120B">
              <w:rPr>
                <w:rFonts w:ascii="Arial" w:hAnsi="Arial" w:cs="Arial"/>
                <w:sz w:val="20"/>
                <w:szCs w:val="20"/>
              </w:rPr>
              <w:t xml:space="preserve"> 126</w:t>
            </w:r>
          </w:p>
        </w:tc>
      </w:tr>
      <w:tr w:rsidR="00071B28" w:rsidRPr="00375C2F" w14:paraId="169257C7" w14:textId="77777777" w:rsidTr="004F76ED">
        <w:trPr>
          <w:trHeight w:hRule="exact" w:val="284"/>
        </w:trPr>
        <w:tc>
          <w:tcPr>
            <w:tcW w:w="1873" w:type="pct"/>
            <w:shd w:val="clear" w:color="auto" w:fill="auto"/>
            <w:noWrap/>
            <w:vAlign w:val="center"/>
          </w:tcPr>
          <w:p w14:paraId="24772271" w14:textId="6801F364" w:rsidR="00071B28" w:rsidRPr="00375C2F" w:rsidRDefault="00071B28" w:rsidP="000C1D3E">
            <w:pPr>
              <w:rPr>
                <w:rFonts w:ascii="Arial" w:hAnsi="Arial" w:cs="Arial"/>
                <w:sz w:val="20"/>
                <w:szCs w:val="20"/>
                <w:lang w:eastAsia="ru-RU"/>
              </w:rPr>
            </w:pPr>
            <w:r w:rsidRPr="00375C2F">
              <w:rPr>
                <w:rFonts w:ascii="Arial" w:hAnsi="Arial" w:cs="Arial"/>
                <w:sz w:val="20"/>
                <w:szCs w:val="20"/>
                <w:lang w:eastAsia="ru-RU"/>
              </w:rPr>
              <w:t>Trade credit facilities</w:t>
            </w:r>
            <w:r w:rsidRPr="00375C2F">
              <w:rPr>
                <w:rFonts w:ascii="Arial" w:hAnsi="Arial" w:cs="Arial"/>
                <w:sz w:val="20"/>
                <w:szCs w:val="20"/>
                <w:vertAlign w:val="superscript"/>
                <w:lang w:eastAsia="ru-RU"/>
              </w:rPr>
              <w:t>2)</w:t>
            </w:r>
          </w:p>
        </w:tc>
        <w:tc>
          <w:tcPr>
            <w:tcW w:w="126" w:type="pct"/>
          </w:tcPr>
          <w:p w14:paraId="0971219F" w14:textId="77777777" w:rsidR="00071B28" w:rsidRPr="00375C2F" w:rsidRDefault="00071B28" w:rsidP="000C1D3E">
            <w:pPr>
              <w:jc w:val="right"/>
              <w:rPr>
                <w:rFonts w:ascii="Arial" w:hAnsi="Arial" w:cs="Arial"/>
                <w:sz w:val="20"/>
                <w:szCs w:val="20"/>
                <w:lang w:eastAsia="ru-RU"/>
              </w:rPr>
            </w:pPr>
          </w:p>
        </w:tc>
        <w:tc>
          <w:tcPr>
            <w:tcW w:w="846" w:type="pct"/>
            <w:shd w:val="clear" w:color="auto" w:fill="auto"/>
            <w:noWrap/>
            <w:vAlign w:val="center"/>
          </w:tcPr>
          <w:p w14:paraId="542378B3" w14:textId="4BD73DBA" w:rsidR="00071B28" w:rsidRPr="00375C2F" w:rsidRDefault="00DB5AAE" w:rsidP="000C1D3E">
            <w:pPr>
              <w:jc w:val="right"/>
              <w:rPr>
                <w:rFonts w:ascii="Arial" w:eastAsiaTheme="minorEastAsia" w:hAnsi="Arial" w:cs="Arial"/>
                <w:sz w:val="20"/>
                <w:szCs w:val="20"/>
                <w:lang w:eastAsia="ru-RU"/>
              </w:rPr>
            </w:pPr>
            <w:r w:rsidRPr="000D120B">
              <w:rPr>
                <w:rFonts w:ascii="Arial" w:hAnsi="Arial" w:cs="Arial"/>
                <w:sz w:val="20"/>
                <w:szCs w:val="20"/>
              </w:rPr>
              <w:t>(152)</w:t>
            </w:r>
          </w:p>
        </w:tc>
        <w:tc>
          <w:tcPr>
            <w:tcW w:w="126" w:type="pct"/>
          </w:tcPr>
          <w:p w14:paraId="6FDA3DBF" w14:textId="77777777" w:rsidR="00071B28" w:rsidRPr="00375C2F" w:rsidRDefault="00071B28" w:rsidP="000C1D3E">
            <w:pPr>
              <w:jc w:val="right"/>
              <w:rPr>
                <w:rFonts w:ascii="Arial" w:hAnsi="Arial" w:cs="Arial"/>
                <w:sz w:val="20"/>
                <w:szCs w:val="20"/>
                <w:lang w:eastAsia="ru-RU"/>
              </w:rPr>
            </w:pPr>
          </w:p>
        </w:tc>
        <w:tc>
          <w:tcPr>
            <w:tcW w:w="1057" w:type="pct"/>
            <w:shd w:val="clear" w:color="auto" w:fill="auto"/>
            <w:noWrap/>
            <w:vAlign w:val="center"/>
          </w:tcPr>
          <w:p w14:paraId="227FB69C" w14:textId="3555D13A" w:rsidR="00071B28" w:rsidRPr="00375C2F" w:rsidRDefault="00E15FE0" w:rsidP="000C1D3E">
            <w:pPr>
              <w:jc w:val="right"/>
              <w:rPr>
                <w:rFonts w:ascii="Arial" w:eastAsiaTheme="minorEastAsia" w:hAnsi="Arial" w:cs="Arial"/>
                <w:sz w:val="20"/>
                <w:szCs w:val="20"/>
                <w:lang w:val="uk-UA" w:eastAsia="ru-RU"/>
              </w:rPr>
            </w:pPr>
            <w:r w:rsidRPr="00375C2F">
              <w:rPr>
                <w:rFonts w:ascii="Arial" w:hAnsi="Arial" w:cs="Arial"/>
                <w:sz w:val="20"/>
                <w:szCs w:val="20"/>
              </w:rPr>
              <w:t xml:space="preserve"> </w:t>
            </w:r>
            <w:r w:rsidR="00DB5AAE" w:rsidRPr="000D120B">
              <w:rPr>
                <w:rFonts w:ascii="Arial" w:hAnsi="Arial" w:cs="Arial"/>
                <w:sz w:val="20"/>
                <w:szCs w:val="20"/>
              </w:rPr>
              <w:t>(145)</w:t>
            </w:r>
          </w:p>
        </w:tc>
        <w:tc>
          <w:tcPr>
            <w:tcW w:w="126" w:type="pct"/>
          </w:tcPr>
          <w:p w14:paraId="188D39A5" w14:textId="77777777" w:rsidR="00071B28" w:rsidRPr="00375C2F" w:rsidRDefault="00071B28" w:rsidP="000C1D3E">
            <w:pPr>
              <w:jc w:val="right"/>
              <w:rPr>
                <w:rFonts w:ascii="Arial" w:hAnsi="Arial" w:cs="Arial"/>
                <w:sz w:val="20"/>
                <w:szCs w:val="20"/>
                <w:lang w:eastAsia="ru-RU"/>
              </w:rPr>
            </w:pPr>
          </w:p>
        </w:tc>
        <w:tc>
          <w:tcPr>
            <w:tcW w:w="846" w:type="pct"/>
            <w:shd w:val="clear" w:color="auto" w:fill="auto"/>
            <w:noWrap/>
            <w:vAlign w:val="center"/>
          </w:tcPr>
          <w:p w14:paraId="7CE9208A" w14:textId="2F07CEF5" w:rsidR="00071B28" w:rsidRPr="00375C2F" w:rsidRDefault="00E15FE0" w:rsidP="000C1D3E">
            <w:pPr>
              <w:jc w:val="right"/>
              <w:rPr>
                <w:rFonts w:ascii="Arial" w:eastAsiaTheme="minorEastAsia" w:hAnsi="Arial" w:cs="Arial"/>
                <w:sz w:val="20"/>
                <w:szCs w:val="20"/>
                <w:lang w:val="uk-UA" w:eastAsia="ru-RU"/>
              </w:rPr>
            </w:pPr>
            <w:r w:rsidRPr="00375C2F">
              <w:rPr>
                <w:rFonts w:ascii="Arial" w:hAnsi="Arial" w:cs="Arial"/>
                <w:sz w:val="20"/>
                <w:szCs w:val="20"/>
              </w:rPr>
              <w:t xml:space="preserve"> </w:t>
            </w:r>
            <w:r w:rsidR="00DB5AAE" w:rsidRPr="000D120B">
              <w:rPr>
                <w:rFonts w:ascii="Arial" w:hAnsi="Arial" w:cs="Arial"/>
                <w:sz w:val="20"/>
                <w:szCs w:val="20"/>
              </w:rPr>
              <w:t>(110)</w:t>
            </w:r>
          </w:p>
        </w:tc>
      </w:tr>
      <w:tr w:rsidR="007E05CF" w:rsidRPr="00375C2F" w14:paraId="5448ABFD" w14:textId="77777777" w:rsidTr="004F76ED">
        <w:trPr>
          <w:trHeight w:hRule="exact" w:val="284"/>
        </w:trPr>
        <w:tc>
          <w:tcPr>
            <w:tcW w:w="1873" w:type="pct"/>
            <w:shd w:val="clear" w:color="auto" w:fill="auto"/>
            <w:noWrap/>
            <w:vAlign w:val="center"/>
            <w:hideMark/>
          </w:tcPr>
          <w:p w14:paraId="2CDDD233" w14:textId="01295558" w:rsidR="007E05CF" w:rsidRPr="00375C2F" w:rsidRDefault="007E05CF" w:rsidP="000C1D3E">
            <w:pPr>
              <w:rPr>
                <w:rFonts w:ascii="Arial" w:hAnsi="Arial" w:cs="Arial"/>
                <w:sz w:val="20"/>
                <w:szCs w:val="20"/>
                <w:lang w:eastAsia="ru-RU"/>
              </w:rPr>
            </w:pPr>
            <w:r w:rsidRPr="00375C2F">
              <w:rPr>
                <w:rFonts w:ascii="Arial" w:hAnsi="Arial" w:cs="Arial"/>
                <w:sz w:val="20"/>
                <w:szCs w:val="20"/>
                <w:lang w:eastAsia="ru-RU"/>
              </w:rPr>
              <w:t>Cash and bank deposits</w:t>
            </w:r>
          </w:p>
        </w:tc>
        <w:tc>
          <w:tcPr>
            <w:tcW w:w="126" w:type="pct"/>
          </w:tcPr>
          <w:p w14:paraId="54D5C1D9" w14:textId="77777777" w:rsidR="007E05CF" w:rsidRPr="00375C2F" w:rsidRDefault="007E05CF" w:rsidP="000C1D3E">
            <w:pPr>
              <w:jc w:val="right"/>
              <w:rPr>
                <w:rFonts w:ascii="Arial" w:hAnsi="Arial" w:cs="Arial"/>
                <w:bCs/>
                <w:sz w:val="20"/>
                <w:szCs w:val="20"/>
                <w:lang w:eastAsia="ru-RU"/>
              </w:rPr>
            </w:pPr>
          </w:p>
        </w:tc>
        <w:tc>
          <w:tcPr>
            <w:tcW w:w="846" w:type="pct"/>
            <w:shd w:val="clear" w:color="auto" w:fill="auto"/>
            <w:noWrap/>
            <w:vAlign w:val="center"/>
            <w:hideMark/>
          </w:tcPr>
          <w:p w14:paraId="277A7B13" w14:textId="72C90824" w:rsidR="007E05CF" w:rsidRPr="00375C2F" w:rsidRDefault="00DB5AAE" w:rsidP="000C1D3E">
            <w:pPr>
              <w:jc w:val="right"/>
              <w:rPr>
                <w:rFonts w:ascii="Arial" w:hAnsi="Arial" w:cs="Arial"/>
                <w:bCs/>
                <w:sz w:val="20"/>
                <w:szCs w:val="20"/>
                <w:lang w:eastAsia="ru-RU"/>
              </w:rPr>
            </w:pPr>
            <w:r w:rsidRPr="000D120B">
              <w:rPr>
                <w:rFonts w:ascii="Arial" w:hAnsi="Arial" w:cs="Arial"/>
                <w:sz w:val="20"/>
                <w:szCs w:val="20"/>
              </w:rPr>
              <w:t>(300)</w:t>
            </w:r>
          </w:p>
        </w:tc>
        <w:tc>
          <w:tcPr>
            <w:tcW w:w="126" w:type="pct"/>
          </w:tcPr>
          <w:p w14:paraId="20D04831" w14:textId="77777777" w:rsidR="007E05CF" w:rsidRPr="00375C2F" w:rsidRDefault="007E05CF" w:rsidP="000C1D3E">
            <w:pPr>
              <w:jc w:val="right"/>
              <w:rPr>
                <w:rFonts w:ascii="Arial" w:hAnsi="Arial" w:cs="Arial"/>
                <w:bCs/>
                <w:sz w:val="20"/>
                <w:szCs w:val="20"/>
                <w:lang w:eastAsia="ru-RU"/>
              </w:rPr>
            </w:pPr>
          </w:p>
        </w:tc>
        <w:tc>
          <w:tcPr>
            <w:tcW w:w="1057" w:type="pct"/>
            <w:shd w:val="clear" w:color="auto" w:fill="auto"/>
            <w:noWrap/>
            <w:vAlign w:val="center"/>
            <w:hideMark/>
          </w:tcPr>
          <w:p w14:paraId="716E53CB" w14:textId="5F5DF172" w:rsidR="007E05CF" w:rsidRPr="00375C2F" w:rsidRDefault="007E05CF" w:rsidP="000C1D3E">
            <w:pPr>
              <w:jc w:val="right"/>
              <w:rPr>
                <w:rFonts w:ascii="Arial" w:eastAsiaTheme="minorEastAsia" w:hAnsi="Arial" w:cs="Arial"/>
                <w:sz w:val="20"/>
                <w:szCs w:val="20"/>
                <w:lang w:eastAsia="ru-RU"/>
              </w:rPr>
            </w:pPr>
            <w:r w:rsidRPr="00375C2F">
              <w:rPr>
                <w:rFonts w:ascii="Arial" w:eastAsiaTheme="minorEastAsia" w:hAnsi="Arial" w:cs="Arial"/>
                <w:sz w:val="20"/>
                <w:szCs w:val="20"/>
                <w:lang w:eastAsia="ru-RU"/>
              </w:rPr>
              <w:t xml:space="preserve">          </w:t>
            </w:r>
            <w:r w:rsidR="00E15FE0" w:rsidRPr="00375C2F">
              <w:rPr>
                <w:rFonts w:ascii="Arial" w:hAnsi="Arial" w:cs="Arial"/>
                <w:sz w:val="20"/>
                <w:szCs w:val="20"/>
              </w:rPr>
              <w:t xml:space="preserve"> </w:t>
            </w:r>
            <w:r w:rsidR="00DB5AAE" w:rsidRPr="000D120B">
              <w:rPr>
                <w:rFonts w:ascii="Arial" w:hAnsi="Arial" w:cs="Arial"/>
                <w:sz w:val="20"/>
                <w:szCs w:val="20"/>
              </w:rPr>
              <w:t>(317)</w:t>
            </w:r>
          </w:p>
        </w:tc>
        <w:tc>
          <w:tcPr>
            <w:tcW w:w="126" w:type="pct"/>
          </w:tcPr>
          <w:p w14:paraId="30918457" w14:textId="77777777" w:rsidR="007E05CF" w:rsidRPr="00375C2F" w:rsidRDefault="007E05CF" w:rsidP="000C1D3E">
            <w:pPr>
              <w:jc w:val="right"/>
              <w:rPr>
                <w:rFonts w:ascii="Arial" w:hAnsi="Arial" w:cs="Arial"/>
                <w:bCs/>
                <w:sz w:val="20"/>
                <w:szCs w:val="20"/>
                <w:lang w:eastAsia="ru-RU"/>
              </w:rPr>
            </w:pPr>
          </w:p>
        </w:tc>
        <w:tc>
          <w:tcPr>
            <w:tcW w:w="846" w:type="pct"/>
            <w:shd w:val="clear" w:color="auto" w:fill="auto"/>
            <w:noWrap/>
            <w:vAlign w:val="center"/>
            <w:hideMark/>
          </w:tcPr>
          <w:p w14:paraId="598EBF2B" w14:textId="3D4F8FF4" w:rsidR="007E05CF" w:rsidRPr="00375C2F" w:rsidRDefault="00DB5AAE" w:rsidP="000C1D3E">
            <w:pPr>
              <w:jc w:val="right"/>
              <w:rPr>
                <w:rFonts w:ascii="Arial" w:eastAsiaTheme="minorEastAsia" w:hAnsi="Arial" w:cs="Arial"/>
                <w:sz w:val="20"/>
                <w:szCs w:val="20"/>
                <w:lang w:eastAsia="ru-RU"/>
              </w:rPr>
            </w:pPr>
            <w:r w:rsidRPr="000D120B">
              <w:rPr>
                <w:rFonts w:ascii="Arial" w:hAnsi="Arial" w:cs="Arial"/>
                <w:sz w:val="20"/>
                <w:szCs w:val="20"/>
              </w:rPr>
              <w:t>(275)</w:t>
            </w:r>
          </w:p>
        </w:tc>
      </w:tr>
      <w:tr w:rsidR="007E05CF" w:rsidRPr="00375C2F" w14:paraId="02E59377" w14:textId="77777777" w:rsidTr="004F76ED">
        <w:trPr>
          <w:trHeight w:hRule="exact" w:val="284"/>
        </w:trPr>
        <w:tc>
          <w:tcPr>
            <w:tcW w:w="1873" w:type="pct"/>
            <w:tcBorders>
              <w:bottom w:val="single" w:sz="2" w:space="0" w:color="auto"/>
            </w:tcBorders>
            <w:shd w:val="clear" w:color="auto" w:fill="auto"/>
            <w:noWrap/>
            <w:vAlign w:val="center"/>
            <w:hideMark/>
          </w:tcPr>
          <w:p w14:paraId="02FADAD0" w14:textId="39EC8FE3" w:rsidR="007E05CF" w:rsidRPr="00375C2F" w:rsidRDefault="007E05CF" w:rsidP="000C1D3E">
            <w:pPr>
              <w:rPr>
                <w:rFonts w:ascii="Arial" w:hAnsi="Arial" w:cs="Arial"/>
                <w:b/>
                <w:bCs/>
                <w:sz w:val="20"/>
                <w:szCs w:val="20"/>
                <w:lang w:eastAsia="ru-RU"/>
              </w:rPr>
            </w:pPr>
            <w:r w:rsidRPr="00375C2F">
              <w:rPr>
                <w:rFonts w:ascii="Arial" w:hAnsi="Arial" w:cs="Arial"/>
                <w:b/>
                <w:bCs/>
                <w:sz w:val="20"/>
                <w:szCs w:val="20"/>
                <w:lang w:eastAsia="ru-RU"/>
              </w:rPr>
              <w:t>Net Debt</w:t>
            </w:r>
            <w:r w:rsidR="00A545E7" w:rsidRPr="00375C2F">
              <w:rPr>
                <w:rFonts w:ascii="Arial" w:hAnsi="Arial" w:cs="Arial"/>
                <w:b/>
                <w:bCs/>
                <w:sz w:val="20"/>
                <w:szCs w:val="20"/>
                <w:vertAlign w:val="superscript"/>
                <w:lang w:eastAsia="ru-RU"/>
              </w:rPr>
              <w:t>1)</w:t>
            </w:r>
          </w:p>
        </w:tc>
        <w:tc>
          <w:tcPr>
            <w:tcW w:w="126" w:type="pct"/>
          </w:tcPr>
          <w:p w14:paraId="6CA8FF21" w14:textId="77777777" w:rsidR="007E05CF" w:rsidRPr="00375C2F" w:rsidRDefault="007E05CF" w:rsidP="000C1D3E">
            <w:pPr>
              <w:jc w:val="right"/>
              <w:rPr>
                <w:rFonts w:ascii="Arial" w:hAnsi="Arial" w:cs="Arial"/>
                <w:b/>
                <w:bCs/>
                <w:sz w:val="20"/>
                <w:szCs w:val="20"/>
                <w:lang w:eastAsia="ru-RU"/>
              </w:rPr>
            </w:pPr>
          </w:p>
        </w:tc>
        <w:tc>
          <w:tcPr>
            <w:tcW w:w="846" w:type="pct"/>
            <w:tcBorders>
              <w:bottom w:val="single" w:sz="2" w:space="0" w:color="auto"/>
            </w:tcBorders>
            <w:shd w:val="clear" w:color="auto" w:fill="auto"/>
            <w:noWrap/>
            <w:vAlign w:val="center"/>
            <w:hideMark/>
          </w:tcPr>
          <w:p w14:paraId="2A507D38" w14:textId="67BC3DDD" w:rsidR="007E05CF" w:rsidRPr="00375C2F" w:rsidRDefault="007E05CF" w:rsidP="000C1D3E">
            <w:pPr>
              <w:jc w:val="right"/>
              <w:rPr>
                <w:rFonts w:ascii="Arial" w:hAnsi="Arial" w:cs="Arial"/>
                <w:b/>
                <w:sz w:val="20"/>
                <w:szCs w:val="20"/>
                <w:lang w:eastAsia="ru-RU"/>
              </w:rPr>
            </w:pPr>
            <w:r w:rsidRPr="00375C2F">
              <w:rPr>
                <w:rFonts w:ascii="Arial" w:eastAsiaTheme="minorEastAsia" w:hAnsi="Arial" w:cs="Arial"/>
                <w:b/>
                <w:sz w:val="20"/>
                <w:szCs w:val="20"/>
                <w:lang w:eastAsia="ru-RU"/>
              </w:rPr>
              <w:t xml:space="preserve"> </w:t>
            </w:r>
            <w:r w:rsidR="00036F40" w:rsidRPr="00375C2F">
              <w:rPr>
                <w:rFonts w:ascii="Arial" w:hAnsi="Arial" w:cs="Arial"/>
                <w:b/>
                <w:sz w:val="20"/>
                <w:szCs w:val="20"/>
              </w:rPr>
              <w:t xml:space="preserve"> </w:t>
            </w:r>
            <w:r w:rsidR="00DB5AAE" w:rsidRPr="000D120B">
              <w:rPr>
                <w:rFonts w:ascii="Arial" w:hAnsi="Arial" w:cs="Arial"/>
                <w:b/>
                <w:sz w:val="20"/>
                <w:szCs w:val="20"/>
              </w:rPr>
              <w:t>1,237</w:t>
            </w:r>
          </w:p>
        </w:tc>
        <w:tc>
          <w:tcPr>
            <w:tcW w:w="126" w:type="pct"/>
          </w:tcPr>
          <w:p w14:paraId="6CE08ADC" w14:textId="77777777" w:rsidR="007E05CF" w:rsidRPr="00375C2F" w:rsidRDefault="007E05CF" w:rsidP="000C1D3E">
            <w:pPr>
              <w:jc w:val="right"/>
              <w:rPr>
                <w:rFonts w:ascii="Arial" w:hAnsi="Arial" w:cs="Arial"/>
                <w:b/>
                <w:sz w:val="20"/>
                <w:szCs w:val="20"/>
                <w:lang w:eastAsia="ru-RU"/>
              </w:rPr>
            </w:pPr>
          </w:p>
        </w:tc>
        <w:tc>
          <w:tcPr>
            <w:tcW w:w="1057" w:type="pct"/>
            <w:tcBorders>
              <w:bottom w:val="single" w:sz="2" w:space="0" w:color="auto"/>
            </w:tcBorders>
            <w:shd w:val="clear" w:color="auto" w:fill="auto"/>
            <w:noWrap/>
            <w:vAlign w:val="center"/>
            <w:hideMark/>
          </w:tcPr>
          <w:p w14:paraId="7D3BF8A1" w14:textId="15C0BF1F" w:rsidR="007E05CF" w:rsidRPr="00375C2F" w:rsidRDefault="007E05CF" w:rsidP="000C1D3E">
            <w:pPr>
              <w:jc w:val="right"/>
              <w:rPr>
                <w:rFonts w:ascii="Arial" w:eastAsiaTheme="minorEastAsia" w:hAnsi="Arial" w:cs="Arial"/>
                <w:b/>
                <w:sz w:val="20"/>
                <w:szCs w:val="20"/>
                <w:lang w:eastAsia="ru-RU"/>
              </w:rPr>
            </w:pPr>
            <w:r w:rsidRPr="00375C2F">
              <w:rPr>
                <w:rFonts w:ascii="Arial" w:eastAsiaTheme="minorEastAsia" w:hAnsi="Arial" w:cs="Arial"/>
                <w:b/>
                <w:sz w:val="20"/>
                <w:szCs w:val="20"/>
                <w:lang w:eastAsia="ru-RU"/>
              </w:rPr>
              <w:t xml:space="preserve">         </w:t>
            </w:r>
            <w:r w:rsidR="00E15FE0" w:rsidRPr="00375C2F">
              <w:rPr>
                <w:rFonts w:ascii="Arial" w:hAnsi="Arial" w:cs="Arial"/>
                <w:b/>
                <w:sz w:val="20"/>
                <w:szCs w:val="20"/>
              </w:rPr>
              <w:t xml:space="preserve"> </w:t>
            </w:r>
            <w:r w:rsidR="00DB5AAE" w:rsidRPr="000D120B">
              <w:rPr>
                <w:rFonts w:ascii="Arial" w:hAnsi="Arial" w:cs="Arial"/>
                <w:b/>
                <w:sz w:val="20"/>
                <w:szCs w:val="20"/>
              </w:rPr>
              <w:t>1,186</w:t>
            </w:r>
            <w:r w:rsidR="00E15FE0" w:rsidRPr="00375C2F">
              <w:rPr>
                <w:rFonts w:ascii="Arial" w:hAnsi="Arial" w:cs="Arial"/>
                <w:b/>
                <w:sz w:val="20"/>
                <w:szCs w:val="20"/>
              </w:rPr>
              <w:t xml:space="preserve"> </w:t>
            </w:r>
          </w:p>
        </w:tc>
        <w:tc>
          <w:tcPr>
            <w:tcW w:w="126" w:type="pct"/>
          </w:tcPr>
          <w:p w14:paraId="00BE291C" w14:textId="77777777" w:rsidR="007E05CF" w:rsidRPr="00375C2F" w:rsidRDefault="007E05CF" w:rsidP="000C1D3E">
            <w:pPr>
              <w:jc w:val="right"/>
              <w:rPr>
                <w:rFonts w:ascii="Arial" w:hAnsi="Arial" w:cs="Arial"/>
                <w:b/>
                <w:sz w:val="20"/>
                <w:szCs w:val="20"/>
                <w:lang w:eastAsia="ru-RU"/>
              </w:rPr>
            </w:pPr>
          </w:p>
        </w:tc>
        <w:tc>
          <w:tcPr>
            <w:tcW w:w="846" w:type="pct"/>
            <w:tcBorders>
              <w:bottom w:val="single" w:sz="2" w:space="0" w:color="auto"/>
            </w:tcBorders>
            <w:shd w:val="clear" w:color="auto" w:fill="auto"/>
            <w:noWrap/>
            <w:vAlign w:val="center"/>
            <w:hideMark/>
          </w:tcPr>
          <w:p w14:paraId="1A3BCAF3" w14:textId="5615488F" w:rsidR="007E05CF" w:rsidRPr="00375C2F" w:rsidRDefault="00E15FE0" w:rsidP="000C1D3E">
            <w:pPr>
              <w:jc w:val="right"/>
              <w:rPr>
                <w:rFonts w:ascii="Arial" w:eastAsiaTheme="minorEastAsia" w:hAnsi="Arial" w:cs="Arial"/>
                <w:b/>
                <w:sz w:val="20"/>
                <w:szCs w:val="20"/>
                <w:lang w:eastAsia="ru-RU"/>
              </w:rPr>
            </w:pPr>
            <w:r w:rsidRPr="00375C2F">
              <w:rPr>
                <w:rFonts w:ascii="Arial" w:hAnsi="Arial" w:cs="Arial"/>
                <w:b/>
                <w:sz w:val="20"/>
                <w:szCs w:val="20"/>
              </w:rPr>
              <w:t xml:space="preserve"> </w:t>
            </w:r>
            <w:r w:rsidR="00DB5AAE" w:rsidRPr="000D120B">
              <w:rPr>
                <w:rFonts w:ascii="Arial" w:hAnsi="Arial" w:cs="Arial"/>
                <w:b/>
                <w:sz w:val="20"/>
                <w:szCs w:val="20"/>
              </w:rPr>
              <w:t xml:space="preserve"> 1,230</w:t>
            </w:r>
          </w:p>
        </w:tc>
      </w:tr>
      <w:tr w:rsidR="007E05CF" w:rsidRPr="00375C2F" w14:paraId="2BAA2B86" w14:textId="77777777" w:rsidTr="004F76ED">
        <w:trPr>
          <w:trHeight w:hRule="exact" w:val="57"/>
        </w:trPr>
        <w:tc>
          <w:tcPr>
            <w:tcW w:w="1873" w:type="pct"/>
            <w:tcBorders>
              <w:top w:val="single" w:sz="2" w:space="0" w:color="auto"/>
            </w:tcBorders>
            <w:shd w:val="clear" w:color="auto" w:fill="auto"/>
            <w:noWrap/>
            <w:vAlign w:val="center"/>
          </w:tcPr>
          <w:p w14:paraId="3C56EA46" w14:textId="77777777" w:rsidR="007E05CF" w:rsidRPr="00375C2F" w:rsidRDefault="007E05CF" w:rsidP="000C1D3E">
            <w:pPr>
              <w:rPr>
                <w:rFonts w:ascii="Arial" w:hAnsi="Arial" w:cs="Arial"/>
                <w:sz w:val="20"/>
                <w:szCs w:val="20"/>
                <w:lang w:eastAsia="ru-RU"/>
              </w:rPr>
            </w:pPr>
          </w:p>
        </w:tc>
        <w:tc>
          <w:tcPr>
            <w:tcW w:w="126" w:type="pct"/>
          </w:tcPr>
          <w:p w14:paraId="6D665DCD" w14:textId="77777777" w:rsidR="007E05CF" w:rsidRPr="00375C2F" w:rsidRDefault="007E05CF" w:rsidP="000C1D3E">
            <w:pPr>
              <w:jc w:val="right"/>
              <w:rPr>
                <w:rFonts w:ascii="Arial" w:hAnsi="Arial" w:cs="Arial"/>
                <w:sz w:val="20"/>
                <w:szCs w:val="20"/>
                <w:lang w:eastAsia="ru-RU"/>
              </w:rPr>
            </w:pPr>
          </w:p>
        </w:tc>
        <w:tc>
          <w:tcPr>
            <w:tcW w:w="846" w:type="pct"/>
            <w:tcBorders>
              <w:top w:val="single" w:sz="2" w:space="0" w:color="auto"/>
            </w:tcBorders>
            <w:shd w:val="clear" w:color="auto" w:fill="auto"/>
            <w:noWrap/>
            <w:vAlign w:val="center"/>
          </w:tcPr>
          <w:p w14:paraId="0B297CE2" w14:textId="77777777" w:rsidR="007E05CF" w:rsidRPr="00375C2F" w:rsidRDefault="007E05CF" w:rsidP="000C1D3E">
            <w:pPr>
              <w:jc w:val="right"/>
              <w:rPr>
                <w:rFonts w:ascii="Arial" w:hAnsi="Arial" w:cs="Arial"/>
                <w:sz w:val="20"/>
                <w:szCs w:val="20"/>
                <w:lang w:eastAsia="ru-RU"/>
              </w:rPr>
            </w:pPr>
          </w:p>
        </w:tc>
        <w:tc>
          <w:tcPr>
            <w:tcW w:w="126" w:type="pct"/>
          </w:tcPr>
          <w:p w14:paraId="51A8A3DF" w14:textId="77777777" w:rsidR="007E05CF" w:rsidRPr="00375C2F" w:rsidRDefault="007E05CF" w:rsidP="000C1D3E">
            <w:pPr>
              <w:jc w:val="right"/>
              <w:rPr>
                <w:rFonts w:ascii="Arial" w:hAnsi="Arial" w:cs="Arial"/>
                <w:sz w:val="20"/>
                <w:szCs w:val="20"/>
                <w:lang w:eastAsia="ru-RU"/>
              </w:rPr>
            </w:pPr>
          </w:p>
        </w:tc>
        <w:tc>
          <w:tcPr>
            <w:tcW w:w="1057" w:type="pct"/>
            <w:tcBorders>
              <w:top w:val="single" w:sz="2" w:space="0" w:color="auto"/>
            </w:tcBorders>
            <w:shd w:val="clear" w:color="auto" w:fill="auto"/>
            <w:noWrap/>
            <w:vAlign w:val="center"/>
          </w:tcPr>
          <w:p w14:paraId="4DA37D93" w14:textId="77777777" w:rsidR="007E05CF" w:rsidRPr="00375C2F" w:rsidRDefault="007E05CF" w:rsidP="000C1D3E">
            <w:pPr>
              <w:rPr>
                <w:rFonts w:ascii="Arial" w:eastAsiaTheme="minorEastAsia" w:hAnsi="Arial" w:cs="Arial"/>
                <w:b/>
                <w:bCs/>
                <w:sz w:val="20"/>
                <w:szCs w:val="20"/>
                <w:lang w:eastAsia="ru-RU"/>
              </w:rPr>
            </w:pPr>
          </w:p>
        </w:tc>
        <w:tc>
          <w:tcPr>
            <w:tcW w:w="126" w:type="pct"/>
          </w:tcPr>
          <w:p w14:paraId="141548E5" w14:textId="77777777" w:rsidR="007E05CF" w:rsidRPr="00375C2F" w:rsidRDefault="007E05CF" w:rsidP="000C1D3E">
            <w:pPr>
              <w:jc w:val="right"/>
              <w:rPr>
                <w:rFonts w:ascii="Arial" w:hAnsi="Arial" w:cs="Arial"/>
                <w:sz w:val="20"/>
                <w:szCs w:val="20"/>
                <w:lang w:eastAsia="ru-RU"/>
              </w:rPr>
            </w:pPr>
          </w:p>
        </w:tc>
        <w:tc>
          <w:tcPr>
            <w:tcW w:w="846" w:type="pct"/>
            <w:tcBorders>
              <w:top w:val="single" w:sz="2" w:space="0" w:color="auto"/>
            </w:tcBorders>
            <w:shd w:val="clear" w:color="auto" w:fill="auto"/>
            <w:noWrap/>
            <w:vAlign w:val="center"/>
          </w:tcPr>
          <w:p w14:paraId="0F9A4087" w14:textId="77777777" w:rsidR="007E05CF" w:rsidRPr="00375C2F" w:rsidRDefault="007E05CF" w:rsidP="000C1D3E">
            <w:pPr>
              <w:jc w:val="right"/>
              <w:rPr>
                <w:rFonts w:ascii="Arial" w:eastAsiaTheme="minorEastAsia" w:hAnsi="Arial" w:cs="Arial"/>
                <w:b/>
                <w:bCs/>
                <w:sz w:val="20"/>
                <w:szCs w:val="20"/>
                <w:lang w:eastAsia="ru-RU"/>
              </w:rPr>
            </w:pPr>
          </w:p>
        </w:tc>
      </w:tr>
      <w:tr w:rsidR="007E05CF" w:rsidRPr="00375C2F" w14:paraId="740B5627" w14:textId="77777777" w:rsidTr="004F76ED">
        <w:trPr>
          <w:trHeight w:hRule="exact" w:val="284"/>
        </w:trPr>
        <w:tc>
          <w:tcPr>
            <w:tcW w:w="1873" w:type="pct"/>
            <w:shd w:val="clear" w:color="auto" w:fill="auto"/>
            <w:noWrap/>
            <w:vAlign w:val="center"/>
            <w:hideMark/>
          </w:tcPr>
          <w:p w14:paraId="3A547B29" w14:textId="3B676821" w:rsidR="007E05CF" w:rsidRPr="00375C2F" w:rsidRDefault="007E05CF" w:rsidP="000C1D3E">
            <w:pPr>
              <w:rPr>
                <w:rFonts w:ascii="Arial" w:hAnsi="Arial" w:cs="Arial"/>
                <w:sz w:val="20"/>
                <w:szCs w:val="20"/>
                <w:lang w:eastAsia="ru-RU"/>
              </w:rPr>
            </w:pPr>
            <w:r w:rsidRPr="00375C2F">
              <w:rPr>
                <w:rFonts w:ascii="Arial" w:hAnsi="Arial" w:cs="Arial"/>
                <w:sz w:val="20"/>
                <w:szCs w:val="20"/>
                <w:lang w:eastAsia="ru-RU"/>
              </w:rPr>
              <w:t xml:space="preserve">LTM </w:t>
            </w:r>
            <w:r w:rsidRPr="00375C2F">
              <w:rPr>
                <w:rFonts w:ascii="Arial" w:hAnsi="Arial" w:cs="Arial"/>
                <w:sz w:val="20"/>
                <w:szCs w:val="20"/>
              </w:rPr>
              <w:t>Adjusted</w:t>
            </w:r>
            <w:r w:rsidRPr="00375C2F">
              <w:rPr>
                <w:rFonts w:ascii="Arial" w:hAnsi="Arial" w:cs="Arial"/>
                <w:sz w:val="20"/>
                <w:szCs w:val="20"/>
                <w:lang w:eastAsia="ru-RU"/>
              </w:rPr>
              <w:t xml:space="preserve"> EBITDA</w:t>
            </w:r>
            <w:r w:rsidR="00A545E7" w:rsidRPr="00375C2F">
              <w:rPr>
                <w:rFonts w:ascii="Arial" w:hAnsi="Arial" w:cs="Arial"/>
                <w:b/>
                <w:bCs/>
                <w:sz w:val="20"/>
                <w:szCs w:val="20"/>
                <w:vertAlign w:val="superscript"/>
                <w:lang w:eastAsia="ru-RU"/>
              </w:rPr>
              <w:t>1)</w:t>
            </w:r>
          </w:p>
        </w:tc>
        <w:tc>
          <w:tcPr>
            <w:tcW w:w="126" w:type="pct"/>
          </w:tcPr>
          <w:p w14:paraId="5605B8AC" w14:textId="77777777" w:rsidR="007E05CF" w:rsidRPr="00375C2F"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348A8417" w14:textId="49C625A4" w:rsidR="007E05CF" w:rsidRPr="00375C2F" w:rsidRDefault="007E05CF" w:rsidP="000C1D3E">
            <w:pPr>
              <w:jc w:val="right"/>
              <w:rPr>
                <w:rFonts w:ascii="Arial" w:hAnsi="Arial" w:cs="Arial"/>
                <w:sz w:val="20"/>
                <w:szCs w:val="20"/>
                <w:lang w:eastAsia="ru-RU"/>
              </w:rPr>
            </w:pPr>
            <w:r w:rsidRPr="00375C2F">
              <w:rPr>
                <w:rFonts w:ascii="Arial" w:eastAsiaTheme="minorEastAsia" w:hAnsi="Arial" w:cs="Arial"/>
                <w:sz w:val="20"/>
                <w:szCs w:val="20"/>
                <w:lang w:eastAsia="ru-RU"/>
              </w:rPr>
              <w:t xml:space="preserve"> </w:t>
            </w:r>
            <w:r w:rsidR="00036F40" w:rsidRPr="00375C2F">
              <w:rPr>
                <w:rFonts w:ascii="Arial" w:hAnsi="Arial" w:cs="Arial"/>
                <w:sz w:val="20"/>
                <w:szCs w:val="20"/>
              </w:rPr>
              <w:t xml:space="preserve"> </w:t>
            </w:r>
            <w:r w:rsidR="00DB5AAE" w:rsidRPr="000D120B">
              <w:rPr>
                <w:rFonts w:ascii="Arial" w:hAnsi="Arial" w:cs="Arial"/>
                <w:sz w:val="20"/>
                <w:szCs w:val="20"/>
              </w:rPr>
              <w:t xml:space="preserve"> 384</w:t>
            </w:r>
          </w:p>
        </w:tc>
        <w:tc>
          <w:tcPr>
            <w:tcW w:w="126" w:type="pct"/>
          </w:tcPr>
          <w:p w14:paraId="40FA2585" w14:textId="77777777" w:rsidR="007E05CF" w:rsidRPr="00375C2F" w:rsidRDefault="007E05CF" w:rsidP="000C1D3E">
            <w:pPr>
              <w:jc w:val="right"/>
              <w:rPr>
                <w:rFonts w:ascii="Arial" w:hAnsi="Arial" w:cs="Arial"/>
                <w:sz w:val="20"/>
                <w:szCs w:val="20"/>
                <w:lang w:eastAsia="ru-RU"/>
              </w:rPr>
            </w:pPr>
          </w:p>
        </w:tc>
        <w:tc>
          <w:tcPr>
            <w:tcW w:w="1057" w:type="pct"/>
            <w:shd w:val="clear" w:color="auto" w:fill="auto"/>
            <w:noWrap/>
            <w:vAlign w:val="center"/>
            <w:hideMark/>
          </w:tcPr>
          <w:p w14:paraId="577E3DE0" w14:textId="42184898" w:rsidR="007E05CF" w:rsidRPr="00375C2F" w:rsidRDefault="007E05CF" w:rsidP="000C1D3E">
            <w:pPr>
              <w:jc w:val="right"/>
              <w:rPr>
                <w:rFonts w:ascii="Arial" w:eastAsiaTheme="minorEastAsia" w:hAnsi="Arial" w:cs="Arial"/>
                <w:sz w:val="20"/>
                <w:szCs w:val="20"/>
                <w:lang w:eastAsia="ru-RU"/>
              </w:rPr>
            </w:pPr>
            <w:r w:rsidRPr="00375C2F">
              <w:rPr>
                <w:rFonts w:ascii="Arial" w:eastAsiaTheme="minorEastAsia" w:hAnsi="Arial" w:cs="Arial"/>
                <w:sz w:val="20"/>
                <w:szCs w:val="20"/>
                <w:lang w:eastAsia="ru-RU"/>
              </w:rPr>
              <w:t xml:space="preserve"> </w:t>
            </w:r>
            <w:r w:rsidR="00E15FE0" w:rsidRPr="00375C2F">
              <w:rPr>
                <w:rFonts w:ascii="Arial" w:hAnsi="Arial" w:cs="Arial"/>
                <w:sz w:val="20"/>
                <w:szCs w:val="20"/>
              </w:rPr>
              <w:t xml:space="preserve"> </w:t>
            </w:r>
            <w:r w:rsidR="00DB5AAE" w:rsidRPr="000D120B">
              <w:rPr>
                <w:rFonts w:ascii="Arial" w:hAnsi="Arial" w:cs="Arial"/>
                <w:sz w:val="20"/>
                <w:szCs w:val="20"/>
              </w:rPr>
              <w:t xml:space="preserve"> 404</w:t>
            </w:r>
          </w:p>
        </w:tc>
        <w:tc>
          <w:tcPr>
            <w:tcW w:w="126" w:type="pct"/>
          </w:tcPr>
          <w:p w14:paraId="21189D0F" w14:textId="77777777" w:rsidR="007E05CF" w:rsidRPr="00375C2F" w:rsidRDefault="007E05CF" w:rsidP="000C1D3E">
            <w:pPr>
              <w:jc w:val="right"/>
              <w:rPr>
                <w:rFonts w:ascii="Arial" w:hAnsi="Arial" w:cs="Arial"/>
                <w:sz w:val="20"/>
                <w:szCs w:val="20"/>
                <w:lang w:eastAsia="ru-RU"/>
              </w:rPr>
            </w:pPr>
          </w:p>
        </w:tc>
        <w:tc>
          <w:tcPr>
            <w:tcW w:w="846" w:type="pct"/>
            <w:shd w:val="clear" w:color="auto" w:fill="auto"/>
            <w:noWrap/>
            <w:vAlign w:val="center"/>
            <w:hideMark/>
          </w:tcPr>
          <w:p w14:paraId="484E0464" w14:textId="0B5DB123" w:rsidR="007E05CF" w:rsidRPr="00375C2F" w:rsidRDefault="00E15FE0" w:rsidP="000C1D3E">
            <w:pPr>
              <w:jc w:val="right"/>
              <w:rPr>
                <w:rFonts w:ascii="Arial" w:eastAsiaTheme="minorEastAsia" w:hAnsi="Arial" w:cs="Arial"/>
                <w:bCs/>
                <w:sz w:val="20"/>
                <w:szCs w:val="20"/>
                <w:lang w:eastAsia="ru-RU"/>
              </w:rPr>
            </w:pPr>
            <w:r w:rsidRPr="00375C2F">
              <w:rPr>
                <w:rFonts w:ascii="Arial" w:hAnsi="Arial" w:cs="Arial"/>
                <w:sz w:val="20"/>
                <w:szCs w:val="20"/>
              </w:rPr>
              <w:t xml:space="preserve"> </w:t>
            </w:r>
            <w:r w:rsidR="00DB5AAE" w:rsidRPr="000D120B">
              <w:rPr>
                <w:rFonts w:ascii="Arial" w:hAnsi="Arial" w:cs="Arial"/>
                <w:sz w:val="20"/>
                <w:szCs w:val="20"/>
              </w:rPr>
              <w:t xml:space="preserve"> 648</w:t>
            </w:r>
          </w:p>
        </w:tc>
      </w:tr>
      <w:tr w:rsidR="007E05CF" w:rsidRPr="00375C2F" w14:paraId="664B1468" w14:textId="77777777" w:rsidTr="004F76ED">
        <w:trPr>
          <w:trHeight w:hRule="exact" w:val="283"/>
        </w:trPr>
        <w:tc>
          <w:tcPr>
            <w:tcW w:w="1873" w:type="pct"/>
            <w:tcBorders>
              <w:bottom w:val="single" w:sz="12" w:space="0" w:color="auto"/>
            </w:tcBorders>
            <w:shd w:val="clear" w:color="auto" w:fill="auto"/>
            <w:noWrap/>
            <w:vAlign w:val="center"/>
            <w:hideMark/>
          </w:tcPr>
          <w:p w14:paraId="71F51099" w14:textId="0B61D236" w:rsidR="007E05CF" w:rsidRPr="00375C2F" w:rsidRDefault="007E05CF" w:rsidP="000C1D3E">
            <w:pPr>
              <w:rPr>
                <w:rFonts w:ascii="Arial" w:hAnsi="Arial" w:cs="Arial"/>
                <w:i/>
                <w:iCs/>
                <w:sz w:val="20"/>
                <w:szCs w:val="20"/>
                <w:lang w:eastAsia="ru-RU"/>
              </w:rPr>
            </w:pPr>
            <w:r w:rsidRPr="00375C2F">
              <w:rPr>
                <w:rFonts w:ascii="Arial" w:hAnsi="Arial" w:cs="Arial"/>
                <w:i/>
                <w:iCs/>
                <w:sz w:val="20"/>
                <w:szCs w:val="20"/>
                <w:lang w:eastAsia="ru-RU"/>
              </w:rPr>
              <w:t xml:space="preserve">Net Debt / LTM </w:t>
            </w:r>
            <w:r w:rsidRPr="00375C2F">
              <w:rPr>
                <w:rFonts w:ascii="Arial" w:hAnsi="Arial" w:cs="Arial"/>
                <w:i/>
                <w:sz w:val="20"/>
                <w:szCs w:val="20"/>
              </w:rPr>
              <w:t>Adjusted</w:t>
            </w:r>
            <w:r w:rsidRPr="00375C2F">
              <w:rPr>
                <w:rFonts w:ascii="Arial" w:hAnsi="Arial" w:cs="Arial"/>
                <w:i/>
                <w:iCs/>
                <w:sz w:val="20"/>
                <w:szCs w:val="20"/>
                <w:lang w:eastAsia="ru-RU"/>
              </w:rPr>
              <w:t xml:space="preserve"> EBITDA</w:t>
            </w:r>
            <w:r w:rsidR="00A545E7" w:rsidRPr="00375C2F">
              <w:rPr>
                <w:rFonts w:ascii="Arial" w:hAnsi="Arial" w:cs="Arial"/>
                <w:b/>
                <w:bCs/>
                <w:sz w:val="20"/>
                <w:szCs w:val="20"/>
                <w:vertAlign w:val="superscript"/>
                <w:lang w:eastAsia="ru-RU"/>
              </w:rPr>
              <w:t>1)</w:t>
            </w:r>
          </w:p>
        </w:tc>
        <w:tc>
          <w:tcPr>
            <w:tcW w:w="126" w:type="pct"/>
          </w:tcPr>
          <w:p w14:paraId="618AB64A" w14:textId="77777777" w:rsidR="007E05CF" w:rsidRPr="00375C2F" w:rsidRDefault="007E05CF" w:rsidP="000C1D3E">
            <w:pPr>
              <w:jc w:val="right"/>
              <w:rPr>
                <w:rFonts w:ascii="Arial" w:hAnsi="Arial" w:cs="Arial"/>
                <w:i/>
                <w:iCs/>
                <w:sz w:val="20"/>
                <w:szCs w:val="20"/>
                <w:lang w:eastAsia="ru-RU"/>
              </w:rPr>
            </w:pPr>
          </w:p>
        </w:tc>
        <w:tc>
          <w:tcPr>
            <w:tcW w:w="846" w:type="pct"/>
            <w:tcBorders>
              <w:bottom w:val="single" w:sz="12" w:space="0" w:color="auto"/>
            </w:tcBorders>
            <w:shd w:val="clear" w:color="auto" w:fill="auto"/>
            <w:noWrap/>
            <w:vAlign w:val="center"/>
            <w:hideMark/>
          </w:tcPr>
          <w:p w14:paraId="218026B3" w14:textId="57E435A3" w:rsidR="007E05CF" w:rsidRPr="00375C2F" w:rsidRDefault="00036F40" w:rsidP="000C1D3E">
            <w:pPr>
              <w:jc w:val="right"/>
              <w:rPr>
                <w:rFonts w:ascii="Arial" w:hAnsi="Arial" w:cs="Arial"/>
                <w:i/>
                <w:iCs/>
                <w:sz w:val="20"/>
                <w:szCs w:val="20"/>
                <w:lang w:eastAsia="ru-RU"/>
              </w:rPr>
            </w:pPr>
            <w:r w:rsidRPr="00375C2F">
              <w:rPr>
                <w:rFonts w:ascii="Arial" w:hAnsi="Arial" w:cs="Arial"/>
                <w:i/>
                <w:iCs/>
                <w:sz w:val="20"/>
                <w:szCs w:val="20"/>
              </w:rPr>
              <w:t xml:space="preserve"> </w:t>
            </w:r>
            <w:r w:rsidR="00DB5AAE" w:rsidRPr="000D120B">
              <w:rPr>
                <w:rFonts w:ascii="Arial" w:hAnsi="Arial" w:cs="Arial"/>
                <w:i/>
                <w:iCs/>
                <w:sz w:val="20"/>
                <w:szCs w:val="20"/>
              </w:rPr>
              <w:t xml:space="preserve"> 3.22</w:t>
            </w:r>
          </w:p>
        </w:tc>
        <w:tc>
          <w:tcPr>
            <w:tcW w:w="126" w:type="pct"/>
          </w:tcPr>
          <w:p w14:paraId="4C59777F" w14:textId="77777777" w:rsidR="007E05CF" w:rsidRPr="00375C2F" w:rsidRDefault="007E05CF" w:rsidP="000C1D3E">
            <w:pPr>
              <w:jc w:val="right"/>
              <w:rPr>
                <w:rFonts w:ascii="Arial" w:hAnsi="Arial" w:cs="Arial"/>
                <w:i/>
                <w:iCs/>
                <w:sz w:val="20"/>
                <w:szCs w:val="20"/>
                <w:lang w:eastAsia="ru-RU"/>
              </w:rPr>
            </w:pPr>
          </w:p>
        </w:tc>
        <w:tc>
          <w:tcPr>
            <w:tcW w:w="1057" w:type="pct"/>
            <w:tcBorders>
              <w:bottom w:val="single" w:sz="12" w:space="0" w:color="auto"/>
            </w:tcBorders>
            <w:shd w:val="clear" w:color="auto" w:fill="auto"/>
            <w:noWrap/>
            <w:vAlign w:val="center"/>
            <w:hideMark/>
          </w:tcPr>
          <w:p w14:paraId="1F4A0E24" w14:textId="2B2ADAD7" w:rsidR="007E05CF" w:rsidRPr="00375C2F" w:rsidRDefault="007E05CF" w:rsidP="000C1D3E">
            <w:pPr>
              <w:jc w:val="right"/>
              <w:rPr>
                <w:rFonts w:ascii="Arial" w:eastAsiaTheme="minorEastAsia" w:hAnsi="Arial" w:cs="Arial"/>
                <w:i/>
                <w:iCs/>
                <w:sz w:val="20"/>
                <w:szCs w:val="20"/>
                <w:lang w:eastAsia="ru-RU"/>
              </w:rPr>
            </w:pPr>
            <w:r w:rsidRPr="00375C2F">
              <w:rPr>
                <w:rFonts w:ascii="Arial" w:eastAsiaTheme="minorEastAsia" w:hAnsi="Arial" w:cs="Arial"/>
                <w:i/>
                <w:iCs/>
                <w:sz w:val="20"/>
                <w:szCs w:val="20"/>
                <w:lang w:eastAsia="ru-RU"/>
              </w:rPr>
              <w:t xml:space="preserve"> </w:t>
            </w:r>
            <w:r w:rsidR="00E15FE0" w:rsidRPr="00375C2F">
              <w:rPr>
                <w:rFonts w:ascii="Arial" w:hAnsi="Arial" w:cs="Arial"/>
                <w:i/>
                <w:iCs/>
                <w:sz w:val="20"/>
                <w:szCs w:val="20"/>
              </w:rPr>
              <w:t xml:space="preserve"> </w:t>
            </w:r>
            <w:r w:rsidR="00DB5AAE" w:rsidRPr="000D120B">
              <w:rPr>
                <w:rFonts w:ascii="Arial" w:hAnsi="Arial" w:cs="Arial"/>
                <w:i/>
                <w:iCs/>
                <w:sz w:val="20"/>
                <w:szCs w:val="20"/>
              </w:rPr>
              <w:t xml:space="preserve"> 2.94</w:t>
            </w:r>
          </w:p>
        </w:tc>
        <w:tc>
          <w:tcPr>
            <w:tcW w:w="126" w:type="pct"/>
          </w:tcPr>
          <w:p w14:paraId="770D4E18" w14:textId="77777777" w:rsidR="007E05CF" w:rsidRPr="00375C2F" w:rsidRDefault="007E05CF" w:rsidP="000C1D3E">
            <w:pPr>
              <w:jc w:val="right"/>
              <w:rPr>
                <w:rFonts w:ascii="Arial" w:hAnsi="Arial" w:cs="Arial"/>
                <w:i/>
                <w:iCs/>
                <w:sz w:val="20"/>
                <w:szCs w:val="20"/>
                <w:lang w:eastAsia="ru-RU"/>
              </w:rPr>
            </w:pPr>
          </w:p>
        </w:tc>
        <w:tc>
          <w:tcPr>
            <w:tcW w:w="846" w:type="pct"/>
            <w:tcBorders>
              <w:bottom w:val="single" w:sz="12" w:space="0" w:color="auto"/>
            </w:tcBorders>
            <w:shd w:val="clear" w:color="auto" w:fill="auto"/>
            <w:noWrap/>
            <w:vAlign w:val="center"/>
            <w:hideMark/>
          </w:tcPr>
          <w:p w14:paraId="5479F8D0" w14:textId="526AF88A" w:rsidR="007E05CF" w:rsidRPr="00375C2F" w:rsidRDefault="00E15FE0" w:rsidP="000C1D3E">
            <w:pPr>
              <w:jc w:val="right"/>
              <w:rPr>
                <w:rFonts w:ascii="Arial" w:eastAsiaTheme="minorEastAsia" w:hAnsi="Arial" w:cs="Arial"/>
                <w:i/>
                <w:iCs/>
                <w:sz w:val="20"/>
                <w:szCs w:val="20"/>
                <w:lang w:eastAsia="ru-RU"/>
              </w:rPr>
            </w:pPr>
            <w:r w:rsidRPr="00375C2F">
              <w:rPr>
                <w:rFonts w:ascii="Arial" w:hAnsi="Arial" w:cs="Arial"/>
                <w:i/>
                <w:iCs/>
                <w:sz w:val="20"/>
                <w:szCs w:val="20"/>
              </w:rPr>
              <w:t xml:space="preserve"> </w:t>
            </w:r>
            <w:r w:rsidR="00DB5AAE" w:rsidRPr="000D120B">
              <w:rPr>
                <w:rFonts w:ascii="Arial" w:hAnsi="Arial" w:cs="Arial"/>
                <w:i/>
                <w:iCs/>
                <w:sz w:val="20"/>
                <w:szCs w:val="20"/>
              </w:rPr>
              <w:t xml:space="preserve"> 1.90</w:t>
            </w:r>
          </w:p>
        </w:tc>
      </w:tr>
    </w:tbl>
    <w:p w14:paraId="0284433E" w14:textId="1361CE8B" w:rsidR="00A545E7" w:rsidRPr="004A7131" w:rsidRDefault="00A545E7" w:rsidP="000C1D3E">
      <w:pPr>
        <w:spacing w:before="40" w:after="40" w:line="240" w:lineRule="auto"/>
        <w:jc w:val="both"/>
        <w:rPr>
          <w:rFonts w:ascii="Arial" w:eastAsia="Calibri" w:hAnsi="Arial" w:cs="Arial"/>
          <w:i/>
          <w:iCs/>
          <w:sz w:val="16"/>
          <w:szCs w:val="16"/>
        </w:rPr>
      </w:pPr>
      <w:r w:rsidRPr="004A7131">
        <w:rPr>
          <w:rFonts w:ascii="Arial" w:eastAsia="Calibri" w:hAnsi="Arial" w:cs="Arial"/>
          <w:i/>
          <w:iCs/>
          <w:sz w:val="16"/>
          <w:szCs w:val="16"/>
          <w:vertAlign w:val="superscript"/>
        </w:rPr>
        <w:t xml:space="preserve">1)  </w:t>
      </w:r>
      <w:r w:rsidRPr="004A7131">
        <w:rPr>
          <w:rFonts w:ascii="Arial" w:eastAsia="Calibri" w:hAnsi="Arial" w:cs="Arial"/>
          <w:i/>
          <w:iCs/>
          <w:sz w:val="16"/>
          <w:szCs w:val="16"/>
        </w:rPr>
        <w:t>Net of IFRS 16 adjustments: as if any lease that would have been treated as an operating lease under IAS 17 as was in effect before the 1 January 2019, is treated as an operating lease for</w:t>
      </w:r>
      <w:r w:rsidR="00650BF3">
        <w:rPr>
          <w:rFonts w:ascii="Arial" w:eastAsia="Calibri" w:hAnsi="Arial" w:cs="Arial"/>
          <w:i/>
          <w:iCs/>
          <w:sz w:val="16"/>
          <w:szCs w:val="16"/>
          <w:lang w:val="uk-UA"/>
        </w:rPr>
        <w:t xml:space="preserve"> </w:t>
      </w:r>
      <w:r w:rsidR="00650BF3">
        <w:rPr>
          <w:rFonts w:ascii="Arial" w:eastAsia="Calibri" w:hAnsi="Arial" w:cs="Arial"/>
          <w:i/>
          <w:iCs/>
          <w:sz w:val="16"/>
          <w:szCs w:val="16"/>
        </w:rPr>
        <w:t>the</w:t>
      </w:r>
      <w:r w:rsidRPr="004A7131">
        <w:rPr>
          <w:rFonts w:ascii="Arial" w:eastAsia="Calibri" w:hAnsi="Arial" w:cs="Arial"/>
          <w:i/>
          <w:iCs/>
          <w:sz w:val="16"/>
          <w:szCs w:val="16"/>
        </w:rPr>
        <w:t xml:space="preserve"> purposes of this calculation. In accordance with covenants in MHP’s bond and loan agreements, these data exclude the effects of IFRS 16 on accounting for operating leases.</w:t>
      </w:r>
    </w:p>
    <w:p w14:paraId="3B8B8463" w14:textId="329EB1A9" w:rsidR="00D4062A" w:rsidRPr="004A7131" w:rsidRDefault="00A545E7" w:rsidP="000C1D3E">
      <w:pPr>
        <w:spacing w:before="40" w:after="40"/>
        <w:jc w:val="both"/>
        <w:rPr>
          <w:rFonts w:ascii="Arial" w:eastAsia="Calibri" w:hAnsi="Arial" w:cs="Arial"/>
          <w:i/>
          <w:iCs/>
          <w:sz w:val="16"/>
          <w:szCs w:val="16"/>
          <w:lang w:val="uk-UA"/>
        </w:rPr>
      </w:pPr>
      <w:r w:rsidRPr="004A7131">
        <w:rPr>
          <w:rFonts w:ascii="Arial" w:eastAsia="Calibri" w:hAnsi="Arial" w:cs="Arial"/>
          <w:i/>
          <w:iCs/>
          <w:sz w:val="16"/>
          <w:szCs w:val="16"/>
          <w:vertAlign w:val="superscript"/>
        </w:rPr>
        <w:t>2)</w:t>
      </w:r>
      <w:r w:rsidRPr="004A7131">
        <w:rPr>
          <w:rFonts w:ascii="Arial" w:eastAsia="Calibri" w:hAnsi="Arial" w:cs="Arial"/>
          <w:i/>
          <w:iCs/>
          <w:sz w:val="16"/>
          <w:szCs w:val="16"/>
        </w:rPr>
        <w:t xml:space="preserve">  </w:t>
      </w:r>
      <w:r w:rsidR="0026513E" w:rsidRPr="004A7131">
        <w:rPr>
          <w:rFonts w:ascii="Arial" w:eastAsia="Calibri" w:hAnsi="Arial" w:cs="Arial"/>
          <w:i/>
          <w:iCs/>
          <w:sz w:val="16"/>
          <w:szCs w:val="16"/>
        </w:rPr>
        <w:t>Indebtedness under trade credit facilities that is required to be repaid within 12 months of drawdown should be excluded for</w:t>
      </w:r>
      <w:r w:rsidR="00650BF3">
        <w:rPr>
          <w:rFonts w:ascii="Arial" w:eastAsia="Calibri" w:hAnsi="Arial" w:cs="Arial"/>
          <w:i/>
          <w:iCs/>
          <w:sz w:val="16"/>
          <w:szCs w:val="16"/>
        </w:rPr>
        <w:t xml:space="preserve"> the</w:t>
      </w:r>
      <w:r w:rsidR="0026513E" w:rsidRPr="004A7131">
        <w:rPr>
          <w:rFonts w:ascii="Arial" w:eastAsia="Calibri" w:hAnsi="Arial" w:cs="Arial"/>
          <w:i/>
          <w:iCs/>
          <w:sz w:val="16"/>
          <w:szCs w:val="16"/>
        </w:rPr>
        <w:t xml:space="preserve"> purposes of this calculation</w:t>
      </w:r>
    </w:p>
    <w:p w14:paraId="7411FCCE" w14:textId="4335A66D" w:rsidR="00076A89" w:rsidRPr="00A74DDB" w:rsidRDefault="00076A89" w:rsidP="000C1D3E">
      <w:pPr>
        <w:autoSpaceDE w:val="0"/>
        <w:spacing w:before="120" w:after="120"/>
        <w:jc w:val="both"/>
        <w:rPr>
          <w:rFonts w:ascii="Arial" w:hAnsi="Arial" w:cs="Arial"/>
          <w:color w:val="000000" w:themeColor="text1"/>
          <w:sz w:val="20"/>
          <w:szCs w:val="20"/>
        </w:rPr>
      </w:pPr>
      <w:r w:rsidRPr="00A74DDB">
        <w:rPr>
          <w:rFonts w:ascii="Arial" w:hAnsi="Arial" w:cs="Arial"/>
          <w:color w:val="000000" w:themeColor="text1"/>
          <w:sz w:val="20"/>
          <w:szCs w:val="20"/>
        </w:rPr>
        <w:t xml:space="preserve">As of </w:t>
      </w:r>
      <w:r w:rsidR="00D07A52" w:rsidRPr="00A74DDB">
        <w:rPr>
          <w:rFonts w:ascii="Arial" w:hAnsi="Arial" w:cs="Arial"/>
          <w:color w:val="000000" w:themeColor="text1"/>
          <w:sz w:val="20"/>
          <w:szCs w:val="20"/>
        </w:rPr>
        <w:t>3</w:t>
      </w:r>
      <w:r w:rsidR="00D2118D" w:rsidRPr="00A74DDB">
        <w:rPr>
          <w:rFonts w:ascii="Arial" w:hAnsi="Arial" w:cs="Arial"/>
          <w:color w:val="000000" w:themeColor="text1"/>
          <w:sz w:val="20"/>
          <w:szCs w:val="20"/>
        </w:rPr>
        <w:t>1</w:t>
      </w:r>
      <w:r w:rsidR="00D07A52" w:rsidRPr="00A74DDB">
        <w:rPr>
          <w:rFonts w:ascii="Arial" w:hAnsi="Arial" w:cs="Arial"/>
          <w:color w:val="000000" w:themeColor="text1"/>
          <w:sz w:val="20"/>
          <w:szCs w:val="20"/>
        </w:rPr>
        <w:t xml:space="preserve"> </w:t>
      </w:r>
      <w:r w:rsidR="00D2118D" w:rsidRPr="00A74DDB">
        <w:rPr>
          <w:rFonts w:ascii="Arial" w:hAnsi="Arial" w:cs="Arial"/>
          <w:color w:val="000000" w:themeColor="text1"/>
          <w:sz w:val="20"/>
          <w:szCs w:val="20"/>
        </w:rPr>
        <w:t>December</w:t>
      </w:r>
      <w:r w:rsidR="00BF1968" w:rsidRPr="00A74DDB">
        <w:rPr>
          <w:rFonts w:ascii="Arial" w:hAnsi="Arial" w:cs="Arial"/>
          <w:color w:val="000000" w:themeColor="text1"/>
          <w:sz w:val="20"/>
          <w:szCs w:val="20"/>
        </w:rPr>
        <w:t xml:space="preserve"> </w:t>
      </w:r>
      <w:r w:rsidR="00E22622" w:rsidRPr="00A74DDB">
        <w:rPr>
          <w:rFonts w:ascii="Arial" w:hAnsi="Arial" w:cs="Arial"/>
          <w:color w:val="000000" w:themeColor="text1"/>
          <w:sz w:val="20"/>
          <w:szCs w:val="20"/>
        </w:rPr>
        <w:t>2022</w:t>
      </w:r>
      <w:r w:rsidRPr="00A74DDB">
        <w:rPr>
          <w:rFonts w:ascii="Arial" w:hAnsi="Arial" w:cs="Arial"/>
          <w:color w:val="000000" w:themeColor="text1"/>
          <w:sz w:val="20"/>
          <w:szCs w:val="20"/>
        </w:rPr>
        <w:t xml:space="preserve">, </w:t>
      </w:r>
      <w:r w:rsidR="0008095F" w:rsidRPr="00A74DDB">
        <w:rPr>
          <w:rFonts w:ascii="Arial" w:hAnsi="Arial" w:cs="Arial"/>
          <w:color w:val="000000" w:themeColor="text1"/>
          <w:sz w:val="20"/>
          <w:szCs w:val="20"/>
        </w:rPr>
        <w:t>t</w:t>
      </w:r>
      <w:r w:rsidRPr="00A74DDB">
        <w:rPr>
          <w:rFonts w:ascii="Arial" w:hAnsi="Arial" w:cs="Arial"/>
          <w:color w:val="000000" w:themeColor="text1"/>
          <w:sz w:val="20"/>
          <w:szCs w:val="20"/>
        </w:rPr>
        <w:t xml:space="preserve">he share of long-term debt in the total </w:t>
      </w:r>
      <w:r w:rsidR="004F781D" w:rsidRPr="00A74DDB">
        <w:rPr>
          <w:rFonts w:ascii="Arial" w:hAnsi="Arial" w:cs="Arial"/>
          <w:color w:val="000000" w:themeColor="text1"/>
          <w:sz w:val="20"/>
          <w:szCs w:val="20"/>
        </w:rPr>
        <w:t xml:space="preserve">outstanding </w:t>
      </w:r>
      <w:r w:rsidRPr="00A74DDB">
        <w:rPr>
          <w:rFonts w:ascii="Arial" w:hAnsi="Arial" w:cs="Arial"/>
          <w:color w:val="000000" w:themeColor="text1"/>
          <w:sz w:val="20"/>
          <w:szCs w:val="20"/>
        </w:rPr>
        <w:t xml:space="preserve">debt </w:t>
      </w:r>
      <w:r w:rsidR="00A249E0" w:rsidRPr="00A74DDB">
        <w:rPr>
          <w:rFonts w:ascii="Arial" w:hAnsi="Arial" w:cs="Arial"/>
          <w:color w:val="000000" w:themeColor="text1"/>
          <w:sz w:val="20"/>
          <w:szCs w:val="20"/>
        </w:rPr>
        <w:t xml:space="preserve">remained unchanged </w:t>
      </w:r>
      <w:r w:rsidR="00EA4939" w:rsidRPr="00A74DDB">
        <w:rPr>
          <w:rFonts w:ascii="Arial" w:hAnsi="Arial" w:cs="Arial"/>
          <w:color w:val="000000" w:themeColor="text1"/>
          <w:sz w:val="20"/>
          <w:szCs w:val="20"/>
        </w:rPr>
        <w:t xml:space="preserve">at </w:t>
      </w:r>
      <w:r w:rsidR="00DB5AAE" w:rsidRPr="000D120B">
        <w:rPr>
          <w:rFonts w:ascii="Arial" w:hAnsi="Arial" w:cs="Arial"/>
          <w:sz w:val="20"/>
          <w:szCs w:val="20"/>
        </w:rPr>
        <w:t>98%</w:t>
      </w:r>
      <w:r w:rsidR="00F92912" w:rsidRPr="00A74DDB">
        <w:rPr>
          <w:rFonts w:ascii="Arial" w:hAnsi="Arial" w:cs="Arial"/>
          <w:color w:val="000000" w:themeColor="text1"/>
          <w:sz w:val="20"/>
          <w:szCs w:val="20"/>
        </w:rPr>
        <w:t xml:space="preserve">. </w:t>
      </w:r>
    </w:p>
    <w:p w14:paraId="711C61AB" w14:textId="7471E968" w:rsidR="00C92288" w:rsidRPr="00810F6B" w:rsidRDefault="00F15B84" w:rsidP="000C1D3E">
      <w:pPr>
        <w:autoSpaceDE w:val="0"/>
        <w:spacing w:before="120" w:after="120"/>
        <w:jc w:val="both"/>
        <w:rPr>
          <w:rFonts w:ascii="Arial" w:hAnsi="Arial" w:cs="Arial"/>
          <w:color w:val="000000" w:themeColor="text1"/>
          <w:sz w:val="20"/>
          <w:szCs w:val="20"/>
        </w:rPr>
      </w:pPr>
      <w:r w:rsidRPr="00810F6B">
        <w:rPr>
          <w:rFonts w:ascii="Arial" w:hAnsi="Arial" w:cs="Arial"/>
          <w:color w:val="000000" w:themeColor="text1"/>
          <w:sz w:val="20"/>
          <w:szCs w:val="20"/>
        </w:rPr>
        <w:t xml:space="preserve">As of </w:t>
      </w:r>
      <w:r w:rsidR="00C07336" w:rsidRPr="00810F6B">
        <w:rPr>
          <w:rFonts w:ascii="Arial" w:hAnsi="Arial" w:cs="Arial"/>
          <w:color w:val="000000" w:themeColor="text1"/>
          <w:sz w:val="20"/>
          <w:szCs w:val="20"/>
        </w:rPr>
        <w:t>3</w:t>
      </w:r>
      <w:r w:rsidR="00D2118D" w:rsidRPr="00810F6B">
        <w:rPr>
          <w:rFonts w:ascii="Arial" w:hAnsi="Arial" w:cs="Arial"/>
          <w:color w:val="000000" w:themeColor="text1"/>
          <w:sz w:val="20"/>
          <w:szCs w:val="20"/>
        </w:rPr>
        <w:t>1</w:t>
      </w:r>
      <w:r w:rsidRPr="00810F6B">
        <w:rPr>
          <w:rFonts w:ascii="Arial" w:hAnsi="Arial" w:cs="Arial"/>
          <w:color w:val="000000" w:themeColor="text1"/>
          <w:sz w:val="20"/>
          <w:szCs w:val="20"/>
        </w:rPr>
        <w:t xml:space="preserve"> </w:t>
      </w:r>
      <w:r w:rsidR="00D2118D" w:rsidRPr="00810F6B">
        <w:rPr>
          <w:rFonts w:ascii="Arial" w:hAnsi="Arial" w:cs="Arial"/>
          <w:color w:val="000000" w:themeColor="text1"/>
          <w:sz w:val="20"/>
          <w:szCs w:val="20"/>
        </w:rPr>
        <w:t>December</w:t>
      </w:r>
      <w:r w:rsidR="001E756D" w:rsidRPr="00810F6B">
        <w:rPr>
          <w:rFonts w:ascii="Arial" w:hAnsi="Arial" w:cs="Arial"/>
          <w:color w:val="000000" w:themeColor="text1"/>
          <w:sz w:val="20"/>
          <w:szCs w:val="20"/>
        </w:rPr>
        <w:t xml:space="preserve"> </w:t>
      </w:r>
      <w:r w:rsidR="00E22622" w:rsidRPr="00810F6B">
        <w:rPr>
          <w:rFonts w:ascii="Arial" w:hAnsi="Arial" w:cs="Arial"/>
          <w:color w:val="000000" w:themeColor="text1"/>
          <w:sz w:val="20"/>
          <w:szCs w:val="20"/>
        </w:rPr>
        <w:t>2022</w:t>
      </w:r>
      <w:r w:rsidR="00076A89" w:rsidRPr="00810F6B">
        <w:rPr>
          <w:rFonts w:ascii="Arial" w:hAnsi="Arial" w:cs="Arial"/>
          <w:color w:val="000000" w:themeColor="text1"/>
          <w:sz w:val="20"/>
          <w:szCs w:val="20"/>
        </w:rPr>
        <w:t>, MHP’s cash and cash equivalents amounted to US$</w:t>
      </w:r>
      <w:r w:rsidR="001E5588" w:rsidRPr="00810F6B">
        <w:rPr>
          <w:rFonts w:ascii="Arial" w:hAnsi="Arial" w:cs="Arial"/>
          <w:color w:val="000000" w:themeColor="text1"/>
          <w:sz w:val="20"/>
          <w:szCs w:val="20"/>
        </w:rPr>
        <w:t xml:space="preserve"> </w:t>
      </w:r>
      <w:r w:rsidR="00DB5AAE" w:rsidRPr="00810F6B">
        <w:rPr>
          <w:rFonts w:ascii="Arial" w:hAnsi="Arial" w:cs="Arial"/>
          <w:color w:val="000000" w:themeColor="text1"/>
          <w:sz w:val="20"/>
          <w:szCs w:val="20"/>
        </w:rPr>
        <w:t>300</w:t>
      </w:r>
      <w:r w:rsidR="001E5588" w:rsidRPr="00810F6B">
        <w:rPr>
          <w:rFonts w:ascii="Arial" w:hAnsi="Arial" w:cs="Arial"/>
          <w:color w:val="000000" w:themeColor="text1"/>
          <w:sz w:val="20"/>
          <w:szCs w:val="20"/>
        </w:rPr>
        <w:t xml:space="preserve"> </w:t>
      </w:r>
      <w:r w:rsidR="00F5497D" w:rsidRPr="00810F6B">
        <w:rPr>
          <w:rFonts w:ascii="Arial" w:hAnsi="Arial" w:cs="Arial"/>
          <w:color w:val="000000" w:themeColor="text1"/>
          <w:sz w:val="20"/>
          <w:szCs w:val="20"/>
        </w:rPr>
        <w:t>m</w:t>
      </w:r>
      <w:r w:rsidR="00076A89" w:rsidRPr="00810F6B">
        <w:rPr>
          <w:rFonts w:ascii="Arial" w:hAnsi="Arial" w:cs="Arial"/>
          <w:color w:val="000000" w:themeColor="text1"/>
          <w:sz w:val="20"/>
          <w:szCs w:val="20"/>
        </w:rPr>
        <w:t xml:space="preserve">illion. Net debt </w:t>
      </w:r>
      <w:r w:rsidR="00CA6902" w:rsidRPr="00810F6B">
        <w:rPr>
          <w:rFonts w:ascii="Arial" w:hAnsi="Arial" w:cs="Arial"/>
          <w:color w:val="000000" w:themeColor="text1"/>
          <w:sz w:val="20"/>
          <w:szCs w:val="20"/>
        </w:rPr>
        <w:t xml:space="preserve">remained </w:t>
      </w:r>
      <w:r w:rsidR="00650BF3" w:rsidRPr="00810F6B">
        <w:rPr>
          <w:rFonts w:ascii="Arial" w:hAnsi="Arial" w:cs="Arial"/>
          <w:color w:val="000000" w:themeColor="text1"/>
          <w:sz w:val="20"/>
          <w:szCs w:val="20"/>
        </w:rPr>
        <w:t>broadly stable y/y</w:t>
      </w:r>
      <w:r w:rsidR="00CA6902" w:rsidRPr="00810F6B">
        <w:rPr>
          <w:rFonts w:ascii="Arial" w:hAnsi="Arial" w:cs="Arial"/>
          <w:color w:val="000000" w:themeColor="text1"/>
          <w:sz w:val="20"/>
          <w:szCs w:val="20"/>
        </w:rPr>
        <w:t xml:space="preserve"> at</w:t>
      </w:r>
      <w:r w:rsidR="00076A89" w:rsidRPr="00810F6B">
        <w:rPr>
          <w:rFonts w:ascii="Arial" w:hAnsi="Arial" w:cs="Arial"/>
          <w:color w:val="000000" w:themeColor="text1"/>
          <w:sz w:val="20"/>
          <w:szCs w:val="20"/>
        </w:rPr>
        <w:t xml:space="preserve"> </w:t>
      </w:r>
      <w:r w:rsidR="006A0F94" w:rsidRPr="00810F6B">
        <w:rPr>
          <w:rFonts w:ascii="Arial" w:hAnsi="Arial" w:cs="Arial"/>
          <w:color w:val="000000" w:themeColor="text1"/>
          <w:sz w:val="20"/>
          <w:szCs w:val="20"/>
        </w:rPr>
        <w:t>US$</w:t>
      </w:r>
      <w:r w:rsidR="001E5588" w:rsidRPr="00810F6B">
        <w:rPr>
          <w:rFonts w:ascii="Arial" w:hAnsi="Arial" w:cs="Arial"/>
          <w:color w:val="000000" w:themeColor="text1"/>
          <w:sz w:val="20"/>
          <w:szCs w:val="20"/>
        </w:rPr>
        <w:t xml:space="preserve"> </w:t>
      </w:r>
      <w:r w:rsidR="00DB5AAE" w:rsidRPr="00810F6B">
        <w:rPr>
          <w:rFonts w:ascii="Arial" w:hAnsi="Arial" w:cs="Arial"/>
          <w:color w:val="000000" w:themeColor="text1"/>
          <w:sz w:val="20"/>
          <w:szCs w:val="20"/>
        </w:rPr>
        <w:t>1,237</w:t>
      </w:r>
      <w:r w:rsidR="009736EA" w:rsidRPr="00810F6B">
        <w:rPr>
          <w:rFonts w:ascii="Arial" w:hAnsi="Arial" w:cs="Arial"/>
          <w:color w:val="000000" w:themeColor="text1"/>
          <w:sz w:val="20"/>
          <w:szCs w:val="20"/>
        </w:rPr>
        <w:t xml:space="preserve"> </w:t>
      </w:r>
      <w:r w:rsidR="00076A89" w:rsidRPr="00810F6B">
        <w:rPr>
          <w:rFonts w:ascii="Arial" w:hAnsi="Arial" w:cs="Arial"/>
          <w:color w:val="000000" w:themeColor="text1"/>
          <w:sz w:val="20"/>
          <w:szCs w:val="20"/>
        </w:rPr>
        <w:t>million</w:t>
      </w:r>
      <w:r w:rsidR="005830C0" w:rsidRPr="00810F6B">
        <w:rPr>
          <w:rFonts w:ascii="Arial" w:hAnsi="Arial" w:cs="Arial"/>
          <w:color w:val="000000" w:themeColor="text1"/>
          <w:sz w:val="20"/>
          <w:szCs w:val="20"/>
        </w:rPr>
        <w:t>, compared to US$</w:t>
      </w:r>
      <w:r w:rsidR="001E5588" w:rsidRPr="00810F6B">
        <w:rPr>
          <w:rFonts w:ascii="Arial" w:hAnsi="Arial" w:cs="Arial"/>
          <w:color w:val="000000" w:themeColor="text1"/>
          <w:sz w:val="20"/>
          <w:szCs w:val="20"/>
        </w:rPr>
        <w:t xml:space="preserve"> </w:t>
      </w:r>
      <w:r w:rsidR="00DB5AAE" w:rsidRPr="000D120B">
        <w:rPr>
          <w:rFonts w:ascii="Arial" w:hAnsi="Arial" w:cs="Arial"/>
          <w:sz w:val="20"/>
          <w:szCs w:val="20"/>
        </w:rPr>
        <w:t>1,230</w:t>
      </w:r>
      <w:r w:rsidR="001E5588" w:rsidRPr="00810F6B">
        <w:rPr>
          <w:rFonts w:ascii="Arial" w:hAnsi="Arial" w:cs="Arial"/>
          <w:color w:val="000000" w:themeColor="text1"/>
          <w:sz w:val="20"/>
          <w:szCs w:val="20"/>
        </w:rPr>
        <w:t xml:space="preserve"> </w:t>
      </w:r>
      <w:r w:rsidR="005830C0" w:rsidRPr="00810F6B">
        <w:rPr>
          <w:rFonts w:ascii="Arial" w:hAnsi="Arial" w:cs="Arial"/>
          <w:color w:val="000000" w:themeColor="text1"/>
          <w:sz w:val="20"/>
          <w:szCs w:val="20"/>
        </w:rPr>
        <w:t xml:space="preserve">million as at </w:t>
      </w:r>
      <w:r w:rsidR="00457AB1" w:rsidRPr="00810F6B">
        <w:rPr>
          <w:rFonts w:ascii="Arial" w:hAnsi="Arial" w:cs="Arial"/>
          <w:color w:val="000000" w:themeColor="text1"/>
          <w:sz w:val="20"/>
          <w:szCs w:val="20"/>
        </w:rPr>
        <w:t xml:space="preserve">31 December </w:t>
      </w:r>
      <w:r w:rsidR="00E22622" w:rsidRPr="00810F6B">
        <w:rPr>
          <w:rFonts w:ascii="Arial" w:hAnsi="Arial" w:cs="Arial"/>
          <w:color w:val="000000" w:themeColor="text1"/>
          <w:sz w:val="20"/>
          <w:szCs w:val="20"/>
        </w:rPr>
        <w:t>2021</w:t>
      </w:r>
      <w:r w:rsidR="00B913C4" w:rsidRPr="00810F6B">
        <w:rPr>
          <w:rFonts w:ascii="Arial" w:hAnsi="Arial" w:cs="Arial"/>
          <w:color w:val="000000" w:themeColor="text1"/>
          <w:sz w:val="20"/>
          <w:szCs w:val="20"/>
        </w:rPr>
        <w:t xml:space="preserve">, but </w:t>
      </w:r>
      <w:r w:rsidR="00CA6902" w:rsidRPr="00810F6B">
        <w:rPr>
          <w:rFonts w:ascii="Arial" w:hAnsi="Arial" w:cs="Arial"/>
          <w:color w:val="000000" w:themeColor="text1"/>
          <w:sz w:val="20"/>
          <w:szCs w:val="20"/>
        </w:rPr>
        <w:t>increased</w:t>
      </w:r>
      <w:r w:rsidR="00B913C4" w:rsidRPr="00810F6B">
        <w:rPr>
          <w:rFonts w:ascii="Arial" w:hAnsi="Arial" w:cs="Arial"/>
          <w:color w:val="000000" w:themeColor="text1"/>
          <w:sz w:val="20"/>
          <w:szCs w:val="20"/>
        </w:rPr>
        <w:t xml:space="preserve"> compared to US$</w:t>
      </w:r>
      <w:r w:rsidR="001E5588" w:rsidRPr="00810F6B">
        <w:rPr>
          <w:rFonts w:ascii="Arial" w:hAnsi="Arial" w:cs="Arial"/>
          <w:color w:val="000000" w:themeColor="text1"/>
          <w:sz w:val="20"/>
          <w:szCs w:val="20"/>
        </w:rPr>
        <w:t xml:space="preserve"> </w:t>
      </w:r>
      <w:r w:rsidR="00DB5AAE" w:rsidRPr="00810F6B">
        <w:rPr>
          <w:rFonts w:ascii="Arial" w:hAnsi="Arial" w:cs="Arial"/>
          <w:color w:val="000000" w:themeColor="text1"/>
          <w:sz w:val="20"/>
          <w:szCs w:val="20"/>
        </w:rPr>
        <w:t>1,186</w:t>
      </w:r>
      <w:r w:rsidR="00B913C4" w:rsidRPr="00810F6B">
        <w:rPr>
          <w:rFonts w:ascii="Arial" w:hAnsi="Arial" w:cs="Arial"/>
          <w:color w:val="000000" w:themeColor="text1"/>
          <w:sz w:val="20"/>
          <w:szCs w:val="20"/>
        </w:rPr>
        <w:t xml:space="preserve"> as at 3</w:t>
      </w:r>
      <w:r w:rsidR="00CA6902" w:rsidRPr="00810F6B">
        <w:rPr>
          <w:rFonts w:ascii="Arial" w:hAnsi="Arial" w:cs="Arial"/>
          <w:color w:val="000000" w:themeColor="text1"/>
          <w:sz w:val="20"/>
          <w:szCs w:val="20"/>
        </w:rPr>
        <w:t>0</w:t>
      </w:r>
      <w:r w:rsidR="00B913C4" w:rsidRPr="00810F6B">
        <w:rPr>
          <w:rFonts w:ascii="Arial" w:hAnsi="Arial" w:cs="Arial"/>
          <w:color w:val="000000" w:themeColor="text1"/>
          <w:sz w:val="20"/>
          <w:szCs w:val="20"/>
        </w:rPr>
        <w:t xml:space="preserve"> </w:t>
      </w:r>
      <w:r w:rsidR="00CA6902" w:rsidRPr="00810F6B">
        <w:rPr>
          <w:rFonts w:ascii="Arial" w:hAnsi="Arial" w:cs="Arial"/>
          <w:color w:val="000000" w:themeColor="text1"/>
          <w:sz w:val="20"/>
          <w:szCs w:val="20"/>
        </w:rPr>
        <w:t>September</w:t>
      </w:r>
      <w:r w:rsidR="00B913C4" w:rsidRPr="00810F6B">
        <w:rPr>
          <w:rFonts w:ascii="Arial" w:hAnsi="Arial" w:cs="Arial"/>
          <w:color w:val="000000" w:themeColor="text1"/>
          <w:sz w:val="20"/>
          <w:szCs w:val="20"/>
        </w:rPr>
        <w:t xml:space="preserve"> 202</w:t>
      </w:r>
      <w:r w:rsidR="00AE75B9" w:rsidRPr="000D120B">
        <w:rPr>
          <w:rFonts w:ascii="Arial" w:hAnsi="Arial" w:cs="Arial"/>
          <w:color w:val="000000" w:themeColor="text1"/>
          <w:sz w:val="20"/>
          <w:szCs w:val="20"/>
        </w:rPr>
        <w:t>2</w:t>
      </w:r>
      <w:r w:rsidR="00B913C4" w:rsidRPr="00810F6B">
        <w:rPr>
          <w:rFonts w:ascii="Arial" w:hAnsi="Arial" w:cs="Arial"/>
          <w:color w:val="000000" w:themeColor="text1"/>
          <w:sz w:val="20"/>
          <w:szCs w:val="20"/>
        </w:rPr>
        <w:t>.</w:t>
      </w:r>
      <w:r w:rsidR="00076A89" w:rsidRPr="00810F6B">
        <w:rPr>
          <w:rFonts w:ascii="Arial" w:hAnsi="Arial" w:cs="Arial"/>
          <w:color w:val="000000" w:themeColor="text1"/>
          <w:sz w:val="20"/>
          <w:szCs w:val="20"/>
        </w:rPr>
        <w:t xml:space="preserve"> </w:t>
      </w:r>
    </w:p>
    <w:p w14:paraId="7E17DC94" w14:textId="0F76721D" w:rsidR="00F7367F" w:rsidRDefault="00FD4C7D" w:rsidP="00F7367F">
      <w:pPr>
        <w:spacing w:after="0"/>
        <w:rPr>
          <w:rFonts w:ascii="Arial" w:hAnsi="Arial" w:cs="Arial"/>
          <w:color w:val="000000" w:themeColor="text1"/>
          <w:sz w:val="20"/>
          <w:szCs w:val="20"/>
        </w:rPr>
      </w:pPr>
      <w:r w:rsidRPr="00810F6B">
        <w:rPr>
          <w:rFonts w:ascii="Arial" w:hAnsi="Arial" w:cs="Arial"/>
          <w:color w:val="000000" w:themeColor="text1"/>
          <w:sz w:val="20"/>
          <w:szCs w:val="20"/>
        </w:rPr>
        <w:t>The Net Debt / LTM adjusted EBITDA (net of IFRS 16) ratio was</w:t>
      </w:r>
      <w:r w:rsidR="001E5588" w:rsidRPr="00810F6B">
        <w:rPr>
          <w:rFonts w:ascii="Arial" w:hAnsi="Arial" w:cs="Arial"/>
          <w:sz w:val="20"/>
          <w:szCs w:val="20"/>
        </w:rPr>
        <w:t xml:space="preserve"> </w:t>
      </w:r>
      <w:r w:rsidR="00DB5AAE" w:rsidRPr="000D120B">
        <w:rPr>
          <w:rFonts w:ascii="Arial" w:hAnsi="Arial" w:cs="Arial"/>
          <w:sz w:val="20"/>
          <w:szCs w:val="20"/>
        </w:rPr>
        <w:t>3.22</w:t>
      </w:r>
      <w:r w:rsidR="00ED55E5" w:rsidRPr="00810F6B">
        <w:rPr>
          <w:rFonts w:ascii="Arial" w:hAnsi="Arial" w:cs="Arial"/>
          <w:color w:val="000000" w:themeColor="text1"/>
          <w:sz w:val="20"/>
          <w:szCs w:val="20"/>
        </w:rPr>
        <w:t xml:space="preserve"> </w:t>
      </w:r>
      <w:r w:rsidRPr="00810F6B">
        <w:rPr>
          <w:rFonts w:ascii="Arial" w:hAnsi="Arial" w:cs="Arial"/>
          <w:color w:val="000000" w:themeColor="text1"/>
          <w:sz w:val="20"/>
          <w:szCs w:val="20"/>
        </w:rPr>
        <w:t>as of 3</w:t>
      </w:r>
      <w:r w:rsidR="00D2118D" w:rsidRPr="00810F6B">
        <w:rPr>
          <w:rFonts w:ascii="Arial" w:hAnsi="Arial" w:cs="Arial"/>
          <w:color w:val="000000" w:themeColor="text1"/>
          <w:sz w:val="20"/>
          <w:szCs w:val="20"/>
        </w:rPr>
        <w:t>1</w:t>
      </w:r>
      <w:r w:rsidRPr="00810F6B">
        <w:rPr>
          <w:rFonts w:ascii="Arial" w:hAnsi="Arial" w:cs="Arial"/>
          <w:color w:val="000000" w:themeColor="text1"/>
          <w:sz w:val="20"/>
          <w:szCs w:val="20"/>
        </w:rPr>
        <w:t xml:space="preserve"> </w:t>
      </w:r>
      <w:r w:rsidR="00D2118D" w:rsidRPr="00810F6B">
        <w:rPr>
          <w:rFonts w:ascii="Arial" w:hAnsi="Arial" w:cs="Arial"/>
          <w:color w:val="000000" w:themeColor="text1"/>
          <w:sz w:val="20"/>
          <w:szCs w:val="20"/>
        </w:rPr>
        <w:t>December</w:t>
      </w:r>
      <w:r w:rsidRPr="00810F6B">
        <w:rPr>
          <w:rFonts w:ascii="Arial" w:hAnsi="Arial" w:cs="Arial"/>
          <w:color w:val="000000" w:themeColor="text1"/>
          <w:sz w:val="20"/>
          <w:szCs w:val="20"/>
        </w:rPr>
        <w:t xml:space="preserve"> </w:t>
      </w:r>
      <w:r w:rsidR="00E22622" w:rsidRPr="00810F6B">
        <w:rPr>
          <w:rFonts w:ascii="Arial" w:hAnsi="Arial" w:cs="Arial"/>
          <w:color w:val="000000" w:themeColor="text1"/>
          <w:sz w:val="20"/>
          <w:szCs w:val="20"/>
        </w:rPr>
        <w:t>2022</w:t>
      </w:r>
      <w:r w:rsidRPr="00810F6B">
        <w:rPr>
          <w:rFonts w:ascii="Arial" w:hAnsi="Arial" w:cs="Arial"/>
          <w:color w:val="000000" w:themeColor="text1"/>
          <w:sz w:val="20"/>
          <w:szCs w:val="20"/>
        </w:rPr>
        <w:t xml:space="preserve">, </w:t>
      </w:r>
      <w:r w:rsidR="00CA6902" w:rsidRPr="00810F6B">
        <w:rPr>
          <w:rFonts w:ascii="Arial" w:hAnsi="Arial" w:cs="Arial"/>
          <w:color w:val="000000" w:themeColor="text1"/>
          <w:sz w:val="20"/>
          <w:szCs w:val="20"/>
        </w:rPr>
        <w:t>hig</w:t>
      </w:r>
      <w:r w:rsidR="00D64AD4" w:rsidRPr="00810F6B">
        <w:rPr>
          <w:rFonts w:ascii="Arial" w:hAnsi="Arial" w:cs="Arial"/>
          <w:color w:val="000000" w:themeColor="text1"/>
          <w:sz w:val="20"/>
          <w:szCs w:val="20"/>
        </w:rPr>
        <w:t>h</w:t>
      </w:r>
      <w:r w:rsidR="00CA6902" w:rsidRPr="00810F6B">
        <w:rPr>
          <w:rFonts w:ascii="Arial" w:hAnsi="Arial" w:cs="Arial"/>
          <w:color w:val="000000" w:themeColor="text1"/>
          <w:sz w:val="20"/>
          <w:szCs w:val="20"/>
        </w:rPr>
        <w:t>er</w:t>
      </w:r>
      <w:r w:rsidRPr="00810F6B">
        <w:rPr>
          <w:rFonts w:ascii="Arial" w:hAnsi="Arial" w:cs="Arial"/>
          <w:color w:val="000000" w:themeColor="text1"/>
          <w:sz w:val="20"/>
          <w:szCs w:val="20"/>
        </w:rPr>
        <w:t xml:space="preserve"> than the limit of 3.0 defined in the Eurobond agreement. </w:t>
      </w:r>
    </w:p>
    <w:p w14:paraId="4E048E83" w14:textId="77777777" w:rsidR="00F7367F" w:rsidRDefault="00F7367F" w:rsidP="00F7367F">
      <w:pPr>
        <w:spacing w:after="0"/>
        <w:rPr>
          <w:rFonts w:ascii="Arial" w:hAnsi="Arial" w:cs="Arial"/>
          <w:color w:val="000000" w:themeColor="text1"/>
          <w:sz w:val="20"/>
          <w:szCs w:val="20"/>
        </w:rPr>
      </w:pPr>
    </w:p>
    <w:p w14:paraId="61690B6D" w14:textId="1486FC4B" w:rsidR="00F7367F" w:rsidRDefault="00F7367F" w:rsidP="00F7367F">
      <w:pPr>
        <w:spacing w:after="0"/>
        <w:rPr>
          <w:rFonts w:ascii="Arial" w:eastAsia="Times New Roman" w:hAnsi="Arial" w:cs="Arial"/>
          <w:color w:val="000000" w:themeColor="text1"/>
          <w:sz w:val="20"/>
          <w:szCs w:val="20"/>
          <w:lang w:eastAsia="en-GB"/>
        </w:rPr>
      </w:pPr>
      <w:r w:rsidRPr="001F3A07">
        <w:rPr>
          <w:rFonts w:ascii="Arial" w:eastAsia="Times New Roman" w:hAnsi="Arial" w:cs="Arial"/>
          <w:color w:val="000000" w:themeColor="text1"/>
          <w:sz w:val="20"/>
          <w:szCs w:val="20"/>
          <w:lang w:eastAsia="en-GB"/>
        </w:rPr>
        <w:t xml:space="preserve">To reiterate the principles underlying its approach to balance sheet structure and funding mix, the Company remains committed to maintaining a robust liquidity position as well as sustainable debt leverage. </w:t>
      </w:r>
    </w:p>
    <w:p w14:paraId="19897B4D" w14:textId="77777777" w:rsidR="00F7367F" w:rsidRPr="001F3A07" w:rsidRDefault="00F7367F" w:rsidP="00F7367F">
      <w:pPr>
        <w:spacing w:after="0"/>
        <w:rPr>
          <w:rFonts w:ascii="Arial" w:eastAsia="Times New Roman" w:hAnsi="Arial" w:cs="Arial"/>
          <w:color w:val="000000" w:themeColor="text1"/>
          <w:sz w:val="20"/>
          <w:szCs w:val="20"/>
          <w:lang w:eastAsia="en-GB"/>
        </w:rPr>
      </w:pPr>
    </w:p>
    <w:p w14:paraId="08A340D8" w14:textId="7A90F0E9" w:rsidR="00F7367F" w:rsidDel="00A31238" w:rsidRDefault="00F7367F" w:rsidP="00F7367F">
      <w:pPr>
        <w:spacing w:after="0"/>
        <w:rPr>
          <w:rFonts w:ascii="Arial" w:eastAsia="Times New Roman" w:hAnsi="Arial" w:cs="Arial"/>
          <w:color w:val="000000" w:themeColor="text1"/>
          <w:sz w:val="20"/>
          <w:szCs w:val="20"/>
          <w:lang w:eastAsia="en-GB"/>
        </w:rPr>
      </w:pPr>
      <w:r w:rsidRPr="001F3A07">
        <w:rPr>
          <w:rFonts w:ascii="Arial" w:eastAsia="Times New Roman" w:hAnsi="Arial" w:cs="Arial"/>
          <w:color w:val="000000" w:themeColor="text1"/>
          <w:sz w:val="20"/>
          <w:szCs w:val="20"/>
          <w:lang w:eastAsia="en-GB"/>
        </w:rPr>
        <w:t xml:space="preserve">The Company’s debt management strategy extends to both its private and public debt instruments. While the Company’s bond, loan and revolving credit facilities remain largely unchanged from before the War, the Company expects to manage its debt portfolio proactively in response to evolving market conditions </w:t>
      </w:r>
      <w:r>
        <w:rPr>
          <w:rFonts w:ascii="Arial" w:eastAsia="Times New Roman" w:hAnsi="Arial" w:cs="Arial"/>
          <w:color w:val="000000" w:themeColor="text1"/>
          <w:sz w:val="20"/>
          <w:szCs w:val="20"/>
          <w:lang w:eastAsia="en-GB"/>
        </w:rPr>
        <w:t>subject to the NBU restrictions.</w:t>
      </w:r>
    </w:p>
    <w:p w14:paraId="392C028B" w14:textId="79FB55B0" w:rsidR="00FD4C7D" w:rsidRPr="00810F6B" w:rsidRDefault="00FD4C7D" w:rsidP="000C1D3E">
      <w:pPr>
        <w:spacing w:before="120" w:after="120"/>
        <w:jc w:val="both"/>
        <w:rPr>
          <w:rFonts w:ascii="Arial" w:hAnsi="Arial" w:cs="Arial"/>
          <w:color w:val="000000" w:themeColor="text1"/>
          <w:sz w:val="20"/>
          <w:szCs w:val="20"/>
        </w:rPr>
      </w:pPr>
    </w:p>
    <w:p w14:paraId="5A76E4C8" w14:textId="77777777" w:rsidR="005078EB" w:rsidRPr="001F3A07" w:rsidRDefault="005078EB" w:rsidP="005078EB">
      <w:pPr>
        <w:autoSpaceDE w:val="0"/>
        <w:spacing w:before="120" w:after="120"/>
        <w:jc w:val="both"/>
        <w:rPr>
          <w:rFonts w:ascii="Arial" w:hAnsi="Arial" w:cs="Arial"/>
          <w:b/>
          <w:bCs/>
          <w:color w:val="000000" w:themeColor="text1"/>
          <w:sz w:val="20"/>
          <w:szCs w:val="20"/>
        </w:rPr>
      </w:pPr>
      <w:bookmarkStart w:id="9" w:name="_Hlk131146074"/>
      <w:r w:rsidRPr="001F3A07">
        <w:rPr>
          <w:rFonts w:ascii="Arial" w:hAnsi="Arial" w:cs="Arial"/>
          <w:b/>
          <w:bCs/>
          <w:color w:val="000000" w:themeColor="text1"/>
          <w:sz w:val="20"/>
          <w:szCs w:val="20"/>
        </w:rPr>
        <w:t>Currency Risk</w:t>
      </w:r>
    </w:p>
    <w:p w14:paraId="022056BA" w14:textId="6D2E99F5" w:rsidR="002F55BC" w:rsidRDefault="002F55BC" w:rsidP="002F55BC">
      <w:pPr>
        <w:autoSpaceDE w:val="0"/>
        <w:spacing w:before="120" w:after="120"/>
        <w:jc w:val="both"/>
        <w:rPr>
          <w:rFonts w:ascii="Arial" w:hAnsi="Arial" w:cs="Arial"/>
          <w:color w:val="000000" w:themeColor="text1"/>
          <w:sz w:val="20"/>
          <w:szCs w:val="20"/>
        </w:rPr>
      </w:pPr>
      <w:r w:rsidRPr="00A74DDB">
        <w:rPr>
          <w:rFonts w:ascii="Arial" w:hAnsi="Arial" w:cs="Arial"/>
          <w:color w:val="000000" w:themeColor="text1"/>
          <w:sz w:val="20"/>
          <w:szCs w:val="20"/>
        </w:rPr>
        <w:t xml:space="preserve">As a hedge for currency risks, revenue from the exports of grain, sunflower and soybean oil, sunflower husks and chicken meat which, are denominated in US Dollars and Euros, are more than sufficient to cover debt service </w:t>
      </w:r>
      <w:r w:rsidRPr="00A74DDB">
        <w:rPr>
          <w:rFonts w:ascii="Arial" w:hAnsi="Arial" w:cs="Arial"/>
          <w:color w:val="000000" w:themeColor="text1"/>
          <w:sz w:val="20"/>
          <w:szCs w:val="20"/>
        </w:rPr>
        <w:lastRenderedPageBreak/>
        <w:t xml:space="preserve">expenses. Export revenue for 12M 2022 amounted to US$ </w:t>
      </w:r>
      <w:r w:rsidRPr="000D120B">
        <w:rPr>
          <w:rFonts w:ascii="Arial" w:hAnsi="Arial" w:cs="Arial"/>
          <w:sz w:val="20"/>
          <w:szCs w:val="20"/>
        </w:rPr>
        <w:t>1,601</w:t>
      </w:r>
      <w:r w:rsidRPr="00A74DDB">
        <w:rPr>
          <w:rFonts w:ascii="Arial" w:hAnsi="Arial" w:cs="Arial"/>
          <w:color w:val="000000" w:themeColor="text1"/>
          <w:sz w:val="20"/>
          <w:szCs w:val="20"/>
        </w:rPr>
        <w:t xml:space="preserve"> million or </w:t>
      </w:r>
      <w:r w:rsidRPr="000D120B">
        <w:rPr>
          <w:rFonts w:ascii="Arial" w:hAnsi="Arial" w:cs="Arial"/>
          <w:sz w:val="20"/>
          <w:szCs w:val="20"/>
        </w:rPr>
        <w:t>61%</w:t>
      </w:r>
      <w:r w:rsidRPr="00A74DDB">
        <w:rPr>
          <w:rFonts w:ascii="Arial" w:hAnsi="Arial" w:cs="Arial"/>
          <w:color w:val="000000" w:themeColor="text1"/>
          <w:sz w:val="20"/>
          <w:szCs w:val="20"/>
        </w:rPr>
        <w:t xml:space="preserve"> of total revenue (US$ </w:t>
      </w:r>
      <w:r w:rsidRPr="000D120B">
        <w:rPr>
          <w:rFonts w:ascii="Arial" w:hAnsi="Arial" w:cs="Arial"/>
          <w:sz w:val="20"/>
          <w:szCs w:val="20"/>
        </w:rPr>
        <w:t>1,265</w:t>
      </w:r>
      <w:r w:rsidRPr="00A74DDB">
        <w:rPr>
          <w:rFonts w:ascii="Arial" w:hAnsi="Arial" w:cs="Arial"/>
          <w:color w:val="000000" w:themeColor="text1"/>
          <w:sz w:val="20"/>
          <w:szCs w:val="20"/>
        </w:rPr>
        <w:t xml:space="preserve"> million or </w:t>
      </w:r>
      <w:r w:rsidRPr="000D120B">
        <w:rPr>
          <w:rFonts w:ascii="Arial" w:hAnsi="Arial" w:cs="Arial"/>
          <w:sz w:val="20"/>
          <w:szCs w:val="20"/>
        </w:rPr>
        <w:t>53%</w:t>
      </w:r>
      <w:r w:rsidRPr="00A74DDB">
        <w:rPr>
          <w:rFonts w:ascii="Arial" w:hAnsi="Arial" w:cs="Arial"/>
          <w:color w:val="000000" w:themeColor="text1"/>
          <w:sz w:val="20"/>
          <w:szCs w:val="20"/>
        </w:rPr>
        <w:t xml:space="preserve"> of total sales in 12M 2021).</w:t>
      </w:r>
    </w:p>
    <w:bookmarkEnd w:id="9"/>
    <w:p w14:paraId="5A3BF952" w14:textId="70E8BECE" w:rsidR="00E32331" w:rsidRPr="004343DD" w:rsidRDefault="00E32331" w:rsidP="000C1D3E">
      <w:pPr>
        <w:autoSpaceDE w:val="0"/>
        <w:spacing w:before="120" w:after="120"/>
        <w:jc w:val="both"/>
        <w:rPr>
          <w:rFonts w:ascii="Arial" w:hAnsi="Arial" w:cs="Arial"/>
          <w:b/>
          <w:bCs/>
          <w:color w:val="000000" w:themeColor="text1"/>
          <w:sz w:val="20"/>
          <w:szCs w:val="20"/>
        </w:rPr>
      </w:pPr>
      <w:r w:rsidRPr="004343DD">
        <w:rPr>
          <w:rFonts w:ascii="Arial" w:hAnsi="Arial" w:cs="Arial"/>
          <w:b/>
          <w:bCs/>
          <w:color w:val="000000" w:themeColor="text1"/>
          <w:sz w:val="20"/>
          <w:szCs w:val="20"/>
        </w:rPr>
        <w:t>Dividen</w:t>
      </w:r>
      <w:r>
        <w:rPr>
          <w:rFonts w:ascii="Arial" w:hAnsi="Arial" w:cs="Arial"/>
          <w:b/>
          <w:bCs/>
          <w:color w:val="000000" w:themeColor="text1"/>
          <w:sz w:val="20"/>
          <w:szCs w:val="20"/>
        </w:rPr>
        <w:t>d</w:t>
      </w:r>
      <w:r w:rsidRPr="004343DD">
        <w:rPr>
          <w:rFonts w:ascii="Arial" w:hAnsi="Arial" w:cs="Arial"/>
          <w:b/>
          <w:bCs/>
          <w:color w:val="000000" w:themeColor="text1"/>
          <w:sz w:val="20"/>
          <w:szCs w:val="20"/>
        </w:rPr>
        <w:t>s</w:t>
      </w:r>
    </w:p>
    <w:p w14:paraId="00A0DE42" w14:textId="771A4896" w:rsidR="00E32331" w:rsidRDefault="00E32331" w:rsidP="00E32331">
      <w:pPr>
        <w:pStyle w:val="bj"/>
        <w:spacing w:line="276" w:lineRule="auto"/>
        <w:rPr>
          <w:rFonts w:ascii="Arial" w:hAnsi="Arial" w:cs="Arial"/>
          <w:color w:val="000000" w:themeColor="text1"/>
          <w:sz w:val="20"/>
          <w:szCs w:val="20"/>
          <w:lang w:val="en-US"/>
        </w:rPr>
      </w:pPr>
      <w:r w:rsidRPr="0039128F">
        <w:rPr>
          <w:rFonts w:ascii="Arial" w:hAnsi="Arial" w:cs="Arial"/>
          <w:color w:val="000000" w:themeColor="text1"/>
          <w:sz w:val="20"/>
          <w:szCs w:val="20"/>
          <w:lang w:val="en-US"/>
        </w:rPr>
        <w:t>Taking into account th</w:t>
      </w:r>
      <w:r>
        <w:rPr>
          <w:rFonts w:ascii="Arial" w:hAnsi="Arial" w:cs="Arial"/>
          <w:color w:val="000000" w:themeColor="text1"/>
          <w:sz w:val="20"/>
          <w:szCs w:val="20"/>
          <w:lang w:val="en-US"/>
        </w:rPr>
        <w:t xml:space="preserve">e current risks and uncertainties following the Russian invasion of Ukraine, and the resulting need to preserve liquidity to support the Company’s ongoing business operations and to help sustain the population of the country, the Board of MHP has decided that no dividend </w:t>
      </w:r>
      <w:r w:rsidR="002F55BC">
        <w:rPr>
          <w:rFonts w:ascii="Arial" w:hAnsi="Arial" w:cs="Arial"/>
          <w:color w:val="000000" w:themeColor="text1"/>
          <w:sz w:val="20"/>
          <w:szCs w:val="20"/>
          <w:lang w:val="en-US"/>
        </w:rPr>
        <w:t xml:space="preserve">are likely to </w:t>
      </w:r>
      <w:r>
        <w:rPr>
          <w:rFonts w:ascii="Arial" w:hAnsi="Arial" w:cs="Arial"/>
          <w:color w:val="000000" w:themeColor="text1"/>
          <w:sz w:val="20"/>
          <w:szCs w:val="20"/>
          <w:lang w:val="en-US"/>
        </w:rPr>
        <w:t>be paid for</w:t>
      </w:r>
      <w:r w:rsidR="002F55BC">
        <w:rPr>
          <w:rFonts w:ascii="Arial" w:hAnsi="Arial" w:cs="Arial"/>
          <w:color w:val="000000" w:themeColor="text1"/>
          <w:sz w:val="20"/>
          <w:szCs w:val="20"/>
          <w:lang w:val="en-US"/>
        </w:rPr>
        <w:t xml:space="preserve"> as long as</w:t>
      </w:r>
      <w:r>
        <w:rPr>
          <w:rFonts w:ascii="Arial" w:hAnsi="Arial" w:cs="Arial"/>
          <w:color w:val="000000" w:themeColor="text1"/>
          <w:sz w:val="20"/>
          <w:szCs w:val="20"/>
          <w:lang w:val="en-US"/>
        </w:rPr>
        <w:t xml:space="preserve"> the </w:t>
      </w:r>
      <w:r w:rsidR="008809F5">
        <w:rPr>
          <w:rFonts w:ascii="Arial" w:hAnsi="Arial" w:cs="Arial"/>
          <w:color w:val="000000" w:themeColor="text1"/>
          <w:sz w:val="20"/>
          <w:szCs w:val="20"/>
          <w:lang w:val="en-US"/>
        </w:rPr>
        <w:t xml:space="preserve">War </w:t>
      </w:r>
      <w:r w:rsidR="002F55BC">
        <w:rPr>
          <w:rFonts w:ascii="Arial" w:hAnsi="Arial" w:cs="Arial"/>
          <w:color w:val="000000" w:themeColor="text1"/>
          <w:sz w:val="20"/>
          <w:szCs w:val="20"/>
          <w:lang w:val="en-US"/>
        </w:rPr>
        <w:t>continues</w:t>
      </w:r>
      <w:r>
        <w:rPr>
          <w:rFonts w:ascii="Arial" w:hAnsi="Arial" w:cs="Arial"/>
          <w:color w:val="000000" w:themeColor="text1"/>
          <w:sz w:val="20"/>
          <w:szCs w:val="20"/>
          <w:lang w:val="en-US"/>
        </w:rPr>
        <w:t>.</w:t>
      </w:r>
      <w:r w:rsidRPr="0039128F">
        <w:rPr>
          <w:rFonts w:ascii="Arial" w:hAnsi="Arial" w:cs="Arial"/>
          <w:color w:val="000000" w:themeColor="text1"/>
          <w:sz w:val="20"/>
          <w:szCs w:val="20"/>
          <w:lang w:val="en-US"/>
        </w:rPr>
        <w:t xml:space="preserve"> </w:t>
      </w:r>
    </w:p>
    <w:p w14:paraId="59D1A528" w14:textId="77777777" w:rsidR="00BF3EF1" w:rsidRDefault="00BF3EF1" w:rsidP="005078EB">
      <w:pPr>
        <w:autoSpaceDE w:val="0"/>
        <w:spacing w:before="120" w:after="120"/>
        <w:jc w:val="both"/>
        <w:rPr>
          <w:rFonts w:ascii="Arial" w:hAnsi="Arial" w:cs="Arial"/>
          <w:b/>
          <w:bCs/>
          <w:color w:val="000000" w:themeColor="text1"/>
          <w:sz w:val="20"/>
          <w:szCs w:val="20"/>
        </w:rPr>
      </w:pPr>
    </w:p>
    <w:p w14:paraId="4C7ED344" w14:textId="32BB62FF" w:rsidR="005078EB" w:rsidRPr="00046A1A" w:rsidRDefault="005078EB" w:rsidP="005078EB">
      <w:pPr>
        <w:autoSpaceDE w:val="0"/>
        <w:spacing w:before="120" w:after="120"/>
        <w:jc w:val="both"/>
        <w:rPr>
          <w:rFonts w:ascii="Arial" w:hAnsi="Arial" w:cs="Arial"/>
          <w:b/>
          <w:bCs/>
          <w:color w:val="000000" w:themeColor="text1"/>
          <w:sz w:val="20"/>
          <w:szCs w:val="20"/>
        </w:rPr>
      </w:pPr>
      <w:r w:rsidRPr="00046A1A">
        <w:rPr>
          <w:rFonts w:ascii="Arial" w:hAnsi="Arial" w:cs="Arial"/>
          <w:b/>
          <w:bCs/>
          <w:color w:val="000000" w:themeColor="text1"/>
          <w:sz w:val="20"/>
          <w:szCs w:val="20"/>
        </w:rPr>
        <w:t>Subsequent Events</w:t>
      </w:r>
    </w:p>
    <w:p w14:paraId="387BBCA2" w14:textId="77777777" w:rsidR="005078EB" w:rsidRPr="00046A1A" w:rsidRDefault="005078EB" w:rsidP="005078EB">
      <w:pPr>
        <w:autoSpaceDE w:val="0"/>
        <w:autoSpaceDN w:val="0"/>
        <w:adjustRightInd w:val="0"/>
        <w:spacing w:after="0" w:line="240" w:lineRule="auto"/>
        <w:rPr>
          <w:rFonts w:ascii="Arial" w:hAnsi="Arial" w:cs="Arial"/>
          <w:b/>
          <w:bCs/>
          <w:i/>
          <w:iCs/>
          <w:color w:val="000000" w:themeColor="text1"/>
          <w:sz w:val="20"/>
          <w:szCs w:val="20"/>
        </w:rPr>
      </w:pPr>
      <w:r w:rsidRPr="00046A1A">
        <w:rPr>
          <w:rFonts w:ascii="Arial" w:hAnsi="Arial" w:cs="Arial"/>
          <w:b/>
          <w:bCs/>
          <w:i/>
          <w:iCs/>
          <w:color w:val="000000" w:themeColor="text1"/>
          <w:sz w:val="20"/>
          <w:szCs w:val="20"/>
        </w:rPr>
        <w:t xml:space="preserve">Facility agreement with the </w:t>
      </w:r>
      <w:r>
        <w:rPr>
          <w:rFonts w:ascii="Arial" w:hAnsi="Arial" w:cs="Arial"/>
          <w:b/>
          <w:bCs/>
          <w:i/>
          <w:iCs/>
          <w:color w:val="000000" w:themeColor="text1"/>
          <w:sz w:val="20"/>
          <w:szCs w:val="20"/>
        </w:rPr>
        <w:t>EBRD</w:t>
      </w:r>
    </w:p>
    <w:p w14:paraId="7E006006" w14:textId="77777777" w:rsidR="005078EB" w:rsidRDefault="005078EB" w:rsidP="005078EB">
      <w:pPr>
        <w:autoSpaceDE w:val="0"/>
        <w:autoSpaceDN w:val="0"/>
        <w:adjustRightInd w:val="0"/>
        <w:spacing w:after="0" w:line="240" w:lineRule="auto"/>
        <w:jc w:val="both"/>
        <w:rPr>
          <w:rFonts w:ascii="Arial" w:eastAsia="Times New Roman" w:hAnsi="Arial" w:cs="Arial"/>
          <w:color w:val="000000" w:themeColor="text1"/>
          <w:sz w:val="20"/>
          <w:szCs w:val="20"/>
          <w:lang w:eastAsia="en-GB"/>
        </w:rPr>
      </w:pPr>
      <w:r w:rsidRPr="00046A1A">
        <w:rPr>
          <w:rFonts w:ascii="Arial" w:eastAsia="Times New Roman" w:hAnsi="Arial" w:cs="Arial"/>
          <w:color w:val="000000" w:themeColor="text1"/>
          <w:sz w:val="20"/>
          <w:szCs w:val="20"/>
          <w:lang w:eastAsia="en-GB"/>
        </w:rPr>
        <w:t>In February 2023, the Group entered into</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a facility agreement with the European</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Bank for Reconstruction and Development</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(EBRD) in the amount of US$ 100 million</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(EBRD - US$ 90 million and a third party</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lender - US$ 10 million). The loan is for the</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purposes of financing the needs of the</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Poultry and Related Operations Segment.</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It is a seasonal loan, secured by sunflower</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seeds and oil stocks, with maturity in</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August 2023, and will be used to finance</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the purchase of sunflower seeds and</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other operational expenses associated</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with production of sunflower oil and related</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products. The loan includes a number of</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covenants and other terms and conditions,</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including a requirement that the Group</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maintain certain financial ratios consistent</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with those in the Group's Eurobond</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agreements. The loan also contains a</w:t>
      </w:r>
      <w:r>
        <w:rPr>
          <w:rFonts w:ascii="Arial" w:eastAsia="Times New Roman" w:hAnsi="Arial" w:cs="Arial"/>
          <w:color w:val="000000" w:themeColor="text1"/>
          <w:sz w:val="20"/>
          <w:szCs w:val="20"/>
          <w:lang w:eastAsia="en-GB"/>
        </w:rPr>
        <w:t xml:space="preserve"> </w:t>
      </w:r>
      <w:r w:rsidRPr="00046A1A">
        <w:rPr>
          <w:rFonts w:ascii="Arial" w:eastAsia="Times New Roman" w:hAnsi="Arial" w:cs="Arial"/>
          <w:color w:val="000000" w:themeColor="text1"/>
          <w:sz w:val="20"/>
          <w:szCs w:val="20"/>
          <w:lang w:eastAsia="en-GB"/>
        </w:rPr>
        <w:t>number of reporting requirements.</w:t>
      </w:r>
    </w:p>
    <w:p w14:paraId="6F70C9D3" w14:textId="77777777" w:rsidR="005078EB" w:rsidRDefault="005078EB" w:rsidP="005078EB">
      <w:pPr>
        <w:autoSpaceDE w:val="0"/>
        <w:autoSpaceDN w:val="0"/>
        <w:adjustRightInd w:val="0"/>
        <w:spacing w:after="0" w:line="240" w:lineRule="auto"/>
        <w:jc w:val="both"/>
        <w:rPr>
          <w:rFonts w:ascii="Arial" w:eastAsia="Times New Roman" w:hAnsi="Arial" w:cs="Arial"/>
          <w:color w:val="000000" w:themeColor="text1"/>
          <w:sz w:val="20"/>
          <w:szCs w:val="20"/>
          <w:lang w:eastAsia="en-GB"/>
        </w:rPr>
      </w:pPr>
    </w:p>
    <w:p w14:paraId="54FBA966" w14:textId="77777777" w:rsidR="005078EB" w:rsidRPr="00046A1A" w:rsidRDefault="005078EB" w:rsidP="005078EB">
      <w:pPr>
        <w:autoSpaceDE w:val="0"/>
        <w:autoSpaceDN w:val="0"/>
        <w:adjustRightInd w:val="0"/>
        <w:spacing w:after="0" w:line="240" w:lineRule="auto"/>
        <w:jc w:val="both"/>
        <w:rPr>
          <w:rFonts w:ascii="Arial" w:eastAsia="Times New Roman" w:hAnsi="Arial" w:cs="Arial"/>
          <w:b/>
          <w:bCs/>
          <w:i/>
          <w:iCs/>
          <w:color w:val="000000" w:themeColor="text1"/>
          <w:sz w:val="20"/>
          <w:szCs w:val="20"/>
          <w:lang w:eastAsia="en-GB"/>
        </w:rPr>
      </w:pPr>
      <w:r w:rsidRPr="00046A1A">
        <w:rPr>
          <w:rFonts w:ascii="Arial" w:eastAsia="Times New Roman" w:hAnsi="Arial" w:cs="Arial"/>
          <w:b/>
          <w:bCs/>
          <w:i/>
          <w:iCs/>
          <w:color w:val="000000" w:themeColor="text1"/>
          <w:sz w:val="20"/>
          <w:szCs w:val="20"/>
          <w:lang w:eastAsia="en-GB"/>
        </w:rPr>
        <w:t>Appointment of a new Non-Executive Director</w:t>
      </w:r>
    </w:p>
    <w:p w14:paraId="559E90BC" w14:textId="5AB9C52C" w:rsidR="005078EB" w:rsidRDefault="005078EB" w:rsidP="005078EB">
      <w:pPr>
        <w:autoSpaceDE w:val="0"/>
        <w:autoSpaceDN w:val="0"/>
        <w:adjustRightInd w:val="0"/>
        <w:spacing w:after="0" w:line="240" w:lineRule="auto"/>
        <w:rPr>
          <w:rFonts w:ascii="Arial" w:eastAsia="Times New Roman" w:hAnsi="Arial" w:cs="Arial"/>
          <w:color w:val="000000" w:themeColor="text1"/>
          <w:sz w:val="20"/>
          <w:szCs w:val="20"/>
          <w:lang w:eastAsia="en-GB"/>
        </w:rPr>
      </w:pPr>
      <w:r w:rsidRPr="00046A1A">
        <w:rPr>
          <w:rFonts w:ascii="Arial" w:eastAsia="Times New Roman" w:hAnsi="Arial" w:cs="Arial"/>
          <w:color w:val="000000" w:themeColor="text1"/>
          <w:sz w:val="20"/>
          <w:szCs w:val="20"/>
          <w:lang w:eastAsia="en-GB"/>
        </w:rPr>
        <w:t>Mr. Oscar Chemerinski was appointed as an Independent Non-Executive Director at the EGM held on 7 March 2023.</w:t>
      </w:r>
      <w:r>
        <w:rPr>
          <w:rFonts w:ascii="Arial" w:eastAsia="Times New Roman" w:hAnsi="Arial" w:cs="Arial"/>
          <w:color w:val="000000" w:themeColor="text1"/>
          <w:sz w:val="20"/>
          <w:szCs w:val="20"/>
          <w:lang w:eastAsia="en-GB"/>
        </w:rPr>
        <w:t xml:space="preserve"> On 04 April 2023, the Board appointed Mr. Chemerinski to become a member of the Sustainability &amp; International Committee and a member of the Audit &amp; Risk Committee.</w:t>
      </w:r>
    </w:p>
    <w:p w14:paraId="23CE1A6E" w14:textId="77777777" w:rsidR="00BF3EF1" w:rsidRPr="00046A1A" w:rsidRDefault="00BF3EF1" w:rsidP="005078EB">
      <w:pPr>
        <w:autoSpaceDE w:val="0"/>
        <w:autoSpaceDN w:val="0"/>
        <w:adjustRightInd w:val="0"/>
        <w:spacing w:after="0" w:line="240" w:lineRule="auto"/>
        <w:rPr>
          <w:rFonts w:ascii="Arial" w:eastAsia="Times New Roman" w:hAnsi="Arial" w:cs="Arial"/>
          <w:color w:val="000000" w:themeColor="text1"/>
          <w:sz w:val="20"/>
          <w:szCs w:val="20"/>
          <w:lang w:eastAsia="en-GB"/>
        </w:rPr>
      </w:pPr>
    </w:p>
    <w:p w14:paraId="6AA5FF6B" w14:textId="12D28EC2" w:rsidR="00BF3EF1" w:rsidRDefault="00BF3EF1" w:rsidP="00BF3EF1">
      <w:pPr>
        <w:autoSpaceDE w:val="0"/>
        <w:spacing w:before="120" w:after="120"/>
        <w:jc w:val="both"/>
        <w:rPr>
          <w:rFonts w:ascii="Arial" w:hAnsi="Arial" w:cs="Arial"/>
          <w:b/>
          <w:bCs/>
          <w:color w:val="000000" w:themeColor="text1"/>
          <w:sz w:val="20"/>
          <w:szCs w:val="20"/>
        </w:rPr>
      </w:pPr>
      <w:r w:rsidRPr="00BF3EF1">
        <w:rPr>
          <w:rFonts w:ascii="Arial" w:hAnsi="Arial" w:cs="Arial"/>
          <w:b/>
          <w:bCs/>
          <w:color w:val="000000" w:themeColor="text1"/>
          <w:sz w:val="20"/>
          <w:szCs w:val="20"/>
        </w:rPr>
        <w:t>Outlook</w:t>
      </w:r>
    </w:p>
    <w:p w14:paraId="7D44AB9F" w14:textId="77777777" w:rsidR="00BF3EF1" w:rsidRDefault="00BF3EF1" w:rsidP="00BF3EF1">
      <w:pPr>
        <w:tabs>
          <w:tab w:val="left" w:pos="237"/>
        </w:tabs>
        <w:rPr>
          <w:rFonts w:ascii="Arial" w:hAnsi="Arial" w:cs="Arial"/>
          <w:bCs/>
          <w:sz w:val="20"/>
          <w:szCs w:val="20"/>
        </w:rPr>
      </w:pPr>
      <w:r>
        <w:rPr>
          <w:rFonts w:ascii="Arial" w:hAnsi="Arial" w:cs="Arial"/>
          <w:bCs/>
          <w:sz w:val="20"/>
          <w:szCs w:val="20"/>
        </w:rPr>
        <w:t xml:space="preserve">In Q1 2023, the Group was successful in maintaining operations at close to full capacity. </w:t>
      </w:r>
    </w:p>
    <w:p w14:paraId="4E78E759" w14:textId="77777777" w:rsidR="00BF3EF1" w:rsidRDefault="00BF3EF1" w:rsidP="00BF3EF1">
      <w:pPr>
        <w:tabs>
          <w:tab w:val="left" w:pos="237"/>
        </w:tabs>
        <w:rPr>
          <w:rFonts w:ascii="Arial" w:hAnsi="Arial" w:cs="Arial"/>
          <w:bCs/>
          <w:sz w:val="20"/>
          <w:szCs w:val="20"/>
        </w:rPr>
      </w:pPr>
      <w:r>
        <w:rPr>
          <w:rFonts w:ascii="Arial" w:hAnsi="Arial" w:cs="Arial"/>
          <w:bCs/>
          <w:sz w:val="20"/>
          <w:szCs w:val="20"/>
        </w:rPr>
        <w:t>As t</w:t>
      </w:r>
      <w:r w:rsidRPr="006E7F0D">
        <w:rPr>
          <w:rFonts w:ascii="Arial" w:hAnsi="Arial" w:cs="Arial"/>
          <w:bCs/>
          <w:sz w:val="20"/>
          <w:szCs w:val="20"/>
        </w:rPr>
        <w:t xml:space="preserve">he </w:t>
      </w:r>
      <w:r>
        <w:rPr>
          <w:rFonts w:ascii="Arial" w:hAnsi="Arial" w:cs="Arial"/>
          <w:bCs/>
          <w:sz w:val="20"/>
          <w:szCs w:val="20"/>
        </w:rPr>
        <w:t xml:space="preserve">overall </w:t>
      </w:r>
      <w:r w:rsidRPr="006E7F0D">
        <w:rPr>
          <w:rFonts w:ascii="Arial" w:hAnsi="Arial" w:cs="Arial"/>
          <w:bCs/>
          <w:sz w:val="20"/>
          <w:szCs w:val="20"/>
        </w:rPr>
        <w:t xml:space="preserve">situation </w:t>
      </w:r>
      <w:r>
        <w:rPr>
          <w:rFonts w:ascii="Arial" w:hAnsi="Arial" w:cs="Arial"/>
          <w:bCs/>
          <w:sz w:val="20"/>
          <w:szCs w:val="20"/>
        </w:rPr>
        <w:t>in Ukraine continues to be</w:t>
      </w:r>
      <w:r w:rsidRPr="006E7F0D">
        <w:rPr>
          <w:rFonts w:ascii="Arial" w:hAnsi="Arial" w:cs="Arial"/>
          <w:bCs/>
          <w:sz w:val="20"/>
          <w:szCs w:val="20"/>
        </w:rPr>
        <w:t xml:space="preserve"> fluid</w:t>
      </w:r>
      <w:r>
        <w:rPr>
          <w:rFonts w:ascii="Arial" w:hAnsi="Arial" w:cs="Arial"/>
          <w:bCs/>
          <w:sz w:val="20"/>
          <w:szCs w:val="20"/>
        </w:rPr>
        <w:t>, we are unable to provide any meaningful guidance as to the</w:t>
      </w:r>
      <w:r w:rsidRPr="006E7F0D">
        <w:rPr>
          <w:rFonts w:ascii="Arial" w:hAnsi="Arial" w:cs="Arial"/>
          <w:bCs/>
          <w:sz w:val="20"/>
          <w:szCs w:val="20"/>
        </w:rPr>
        <w:t xml:space="preserve"> outlook </w:t>
      </w:r>
      <w:r>
        <w:rPr>
          <w:rFonts w:ascii="Arial" w:hAnsi="Arial" w:cs="Arial"/>
          <w:bCs/>
          <w:sz w:val="20"/>
          <w:szCs w:val="20"/>
        </w:rPr>
        <w:t>for the Poultry segment for the 2023 full year. In the Grain growing segment, the Spring sowing campaign will start this month.  With all our land located outside war zones, we are hopeful that we will be able to harvest the same 360,000 hectares as in 2022.</w:t>
      </w:r>
    </w:p>
    <w:p w14:paraId="55624EDC" w14:textId="0F503373" w:rsidR="00CE6846" w:rsidRPr="004C7A68" w:rsidRDefault="00CE6846" w:rsidP="004343DD">
      <w:pPr>
        <w:autoSpaceDE w:val="0"/>
        <w:spacing w:before="120" w:after="120"/>
        <w:jc w:val="both"/>
        <w:rPr>
          <w:rFonts w:ascii="Arial" w:hAnsi="Arial" w:cs="Arial"/>
          <w:color w:val="000000"/>
          <w:szCs w:val="20"/>
          <w:highlight w:val="yellow"/>
        </w:rPr>
      </w:pPr>
    </w:p>
    <w:p w14:paraId="61F2EE74" w14:textId="2AE8C43F" w:rsidR="007C1A10" w:rsidRPr="004343DD" w:rsidRDefault="007C1A10" w:rsidP="000C1D3E">
      <w:pPr>
        <w:pStyle w:val="ab"/>
        <w:suppressAutoHyphens w:val="0"/>
        <w:spacing w:after="0" w:line="276" w:lineRule="auto"/>
        <w:jc w:val="both"/>
        <w:rPr>
          <w:rFonts w:ascii="Arial" w:hAnsi="Arial" w:cs="Arial"/>
          <w:b/>
          <w:bCs/>
          <w:spacing w:val="-5"/>
          <w:szCs w:val="20"/>
          <w:lang w:eastAsia="en-US"/>
        </w:rPr>
      </w:pPr>
      <w:r w:rsidRPr="004343DD">
        <w:rPr>
          <w:rFonts w:ascii="Arial" w:hAnsi="Arial" w:cs="Arial"/>
          <w:b/>
          <w:bCs/>
          <w:spacing w:val="-5"/>
          <w:szCs w:val="20"/>
          <w:lang w:eastAsia="en-US"/>
        </w:rPr>
        <w:t>Notes to Editors:</w:t>
      </w:r>
    </w:p>
    <w:p w14:paraId="3FB2B859" w14:textId="77777777" w:rsidR="007C1A10" w:rsidRPr="004343DD" w:rsidRDefault="007C1A10" w:rsidP="000C1D3E">
      <w:pPr>
        <w:spacing w:after="0" w:line="240" w:lineRule="auto"/>
        <w:jc w:val="both"/>
        <w:outlineLvl w:val="0"/>
        <w:rPr>
          <w:rFonts w:ascii="Arial" w:hAnsi="Arial" w:cs="Arial"/>
          <w:b/>
          <w:bCs/>
          <w:spacing w:val="-2"/>
          <w:sz w:val="20"/>
          <w:szCs w:val="20"/>
        </w:rPr>
      </w:pPr>
    </w:p>
    <w:p w14:paraId="465710DD" w14:textId="77777777" w:rsidR="007C1A10" w:rsidRPr="004343DD" w:rsidRDefault="007C1A10" w:rsidP="000C1D3E">
      <w:pPr>
        <w:spacing w:line="240" w:lineRule="auto"/>
        <w:jc w:val="both"/>
        <w:outlineLvl w:val="0"/>
        <w:rPr>
          <w:rFonts w:ascii="Arial" w:hAnsi="Arial" w:cs="Arial"/>
          <w:b/>
          <w:bCs/>
          <w:spacing w:val="-2"/>
          <w:sz w:val="20"/>
          <w:szCs w:val="20"/>
        </w:rPr>
      </w:pPr>
      <w:r w:rsidRPr="004343DD">
        <w:rPr>
          <w:rFonts w:ascii="Arial" w:hAnsi="Arial" w:cs="Arial"/>
          <w:b/>
          <w:bCs/>
          <w:spacing w:val="-2"/>
          <w:sz w:val="20"/>
          <w:szCs w:val="20"/>
        </w:rPr>
        <w:t>About MHP</w:t>
      </w:r>
    </w:p>
    <w:p w14:paraId="129E6AF0" w14:textId="77777777" w:rsidR="00B2414F" w:rsidRDefault="00B2414F" w:rsidP="00B2414F">
      <w:pPr>
        <w:spacing w:after="0" w:line="240" w:lineRule="auto"/>
        <w:jc w:val="both"/>
        <w:outlineLvl w:val="0"/>
        <w:rPr>
          <w:rFonts w:ascii="Arial" w:hAnsi="Arial" w:cs="Arial"/>
          <w:bCs/>
          <w:spacing w:val="-2"/>
          <w:sz w:val="20"/>
          <w:szCs w:val="20"/>
        </w:rPr>
      </w:pPr>
      <w:r w:rsidRPr="00923162">
        <w:rPr>
          <w:rFonts w:ascii="Arial" w:hAnsi="Arial" w:cs="Arial"/>
          <w:bCs/>
          <w:spacing w:val="-2"/>
          <w:sz w:val="20"/>
          <w:szCs w:val="20"/>
        </w:rPr>
        <w:t xml:space="preserve">MHP SE is </w:t>
      </w:r>
      <w:r w:rsidRPr="00923162">
        <w:rPr>
          <w:rFonts w:ascii="Arial" w:hAnsi="Arial" w:cs="Arial"/>
          <w:sz w:val="20"/>
          <w:szCs w:val="20"/>
        </w:rPr>
        <w:t xml:space="preserve">the parent company of a leading international food &amp; </w:t>
      </w:r>
      <w:proofErr w:type="spellStart"/>
      <w:r w:rsidRPr="00923162">
        <w:rPr>
          <w:rFonts w:ascii="Arial" w:hAnsi="Arial" w:cs="Arial"/>
          <w:sz w:val="20"/>
          <w:szCs w:val="20"/>
        </w:rPr>
        <w:t>agrotech</w:t>
      </w:r>
      <w:proofErr w:type="spellEnd"/>
      <w:r w:rsidRPr="00923162">
        <w:rPr>
          <w:rFonts w:ascii="Arial" w:hAnsi="Arial" w:cs="Arial"/>
          <w:sz w:val="20"/>
          <w:szCs w:val="20"/>
        </w:rPr>
        <w:t xml:space="preserve"> group with headquarters in Ukraine and</w:t>
      </w:r>
      <w:r w:rsidRPr="00923162">
        <w:rPr>
          <w:rFonts w:ascii="Arial" w:hAnsi="Arial" w:cs="Arial"/>
          <w:bCs/>
          <w:spacing w:val="-2"/>
          <w:sz w:val="20"/>
          <w:szCs w:val="20"/>
        </w:rPr>
        <w:t xml:space="preserve"> also in the Balkans (</w:t>
      </w:r>
      <w:proofErr w:type="spellStart"/>
      <w:r w:rsidRPr="00923162">
        <w:rPr>
          <w:rFonts w:ascii="Arial" w:hAnsi="Arial" w:cs="Arial"/>
          <w:bCs/>
          <w:spacing w:val="-2"/>
          <w:sz w:val="20"/>
          <w:szCs w:val="20"/>
        </w:rPr>
        <w:t>Perutnina</w:t>
      </w:r>
      <w:proofErr w:type="spellEnd"/>
      <w:r w:rsidRPr="00923162">
        <w:rPr>
          <w:rFonts w:ascii="Arial" w:hAnsi="Arial" w:cs="Arial"/>
          <w:bCs/>
          <w:spacing w:val="-2"/>
          <w:sz w:val="20"/>
          <w:szCs w:val="20"/>
        </w:rPr>
        <w:t xml:space="preserve"> </w:t>
      </w:r>
      <w:proofErr w:type="spellStart"/>
      <w:r w:rsidRPr="00923162">
        <w:rPr>
          <w:rFonts w:ascii="Arial" w:hAnsi="Arial" w:cs="Arial"/>
          <w:bCs/>
          <w:spacing w:val="-2"/>
          <w:sz w:val="20"/>
          <w:szCs w:val="20"/>
        </w:rPr>
        <w:t>Ptuj</w:t>
      </w:r>
      <w:proofErr w:type="spellEnd"/>
      <w:r w:rsidRPr="00923162">
        <w:rPr>
          <w:rFonts w:ascii="Arial" w:hAnsi="Arial" w:cs="Arial"/>
          <w:bCs/>
          <w:spacing w:val="-2"/>
          <w:sz w:val="20"/>
          <w:szCs w:val="20"/>
        </w:rPr>
        <w:t xml:space="preserve"> Group). </w:t>
      </w:r>
    </w:p>
    <w:p w14:paraId="627945C3" w14:textId="77777777" w:rsidR="00B2414F" w:rsidRPr="00923162" w:rsidRDefault="00B2414F" w:rsidP="00B2414F">
      <w:pPr>
        <w:spacing w:after="0" w:line="240" w:lineRule="auto"/>
        <w:jc w:val="both"/>
        <w:outlineLvl w:val="0"/>
        <w:rPr>
          <w:rFonts w:ascii="Arial" w:hAnsi="Arial" w:cs="Arial"/>
          <w:bCs/>
          <w:spacing w:val="-2"/>
          <w:sz w:val="20"/>
          <w:szCs w:val="20"/>
        </w:rPr>
      </w:pPr>
    </w:p>
    <w:p w14:paraId="61763C1B" w14:textId="77777777" w:rsidR="00B2414F" w:rsidRPr="00923162" w:rsidRDefault="00B2414F" w:rsidP="00B2414F">
      <w:pPr>
        <w:spacing w:after="0" w:line="240" w:lineRule="auto"/>
        <w:jc w:val="both"/>
        <w:outlineLvl w:val="0"/>
        <w:rPr>
          <w:rFonts w:ascii="Arial" w:hAnsi="Arial" w:cs="Arial"/>
          <w:bCs/>
          <w:spacing w:val="-2"/>
          <w:sz w:val="20"/>
          <w:szCs w:val="20"/>
        </w:rPr>
      </w:pPr>
      <w:r w:rsidRPr="00C62C74">
        <w:rPr>
          <w:rFonts w:ascii="Arial" w:hAnsi="Arial" w:cs="Arial"/>
          <w:b/>
          <w:spacing w:val="-2"/>
          <w:sz w:val="20"/>
          <w:szCs w:val="20"/>
        </w:rPr>
        <w:t>Ukraine:</w:t>
      </w:r>
      <w:r w:rsidRPr="00923162">
        <w:rPr>
          <w:rFonts w:ascii="Arial" w:hAnsi="Arial" w:cs="Arial"/>
          <w:bCs/>
          <w:spacing w:val="-2"/>
          <w:sz w:val="20"/>
          <w:szCs w:val="20"/>
        </w:rPr>
        <w:t xml:space="preserve"> MHP has the greatest market share and the highest brand recognition for its products. MHP owns and operates each of the key stages of chicken production processes, from feed grains and fodder production to egg hatching and grow out to processing, marketing, distribution and sales (including through MHP's franchise outlets). Vertical integration reduces MHP's dependence on suppliers and its exposure to increases in raw material prices. In addition to cost efficiency, vertical integration also allows MHP to maintain strict biosecurity and to control the quality of its inputs and the resulting quality and consistency of its products through to the point of sale. To support its sales, MHP maintains a distribution network consisting of nine distribution and logistical centers, within major Ukrainian cities. MHP uses its trucks for the distribution of its products, which Management believes reduces overall transportation costs and delivery times.</w:t>
      </w:r>
    </w:p>
    <w:p w14:paraId="0FECB1BA" w14:textId="77777777" w:rsidR="00B2414F" w:rsidRDefault="00B2414F" w:rsidP="00B2414F">
      <w:pPr>
        <w:spacing w:after="0" w:line="240" w:lineRule="auto"/>
        <w:jc w:val="both"/>
        <w:outlineLvl w:val="0"/>
        <w:rPr>
          <w:rFonts w:ascii="Arial" w:hAnsi="Arial" w:cs="Arial"/>
          <w:bCs/>
          <w:spacing w:val="-2"/>
          <w:sz w:val="20"/>
          <w:szCs w:val="20"/>
        </w:rPr>
      </w:pPr>
      <w:r w:rsidRPr="00923162">
        <w:rPr>
          <w:rFonts w:ascii="Arial" w:hAnsi="Arial" w:cs="Arial"/>
          <w:bCs/>
          <w:spacing w:val="-2"/>
          <w:sz w:val="20"/>
          <w:szCs w:val="20"/>
        </w:rPr>
        <w:t>MHP also has a leading grain cultivation business growing corn to support the vertical integration of its chicken production and increasingly other grains, such as wheat and rape, for sale to third parties. MHP leases agricultural land located primarily in the highly fertile black soil regions of Ukraine.</w:t>
      </w:r>
    </w:p>
    <w:p w14:paraId="066ADEDA" w14:textId="77777777" w:rsidR="00B2414F" w:rsidRPr="00923162" w:rsidRDefault="00B2414F" w:rsidP="00B2414F">
      <w:pPr>
        <w:spacing w:after="0" w:line="240" w:lineRule="auto"/>
        <w:jc w:val="both"/>
        <w:outlineLvl w:val="0"/>
        <w:rPr>
          <w:rFonts w:ascii="Arial" w:hAnsi="Arial" w:cs="Arial"/>
          <w:bCs/>
          <w:spacing w:val="-2"/>
          <w:sz w:val="20"/>
          <w:szCs w:val="20"/>
        </w:rPr>
      </w:pPr>
    </w:p>
    <w:p w14:paraId="4CF4001A" w14:textId="77777777" w:rsidR="00B2414F" w:rsidRPr="00923162" w:rsidRDefault="00B2414F" w:rsidP="00B2414F">
      <w:pPr>
        <w:spacing w:after="0" w:line="240" w:lineRule="auto"/>
        <w:jc w:val="both"/>
        <w:outlineLvl w:val="0"/>
        <w:rPr>
          <w:rFonts w:ascii="Arial" w:hAnsi="Arial" w:cs="Arial"/>
          <w:bCs/>
          <w:spacing w:val="-2"/>
          <w:sz w:val="20"/>
          <w:szCs w:val="20"/>
        </w:rPr>
      </w:pPr>
      <w:r w:rsidRPr="00C62C74">
        <w:rPr>
          <w:rFonts w:ascii="Arial" w:hAnsi="Arial" w:cs="Arial"/>
          <w:b/>
          <w:spacing w:val="-2"/>
          <w:sz w:val="20"/>
          <w:szCs w:val="20"/>
        </w:rPr>
        <w:t>The Balkans:</w:t>
      </w:r>
      <w:r w:rsidRPr="00923162">
        <w:rPr>
          <w:rFonts w:ascii="Arial" w:hAnsi="Arial" w:cs="Arial"/>
          <w:bCs/>
          <w:spacing w:val="-2"/>
          <w:sz w:val="20"/>
          <w:szCs w:val="20"/>
        </w:rPr>
        <w:t xml:space="preserve"> </w:t>
      </w:r>
      <w:proofErr w:type="spellStart"/>
      <w:r w:rsidRPr="00923162">
        <w:rPr>
          <w:rFonts w:ascii="Arial" w:hAnsi="Arial" w:cs="Arial"/>
          <w:bCs/>
          <w:spacing w:val="-2"/>
          <w:sz w:val="20"/>
          <w:szCs w:val="20"/>
        </w:rPr>
        <w:t>Perutnina</w:t>
      </w:r>
      <w:proofErr w:type="spellEnd"/>
      <w:r w:rsidRPr="00923162">
        <w:rPr>
          <w:rFonts w:ascii="Arial" w:hAnsi="Arial" w:cs="Arial"/>
          <w:bCs/>
          <w:spacing w:val="-2"/>
          <w:sz w:val="20"/>
          <w:szCs w:val="20"/>
        </w:rPr>
        <w:t xml:space="preserve"> </w:t>
      </w:r>
      <w:proofErr w:type="spellStart"/>
      <w:r w:rsidRPr="00923162">
        <w:rPr>
          <w:rFonts w:ascii="Arial" w:hAnsi="Arial" w:cs="Arial"/>
          <w:bCs/>
          <w:spacing w:val="-2"/>
          <w:sz w:val="20"/>
          <w:szCs w:val="20"/>
        </w:rPr>
        <w:t>Ptuj</w:t>
      </w:r>
      <w:proofErr w:type="spellEnd"/>
      <w:r w:rsidRPr="00923162">
        <w:rPr>
          <w:rFonts w:ascii="Arial" w:hAnsi="Arial" w:cs="Arial"/>
          <w:bCs/>
          <w:spacing w:val="-2"/>
          <w:sz w:val="20"/>
          <w:szCs w:val="20"/>
        </w:rPr>
        <w:t xml:space="preserve"> is a leading poultry and meat-processing producer in the Balkans, has production assets in four Balkan countries: Slovenia, Croatia, Serbia, Bosnia and Herzegovina; owns distribution companies in Austria, Macedonia and Romania and supply products to 15 countries in Europe. </w:t>
      </w:r>
      <w:proofErr w:type="spellStart"/>
      <w:r w:rsidRPr="00923162">
        <w:rPr>
          <w:rFonts w:ascii="Arial" w:hAnsi="Arial" w:cs="Arial"/>
          <w:bCs/>
          <w:spacing w:val="-2"/>
          <w:sz w:val="20"/>
          <w:szCs w:val="20"/>
        </w:rPr>
        <w:t>Perutnina</w:t>
      </w:r>
      <w:proofErr w:type="spellEnd"/>
      <w:r w:rsidRPr="00923162">
        <w:rPr>
          <w:rFonts w:ascii="Arial" w:hAnsi="Arial" w:cs="Arial"/>
          <w:bCs/>
          <w:spacing w:val="-2"/>
          <w:sz w:val="20"/>
          <w:szCs w:val="20"/>
        </w:rPr>
        <w:t xml:space="preserve"> </w:t>
      </w:r>
      <w:proofErr w:type="spellStart"/>
      <w:r w:rsidRPr="00923162">
        <w:rPr>
          <w:rFonts w:ascii="Arial" w:hAnsi="Arial" w:cs="Arial"/>
          <w:bCs/>
          <w:spacing w:val="-2"/>
          <w:sz w:val="20"/>
          <w:szCs w:val="20"/>
        </w:rPr>
        <w:t>Ptuj</w:t>
      </w:r>
      <w:proofErr w:type="spellEnd"/>
      <w:r w:rsidRPr="00923162">
        <w:rPr>
          <w:rFonts w:ascii="Arial" w:hAnsi="Arial" w:cs="Arial"/>
          <w:bCs/>
          <w:spacing w:val="-2"/>
          <w:sz w:val="20"/>
          <w:szCs w:val="20"/>
        </w:rPr>
        <w:t xml:space="preserve"> is a vertically integrated company across all states of chicken meat production - feed, hatching eggs production and hatching, breeding, slaughtering, sausages and further poultry processing production.</w:t>
      </w:r>
    </w:p>
    <w:p w14:paraId="47B4B40C" w14:textId="77777777" w:rsidR="00B2414F" w:rsidRPr="00923162" w:rsidRDefault="00B2414F" w:rsidP="00B2414F">
      <w:pPr>
        <w:pStyle w:val="bj"/>
        <w:spacing w:line="276" w:lineRule="auto"/>
        <w:rPr>
          <w:rFonts w:ascii="Arial" w:hAnsi="Arial" w:cs="Arial"/>
          <w:bCs/>
          <w:spacing w:val="-2"/>
          <w:sz w:val="20"/>
          <w:szCs w:val="20"/>
          <w:lang w:val="en-US"/>
        </w:rPr>
      </w:pPr>
      <w:r w:rsidRPr="00923162">
        <w:rPr>
          <w:rFonts w:ascii="Arial" w:hAnsi="Arial" w:cs="Arial"/>
          <w:bCs/>
          <w:spacing w:val="-2"/>
          <w:sz w:val="20"/>
          <w:szCs w:val="20"/>
          <w:lang w:val="en-US"/>
        </w:rPr>
        <w:lastRenderedPageBreak/>
        <w:t>MHP trades on the London Stock Exchange under the ticker symbol MHPC</w:t>
      </w:r>
      <w:r>
        <w:rPr>
          <w:rFonts w:ascii="Arial" w:hAnsi="Arial" w:cs="Arial"/>
          <w:bCs/>
          <w:spacing w:val="-2"/>
          <w:sz w:val="20"/>
          <w:szCs w:val="20"/>
          <w:lang w:val="en-US"/>
        </w:rPr>
        <w:t xml:space="preserve"> since 2008</w:t>
      </w:r>
      <w:r w:rsidRPr="00923162">
        <w:rPr>
          <w:rFonts w:ascii="Arial" w:hAnsi="Arial" w:cs="Arial"/>
          <w:bCs/>
          <w:spacing w:val="-2"/>
          <w:sz w:val="20"/>
          <w:szCs w:val="20"/>
          <w:lang w:val="en-US"/>
        </w:rPr>
        <w:t>.</w:t>
      </w:r>
    </w:p>
    <w:p w14:paraId="6C3EA37D" w14:textId="77777777" w:rsidR="00E41DEF" w:rsidRPr="004C7A68" w:rsidRDefault="00E41DEF" w:rsidP="000C1D3E">
      <w:pPr>
        <w:pStyle w:val="bj"/>
        <w:spacing w:line="276" w:lineRule="auto"/>
        <w:rPr>
          <w:rFonts w:ascii="Arial" w:hAnsi="Arial" w:cs="Arial"/>
          <w:sz w:val="20"/>
          <w:szCs w:val="20"/>
          <w:highlight w:val="yellow"/>
          <w:lang w:val="en-US"/>
        </w:rPr>
      </w:pPr>
    </w:p>
    <w:p w14:paraId="553C8654" w14:textId="77777777" w:rsidR="007C1A10" w:rsidRPr="004343DD" w:rsidRDefault="007C1A10" w:rsidP="000C1D3E">
      <w:pPr>
        <w:pStyle w:val="f"/>
        <w:spacing w:line="276" w:lineRule="auto"/>
        <w:jc w:val="both"/>
        <w:rPr>
          <w:rFonts w:ascii="Arial" w:hAnsi="Arial" w:cs="Arial"/>
          <w:color w:val="auto"/>
          <w:sz w:val="20"/>
          <w:szCs w:val="20"/>
          <w:lang w:val="en-US"/>
        </w:rPr>
      </w:pPr>
      <w:r w:rsidRPr="004343DD">
        <w:rPr>
          <w:rStyle w:val="as"/>
          <w:b/>
          <w:bCs/>
          <w:color w:val="auto"/>
          <w:sz w:val="20"/>
          <w:szCs w:val="20"/>
          <w:lang w:val="en-US"/>
        </w:rPr>
        <w:t>Forward-Looking Statements</w:t>
      </w:r>
    </w:p>
    <w:p w14:paraId="1D21C476" w14:textId="503E6AEE" w:rsidR="00AA40AC" w:rsidRPr="00C66EF6" w:rsidRDefault="00B2414F" w:rsidP="004343DD">
      <w:pPr>
        <w:pStyle w:val="f"/>
        <w:jc w:val="both"/>
        <w:rPr>
          <w:rFonts w:ascii="Arial" w:hAnsi="Arial" w:cs="Arial"/>
          <w:sz w:val="20"/>
          <w:szCs w:val="20"/>
        </w:rPr>
      </w:pPr>
      <w:r w:rsidRPr="00923162">
        <w:rPr>
          <w:rStyle w:val="as"/>
          <w:color w:val="auto"/>
          <w:sz w:val="20"/>
          <w:szCs w:val="20"/>
        </w:rPr>
        <w:t>This press release might contain forward-looking statements that refer to future events or forecast financial indicators for MHP SE. Such statements do not guarantee that these are actions to be taken by MHP SE in the future, and estimates can be inaccurate and uncertain. Actual final indicators and results can considerably differ from those declared in any forward-looking statements. MHP SE does not intend to change</w:t>
      </w:r>
      <w:r w:rsidRPr="007067E8">
        <w:rPr>
          <w:rStyle w:val="as"/>
          <w:color w:val="auto"/>
          <w:sz w:val="20"/>
          <w:szCs w:val="20"/>
        </w:rPr>
        <w:t xml:space="preserve"> these statements to reflect actual results</w:t>
      </w:r>
      <w:r w:rsidRPr="007067E8">
        <w:rPr>
          <w:rStyle w:val="t"/>
          <w:rFonts w:eastAsia="Calibri"/>
          <w:color w:val="auto"/>
        </w:rPr>
        <w:t>.</w:t>
      </w:r>
    </w:p>
    <w:sectPr w:rsidR="00AA40AC" w:rsidRPr="00C66EF6" w:rsidSect="00B008E9">
      <w:pgSz w:w="11906" w:h="16838"/>
      <w:pgMar w:top="1134" w:right="850"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D340" w14:textId="77777777" w:rsidR="004A1B96" w:rsidRDefault="004A1B96" w:rsidP="00E63B82">
      <w:pPr>
        <w:spacing w:after="0" w:line="240" w:lineRule="auto"/>
      </w:pPr>
      <w:r>
        <w:separator/>
      </w:r>
    </w:p>
  </w:endnote>
  <w:endnote w:type="continuationSeparator" w:id="0">
    <w:p w14:paraId="1A5A510A" w14:textId="77777777" w:rsidR="004A1B96" w:rsidRDefault="004A1B96" w:rsidP="00E6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YInterstate">
    <w:altName w:val="Corbel"/>
    <w:charset w:val="A1"/>
    <w:family w:val="auto"/>
    <w:pitch w:val="variable"/>
    <w:sig w:usb0="800002AF" w:usb1="5000204A"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992782"/>
      <w:docPartObj>
        <w:docPartGallery w:val="Page Numbers (Bottom of Page)"/>
        <w:docPartUnique/>
      </w:docPartObj>
    </w:sdtPr>
    <w:sdtEndPr>
      <w:rPr>
        <w:rFonts w:ascii="Arial" w:hAnsi="Arial" w:cs="Arial"/>
        <w:sz w:val="20"/>
        <w:szCs w:val="20"/>
      </w:rPr>
    </w:sdtEndPr>
    <w:sdtContent>
      <w:p w14:paraId="6BB65C29" w14:textId="0D00EAD8" w:rsidR="006C6539" w:rsidRPr="0037054A" w:rsidRDefault="006C6539" w:rsidP="0037054A">
        <w:pPr>
          <w:pStyle w:val="af0"/>
          <w:jc w:val="right"/>
          <w:rPr>
            <w:rFonts w:ascii="Arial" w:hAnsi="Arial" w:cs="Arial"/>
            <w:sz w:val="20"/>
            <w:szCs w:val="20"/>
          </w:rPr>
        </w:pPr>
        <w:r w:rsidRPr="0037054A">
          <w:rPr>
            <w:rFonts w:ascii="Arial" w:hAnsi="Arial" w:cs="Arial"/>
            <w:sz w:val="20"/>
            <w:szCs w:val="20"/>
          </w:rPr>
          <w:fldChar w:fldCharType="begin"/>
        </w:r>
        <w:r w:rsidRPr="0037054A">
          <w:rPr>
            <w:rFonts w:ascii="Arial" w:hAnsi="Arial" w:cs="Arial"/>
            <w:sz w:val="20"/>
            <w:szCs w:val="20"/>
          </w:rPr>
          <w:instrText>PAGE   \* MERGEFORMAT</w:instrText>
        </w:r>
        <w:r w:rsidRPr="0037054A">
          <w:rPr>
            <w:rFonts w:ascii="Arial" w:hAnsi="Arial" w:cs="Arial"/>
            <w:sz w:val="20"/>
            <w:szCs w:val="20"/>
          </w:rPr>
          <w:fldChar w:fldCharType="separate"/>
        </w:r>
        <w:r w:rsidR="007A1370">
          <w:rPr>
            <w:rFonts w:ascii="Arial" w:hAnsi="Arial" w:cs="Arial"/>
            <w:noProof/>
            <w:sz w:val="20"/>
            <w:szCs w:val="20"/>
          </w:rPr>
          <w:t>2</w:t>
        </w:r>
        <w:r w:rsidRPr="0037054A">
          <w:rPr>
            <w:rFonts w:ascii="Arial" w:hAnsi="Arial" w:cs="Arial"/>
            <w:sz w:val="20"/>
            <w:szCs w:val="20"/>
          </w:rPr>
          <w:fldChar w:fldCharType="end"/>
        </w:r>
      </w:p>
    </w:sdtContent>
  </w:sdt>
  <w:p w14:paraId="4DFA73CD" w14:textId="77777777" w:rsidR="006C6539" w:rsidRDefault="006C653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9A7F" w14:textId="77777777" w:rsidR="006C6539" w:rsidRDefault="006C653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97766"/>
      <w:docPartObj>
        <w:docPartGallery w:val="Page Numbers (Bottom of Page)"/>
        <w:docPartUnique/>
      </w:docPartObj>
    </w:sdtPr>
    <w:sdtEndPr>
      <w:rPr>
        <w:rFonts w:ascii="Arial" w:hAnsi="Arial" w:cs="Arial"/>
        <w:sz w:val="20"/>
        <w:szCs w:val="20"/>
      </w:rPr>
    </w:sdtEndPr>
    <w:sdtContent>
      <w:p w14:paraId="70D7A3E8" w14:textId="6730FD47" w:rsidR="006C6539" w:rsidRPr="0037054A" w:rsidRDefault="006C6539" w:rsidP="0037054A">
        <w:pPr>
          <w:pStyle w:val="af0"/>
          <w:jc w:val="right"/>
          <w:rPr>
            <w:rFonts w:ascii="Arial" w:hAnsi="Arial" w:cs="Arial"/>
            <w:sz w:val="20"/>
            <w:szCs w:val="20"/>
          </w:rPr>
        </w:pPr>
        <w:r w:rsidRPr="0037054A">
          <w:rPr>
            <w:rFonts w:ascii="Arial" w:hAnsi="Arial" w:cs="Arial"/>
            <w:sz w:val="20"/>
            <w:szCs w:val="20"/>
          </w:rPr>
          <w:fldChar w:fldCharType="begin"/>
        </w:r>
        <w:r w:rsidRPr="0037054A">
          <w:rPr>
            <w:rFonts w:ascii="Arial" w:hAnsi="Arial" w:cs="Arial"/>
            <w:sz w:val="20"/>
            <w:szCs w:val="20"/>
          </w:rPr>
          <w:instrText>PAGE   \* MERGEFORMAT</w:instrText>
        </w:r>
        <w:r w:rsidRPr="0037054A">
          <w:rPr>
            <w:rFonts w:ascii="Arial" w:hAnsi="Arial" w:cs="Arial"/>
            <w:sz w:val="20"/>
            <w:szCs w:val="20"/>
          </w:rPr>
          <w:fldChar w:fldCharType="separate"/>
        </w:r>
        <w:r w:rsidR="007A1370">
          <w:rPr>
            <w:rFonts w:ascii="Arial" w:hAnsi="Arial" w:cs="Arial"/>
            <w:noProof/>
            <w:sz w:val="20"/>
            <w:szCs w:val="20"/>
          </w:rPr>
          <w:t>8</w:t>
        </w:r>
        <w:r w:rsidRPr="0037054A">
          <w:rPr>
            <w:rFonts w:ascii="Arial" w:hAnsi="Arial" w:cs="Arial"/>
            <w:sz w:val="20"/>
            <w:szCs w:val="20"/>
          </w:rPr>
          <w:fldChar w:fldCharType="end"/>
        </w:r>
      </w:p>
    </w:sdtContent>
  </w:sdt>
  <w:p w14:paraId="1BB7F352" w14:textId="77777777" w:rsidR="006C6539" w:rsidRDefault="006C6539">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2FDC" w14:textId="77777777" w:rsidR="006C6539" w:rsidRDefault="006C653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BBCD" w14:textId="77777777" w:rsidR="004A1B96" w:rsidRDefault="004A1B96" w:rsidP="00E63B82">
      <w:pPr>
        <w:spacing w:after="0" w:line="240" w:lineRule="auto"/>
      </w:pPr>
      <w:r>
        <w:separator/>
      </w:r>
    </w:p>
  </w:footnote>
  <w:footnote w:type="continuationSeparator" w:id="0">
    <w:p w14:paraId="171E6239" w14:textId="77777777" w:rsidR="004A1B96" w:rsidRDefault="004A1B96" w:rsidP="00E6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6FD3" w14:textId="77777777" w:rsidR="006C6539" w:rsidRDefault="006C653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E363" w14:textId="64A1C347" w:rsidR="006C6539" w:rsidRDefault="006C653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36E5" w14:textId="77777777" w:rsidR="006C6539" w:rsidRDefault="006C653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313"/>
    <w:multiLevelType w:val="hybridMultilevel"/>
    <w:tmpl w:val="0148A5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DB1EF3"/>
    <w:multiLevelType w:val="hybridMultilevel"/>
    <w:tmpl w:val="1B84E7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F5B227A"/>
    <w:multiLevelType w:val="hybridMultilevel"/>
    <w:tmpl w:val="C456A4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6F677CD"/>
    <w:multiLevelType w:val="hybridMultilevel"/>
    <w:tmpl w:val="8BCCA4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393258"/>
    <w:multiLevelType w:val="hybridMultilevel"/>
    <w:tmpl w:val="38F69C48"/>
    <w:lvl w:ilvl="0" w:tplc="041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0346C62"/>
    <w:multiLevelType w:val="hybridMultilevel"/>
    <w:tmpl w:val="BE02D14E"/>
    <w:lvl w:ilvl="0" w:tplc="29423D22">
      <w:start w:val="6"/>
      <w:numFmt w:val="bullet"/>
      <w:lvlText w:val="-"/>
      <w:lvlJc w:val="left"/>
      <w:pPr>
        <w:ind w:left="420" w:hanging="360"/>
      </w:pPr>
      <w:rPr>
        <w:rFonts w:ascii="Arial" w:eastAsiaTheme="minorHAns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312357AC"/>
    <w:multiLevelType w:val="hybridMultilevel"/>
    <w:tmpl w:val="393C02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545497B"/>
    <w:multiLevelType w:val="hybridMultilevel"/>
    <w:tmpl w:val="685E7C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10A65E8"/>
    <w:multiLevelType w:val="hybridMultilevel"/>
    <w:tmpl w:val="72324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514CF7"/>
    <w:multiLevelType w:val="hybridMultilevel"/>
    <w:tmpl w:val="EE003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8261C"/>
    <w:multiLevelType w:val="hybridMultilevel"/>
    <w:tmpl w:val="8F2ACFC6"/>
    <w:lvl w:ilvl="0" w:tplc="04220001">
      <w:start w:val="1"/>
      <w:numFmt w:val="bullet"/>
      <w:lvlText w:val=""/>
      <w:lvlJc w:val="left"/>
      <w:pPr>
        <w:ind w:left="993" w:hanging="360"/>
      </w:pPr>
      <w:rPr>
        <w:rFonts w:ascii="Symbol" w:hAnsi="Symbol"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abstractNum w:abstractNumId="11" w15:restartNumberingAfterBreak="0">
    <w:nsid w:val="484F4DC7"/>
    <w:multiLevelType w:val="hybridMultilevel"/>
    <w:tmpl w:val="26B43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483514"/>
    <w:multiLevelType w:val="hybridMultilevel"/>
    <w:tmpl w:val="DA1E3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CF18C1"/>
    <w:multiLevelType w:val="hybridMultilevel"/>
    <w:tmpl w:val="9A16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77774D"/>
    <w:multiLevelType w:val="hybridMultilevel"/>
    <w:tmpl w:val="22A208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0514181"/>
    <w:multiLevelType w:val="hybridMultilevel"/>
    <w:tmpl w:val="360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66FBA"/>
    <w:multiLevelType w:val="hybridMultilevel"/>
    <w:tmpl w:val="FDE8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1320814">
    <w:abstractNumId w:val="5"/>
  </w:num>
  <w:num w:numId="2" w16cid:durableId="3628086">
    <w:abstractNumId w:val="6"/>
  </w:num>
  <w:num w:numId="3" w16cid:durableId="2126534508">
    <w:abstractNumId w:val="10"/>
  </w:num>
  <w:num w:numId="4" w16cid:durableId="1484152840">
    <w:abstractNumId w:val="1"/>
  </w:num>
  <w:num w:numId="5" w16cid:durableId="1700427520">
    <w:abstractNumId w:val="13"/>
  </w:num>
  <w:num w:numId="6" w16cid:durableId="1045982558">
    <w:abstractNumId w:val="2"/>
  </w:num>
  <w:num w:numId="7" w16cid:durableId="1664236061">
    <w:abstractNumId w:val="0"/>
  </w:num>
  <w:num w:numId="8" w16cid:durableId="39786700">
    <w:abstractNumId w:val="7"/>
  </w:num>
  <w:num w:numId="9" w16cid:durableId="501897018">
    <w:abstractNumId w:val="16"/>
  </w:num>
  <w:num w:numId="10" w16cid:durableId="1638758911">
    <w:abstractNumId w:val="12"/>
  </w:num>
  <w:num w:numId="11" w16cid:durableId="1337340576">
    <w:abstractNumId w:val="11"/>
  </w:num>
  <w:num w:numId="12" w16cid:durableId="456266879">
    <w:abstractNumId w:val="8"/>
  </w:num>
  <w:num w:numId="13" w16cid:durableId="1366371372">
    <w:abstractNumId w:val="9"/>
  </w:num>
  <w:num w:numId="14" w16cid:durableId="2105952488">
    <w:abstractNumId w:val="4"/>
  </w:num>
  <w:num w:numId="15" w16cid:durableId="1226184131">
    <w:abstractNumId w:val="15"/>
  </w:num>
  <w:num w:numId="16" w16cid:durableId="319383256">
    <w:abstractNumId w:val="3"/>
  </w:num>
  <w:num w:numId="17" w16cid:durableId="170867447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50"/>
    <w:rsid w:val="00000168"/>
    <w:rsid w:val="000001CC"/>
    <w:rsid w:val="00001EE9"/>
    <w:rsid w:val="0000244D"/>
    <w:rsid w:val="0000625D"/>
    <w:rsid w:val="00007711"/>
    <w:rsid w:val="00007AF4"/>
    <w:rsid w:val="00007B0F"/>
    <w:rsid w:val="00007D62"/>
    <w:rsid w:val="00010315"/>
    <w:rsid w:val="00010716"/>
    <w:rsid w:val="000119A8"/>
    <w:rsid w:val="00011FC4"/>
    <w:rsid w:val="00012F04"/>
    <w:rsid w:val="00013CB6"/>
    <w:rsid w:val="0001592F"/>
    <w:rsid w:val="00016C0A"/>
    <w:rsid w:val="00020445"/>
    <w:rsid w:val="00020EF0"/>
    <w:rsid w:val="000223B3"/>
    <w:rsid w:val="00022DEF"/>
    <w:rsid w:val="00023123"/>
    <w:rsid w:val="00025258"/>
    <w:rsid w:val="00025444"/>
    <w:rsid w:val="00025734"/>
    <w:rsid w:val="00025DFB"/>
    <w:rsid w:val="00026CCD"/>
    <w:rsid w:val="00027081"/>
    <w:rsid w:val="000277FB"/>
    <w:rsid w:val="00030548"/>
    <w:rsid w:val="00030DBB"/>
    <w:rsid w:val="00031F30"/>
    <w:rsid w:val="00032D4E"/>
    <w:rsid w:val="000330FD"/>
    <w:rsid w:val="000334F8"/>
    <w:rsid w:val="00033B1C"/>
    <w:rsid w:val="00033FC4"/>
    <w:rsid w:val="00034408"/>
    <w:rsid w:val="0003481A"/>
    <w:rsid w:val="000352E5"/>
    <w:rsid w:val="00035519"/>
    <w:rsid w:val="00035580"/>
    <w:rsid w:val="00035FD5"/>
    <w:rsid w:val="00036019"/>
    <w:rsid w:val="00036F40"/>
    <w:rsid w:val="00037A8C"/>
    <w:rsid w:val="00037DFA"/>
    <w:rsid w:val="00040A58"/>
    <w:rsid w:val="000415EB"/>
    <w:rsid w:val="00041FBF"/>
    <w:rsid w:val="000423F7"/>
    <w:rsid w:val="0004252F"/>
    <w:rsid w:val="000425D3"/>
    <w:rsid w:val="000438DF"/>
    <w:rsid w:val="00043E33"/>
    <w:rsid w:val="000441DE"/>
    <w:rsid w:val="000450D7"/>
    <w:rsid w:val="0004532A"/>
    <w:rsid w:val="000456DA"/>
    <w:rsid w:val="000459D8"/>
    <w:rsid w:val="00045A7E"/>
    <w:rsid w:val="00045BEC"/>
    <w:rsid w:val="00045C04"/>
    <w:rsid w:val="00045D5E"/>
    <w:rsid w:val="00047092"/>
    <w:rsid w:val="000501E4"/>
    <w:rsid w:val="000502FF"/>
    <w:rsid w:val="00050633"/>
    <w:rsid w:val="00050C0A"/>
    <w:rsid w:val="000531E3"/>
    <w:rsid w:val="000545CA"/>
    <w:rsid w:val="00054C46"/>
    <w:rsid w:val="00054EFD"/>
    <w:rsid w:val="00055E43"/>
    <w:rsid w:val="00056211"/>
    <w:rsid w:val="000569AE"/>
    <w:rsid w:val="00056EAC"/>
    <w:rsid w:val="000573CD"/>
    <w:rsid w:val="000573D9"/>
    <w:rsid w:val="00057757"/>
    <w:rsid w:val="00057F19"/>
    <w:rsid w:val="00060333"/>
    <w:rsid w:val="000612E4"/>
    <w:rsid w:val="00061E59"/>
    <w:rsid w:val="00062811"/>
    <w:rsid w:val="000630C7"/>
    <w:rsid w:val="00063598"/>
    <w:rsid w:val="00063E71"/>
    <w:rsid w:val="00063EDB"/>
    <w:rsid w:val="00064B35"/>
    <w:rsid w:val="00064F6B"/>
    <w:rsid w:val="00065B5A"/>
    <w:rsid w:val="000666F9"/>
    <w:rsid w:val="00066804"/>
    <w:rsid w:val="00066A39"/>
    <w:rsid w:val="00066B22"/>
    <w:rsid w:val="00066C51"/>
    <w:rsid w:val="0006755D"/>
    <w:rsid w:val="00067874"/>
    <w:rsid w:val="00067B05"/>
    <w:rsid w:val="00067CD9"/>
    <w:rsid w:val="00071106"/>
    <w:rsid w:val="00071B28"/>
    <w:rsid w:val="00072690"/>
    <w:rsid w:val="00072E4A"/>
    <w:rsid w:val="00075407"/>
    <w:rsid w:val="00076067"/>
    <w:rsid w:val="000763E3"/>
    <w:rsid w:val="00076A89"/>
    <w:rsid w:val="00076E32"/>
    <w:rsid w:val="000802DA"/>
    <w:rsid w:val="000803CE"/>
    <w:rsid w:val="0008095F"/>
    <w:rsid w:val="0008099B"/>
    <w:rsid w:val="00081180"/>
    <w:rsid w:val="00081A2D"/>
    <w:rsid w:val="00081D13"/>
    <w:rsid w:val="00081E2A"/>
    <w:rsid w:val="00081FAD"/>
    <w:rsid w:val="000822C7"/>
    <w:rsid w:val="00082CDB"/>
    <w:rsid w:val="000862C5"/>
    <w:rsid w:val="00087B66"/>
    <w:rsid w:val="00087DD0"/>
    <w:rsid w:val="00087F60"/>
    <w:rsid w:val="000916D5"/>
    <w:rsid w:val="00092F16"/>
    <w:rsid w:val="000930D1"/>
    <w:rsid w:val="000934B5"/>
    <w:rsid w:val="000941E1"/>
    <w:rsid w:val="000950DE"/>
    <w:rsid w:val="000952A3"/>
    <w:rsid w:val="000955E8"/>
    <w:rsid w:val="000959A2"/>
    <w:rsid w:val="00095B34"/>
    <w:rsid w:val="00095D26"/>
    <w:rsid w:val="000973D8"/>
    <w:rsid w:val="00097C1F"/>
    <w:rsid w:val="000A0AFF"/>
    <w:rsid w:val="000A0F70"/>
    <w:rsid w:val="000A3418"/>
    <w:rsid w:val="000A34D3"/>
    <w:rsid w:val="000A3CDD"/>
    <w:rsid w:val="000A5A48"/>
    <w:rsid w:val="000A67B8"/>
    <w:rsid w:val="000A6A85"/>
    <w:rsid w:val="000A7297"/>
    <w:rsid w:val="000B0131"/>
    <w:rsid w:val="000B1264"/>
    <w:rsid w:val="000B1448"/>
    <w:rsid w:val="000B1496"/>
    <w:rsid w:val="000B155E"/>
    <w:rsid w:val="000B2933"/>
    <w:rsid w:val="000B3610"/>
    <w:rsid w:val="000B38ED"/>
    <w:rsid w:val="000B39EA"/>
    <w:rsid w:val="000B558C"/>
    <w:rsid w:val="000B5B56"/>
    <w:rsid w:val="000B62BF"/>
    <w:rsid w:val="000B68C2"/>
    <w:rsid w:val="000B6D05"/>
    <w:rsid w:val="000B7A57"/>
    <w:rsid w:val="000C175E"/>
    <w:rsid w:val="000C1D3E"/>
    <w:rsid w:val="000C282C"/>
    <w:rsid w:val="000C397E"/>
    <w:rsid w:val="000C4350"/>
    <w:rsid w:val="000C4905"/>
    <w:rsid w:val="000C4E78"/>
    <w:rsid w:val="000C5987"/>
    <w:rsid w:val="000C68EC"/>
    <w:rsid w:val="000C7A17"/>
    <w:rsid w:val="000D0292"/>
    <w:rsid w:val="000D0B9B"/>
    <w:rsid w:val="000D0FA8"/>
    <w:rsid w:val="000D10B1"/>
    <w:rsid w:val="000D120B"/>
    <w:rsid w:val="000D157E"/>
    <w:rsid w:val="000D1A80"/>
    <w:rsid w:val="000D360A"/>
    <w:rsid w:val="000D365B"/>
    <w:rsid w:val="000D38D5"/>
    <w:rsid w:val="000D3C2C"/>
    <w:rsid w:val="000D5248"/>
    <w:rsid w:val="000D5287"/>
    <w:rsid w:val="000D5AAF"/>
    <w:rsid w:val="000D5DE5"/>
    <w:rsid w:val="000D5FA0"/>
    <w:rsid w:val="000D6277"/>
    <w:rsid w:val="000D6885"/>
    <w:rsid w:val="000D6B8B"/>
    <w:rsid w:val="000D6F14"/>
    <w:rsid w:val="000D7693"/>
    <w:rsid w:val="000E07AF"/>
    <w:rsid w:val="000E1423"/>
    <w:rsid w:val="000E197D"/>
    <w:rsid w:val="000E3230"/>
    <w:rsid w:val="000E51DD"/>
    <w:rsid w:val="000E6323"/>
    <w:rsid w:val="000E6C57"/>
    <w:rsid w:val="000E707E"/>
    <w:rsid w:val="000E7D17"/>
    <w:rsid w:val="000E7D22"/>
    <w:rsid w:val="000E7FB7"/>
    <w:rsid w:val="000F0228"/>
    <w:rsid w:val="000F0490"/>
    <w:rsid w:val="000F0568"/>
    <w:rsid w:val="000F156F"/>
    <w:rsid w:val="000F1A6E"/>
    <w:rsid w:val="000F2056"/>
    <w:rsid w:val="000F21C8"/>
    <w:rsid w:val="000F2759"/>
    <w:rsid w:val="000F3B13"/>
    <w:rsid w:val="000F466C"/>
    <w:rsid w:val="000F4845"/>
    <w:rsid w:val="000F5871"/>
    <w:rsid w:val="000F6F97"/>
    <w:rsid w:val="000F79A0"/>
    <w:rsid w:val="001006A7"/>
    <w:rsid w:val="00100EC8"/>
    <w:rsid w:val="00102390"/>
    <w:rsid w:val="00103BFC"/>
    <w:rsid w:val="00103C9E"/>
    <w:rsid w:val="00103E4F"/>
    <w:rsid w:val="0010569E"/>
    <w:rsid w:val="00106BAF"/>
    <w:rsid w:val="0010771D"/>
    <w:rsid w:val="0010780F"/>
    <w:rsid w:val="001118E4"/>
    <w:rsid w:val="00111D8A"/>
    <w:rsid w:val="001125F7"/>
    <w:rsid w:val="00112C83"/>
    <w:rsid w:val="00112EA1"/>
    <w:rsid w:val="00112FE7"/>
    <w:rsid w:val="001131B6"/>
    <w:rsid w:val="00113543"/>
    <w:rsid w:val="001136EF"/>
    <w:rsid w:val="0011383A"/>
    <w:rsid w:val="00114696"/>
    <w:rsid w:val="00116891"/>
    <w:rsid w:val="00116BDC"/>
    <w:rsid w:val="00116C19"/>
    <w:rsid w:val="00117191"/>
    <w:rsid w:val="00117660"/>
    <w:rsid w:val="00120156"/>
    <w:rsid w:val="00120446"/>
    <w:rsid w:val="0012155A"/>
    <w:rsid w:val="00121DB5"/>
    <w:rsid w:val="00122467"/>
    <w:rsid w:val="00123BF5"/>
    <w:rsid w:val="00123D5E"/>
    <w:rsid w:val="00123E23"/>
    <w:rsid w:val="00124916"/>
    <w:rsid w:val="00124AEE"/>
    <w:rsid w:val="00124E94"/>
    <w:rsid w:val="00125C1D"/>
    <w:rsid w:val="0012696A"/>
    <w:rsid w:val="001269A8"/>
    <w:rsid w:val="00127B79"/>
    <w:rsid w:val="0013001B"/>
    <w:rsid w:val="00130A32"/>
    <w:rsid w:val="00130FC5"/>
    <w:rsid w:val="0013257E"/>
    <w:rsid w:val="00132D23"/>
    <w:rsid w:val="001333A2"/>
    <w:rsid w:val="00133EB2"/>
    <w:rsid w:val="00134234"/>
    <w:rsid w:val="00134F03"/>
    <w:rsid w:val="00135293"/>
    <w:rsid w:val="00135351"/>
    <w:rsid w:val="001369E6"/>
    <w:rsid w:val="00137392"/>
    <w:rsid w:val="001379F2"/>
    <w:rsid w:val="00137B0E"/>
    <w:rsid w:val="00137C96"/>
    <w:rsid w:val="00140267"/>
    <w:rsid w:val="0014058A"/>
    <w:rsid w:val="001405EB"/>
    <w:rsid w:val="001407C0"/>
    <w:rsid w:val="00140AF6"/>
    <w:rsid w:val="001411AA"/>
    <w:rsid w:val="001416B9"/>
    <w:rsid w:val="00141DE5"/>
    <w:rsid w:val="0014207E"/>
    <w:rsid w:val="00142A05"/>
    <w:rsid w:val="00142B75"/>
    <w:rsid w:val="00142ED5"/>
    <w:rsid w:val="00143606"/>
    <w:rsid w:val="001453DE"/>
    <w:rsid w:val="0014591B"/>
    <w:rsid w:val="00145CD5"/>
    <w:rsid w:val="00146B31"/>
    <w:rsid w:val="0014737D"/>
    <w:rsid w:val="001479BA"/>
    <w:rsid w:val="00147B00"/>
    <w:rsid w:val="00147E61"/>
    <w:rsid w:val="00147E63"/>
    <w:rsid w:val="00150292"/>
    <w:rsid w:val="0015103E"/>
    <w:rsid w:val="0015135C"/>
    <w:rsid w:val="0015231B"/>
    <w:rsid w:val="00152F5E"/>
    <w:rsid w:val="00153537"/>
    <w:rsid w:val="001538CA"/>
    <w:rsid w:val="00153B9A"/>
    <w:rsid w:val="00154BE7"/>
    <w:rsid w:val="00155DF0"/>
    <w:rsid w:val="00156A72"/>
    <w:rsid w:val="00157294"/>
    <w:rsid w:val="00160B2F"/>
    <w:rsid w:val="001612A3"/>
    <w:rsid w:val="00161686"/>
    <w:rsid w:val="00161872"/>
    <w:rsid w:val="001618AB"/>
    <w:rsid w:val="00161CC4"/>
    <w:rsid w:val="00161F47"/>
    <w:rsid w:val="00161FBD"/>
    <w:rsid w:val="00162085"/>
    <w:rsid w:val="0016230B"/>
    <w:rsid w:val="001636D3"/>
    <w:rsid w:val="00164B97"/>
    <w:rsid w:val="00165AA8"/>
    <w:rsid w:val="00166217"/>
    <w:rsid w:val="00166739"/>
    <w:rsid w:val="001668BC"/>
    <w:rsid w:val="001703AB"/>
    <w:rsid w:val="001705C1"/>
    <w:rsid w:val="00170DA2"/>
    <w:rsid w:val="0017139A"/>
    <w:rsid w:val="001715C7"/>
    <w:rsid w:val="00171891"/>
    <w:rsid w:val="00171B17"/>
    <w:rsid w:val="00171DB9"/>
    <w:rsid w:val="001720CC"/>
    <w:rsid w:val="001721AB"/>
    <w:rsid w:val="00172DDF"/>
    <w:rsid w:val="001735C2"/>
    <w:rsid w:val="0017409D"/>
    <w:rsid w:val="001742D5"/>
    <w:rsid w:val="00174E41"/>
    <w:rsid w:val="00174E7C"/>
    <w:rsid w:val="00174FAB"/>
    <w:rsid w:val="00175D33"/>
    <w:rsid w:val="00175EAE"/>
    <w:rsid w:val="0017600B"/>
    <w:rsid w:val="001762F8"/>
    <w:rsid w:val="001769C6"/>
    <w:rsid w:val="0017780F"/>
    <w:rsid w:val="00177E6D"/>
    <w:rsid w:val="00177E7D"/>
    <w:rsid w:val="00180080"/>
    <w:rsid w:val="00180247"/>
    <w:rsid w:val="001803D5"/>
    <w:rsid w:val="00180838"/>
    <w:rsid w:val="00181225"/>
    <w:rsid w:val="001826E4"/>
    <w:rsid w:val="00182E60"/>
    <w:rsid w:val="0018362E"/>
    <w:rsid w:val="00184316"/>
    <w:rsid w:val="00184F0A"/>
    <w:rsid w:val="001851E4"/>
    <w:rsid w:val="00185617"/>
    <w:rsid w:val="001858A9"/>
    <w:rsid w:val="00186AC0"/>
    <w:rsid w:val="001871F3"/>
    <w:rsid w:val="001878C1"/>
    <w:rsid w:val="001907C7"/>
    <w:rsid w:val="0019146B"/>
    <w:rsid w:val="00191B1F"/>
    <w:rsid w:val="00192172"/>
    <w:rsid w:val="00192908"/>
    <w:rsid w:val="00193081"/>
    <w:rsid w:val="00193C8D"/>
    <w:rsid w:val="0019411B"/>
    <w:rsid w:val="001941D4"/>
    <w:rsid w:val="00194B4C"/>
    <w:rsid w:val="00194DC4"/>
    <w:rsid w:val="00194F59"/>
    <w:rsid w:val="001950F7"/>
    <w:rsid w:val="001952B8"/>
    <w:rsid w:val="0019568A"/>
    <w:rsid w:val="00195C4A"/>
    <w:rsid w:val="00196575"/>
    <w:rsid w:val="001968EC"/>
    <w:rsid w:val="00197CA5"/>
    <w:rsid w:val="001A1138"/>
    <w:rsid w:val="001A1170"/>
    <w:rsid w:val="001A2FAF"/>
    <w:rsid w:val="001A36C1"/>
    <w:rsid w:val="001A5A8A"/>
    <w:rsid w:val="001A5C80"/>
    <w:rsid w:val="001A5CAF"/>
    <w:rsid w:val="001A5F98"/>
    <w:rsid w:val="001A6012"/>
    <w:rsid w:val="001A6C2C"/>
    <w:rsid w:val="001A78BC"/>
    <w:rsid w:val="001A78E3"/>
    <w:rsid w:val="001B08B1"/>
    <w:rsid w:val="001B0AFE"/>
    <w:rsid w:val="001B0D2A"/>
    <w:rsid w:val="001B1ABA"/>
    <w:rsid w:val="001B1F7D"/>
    <w:rsid w:val="001B2383"/>
    <w:rsid w:val="001B27F1"/>
    <w:rsid w:val="001B291F"/>
    <w:rsid w:val="001B3021"/>
    <w:rsid w:val="001B37C4"/>
    <w:rsid w:val="001B3C1D"/>
    <w:rsid w:val="001B4574"/>
    <w:rsid w:val="001B477D"/>
    <w:rsid w:val="001B5128"/>
    <w:rsid w:val="001B53F6"/>
    <w:rsid w:val="001B5A5F"/>
    <w:rsid w:val="001B5D82"/>
    <w:rsid w:val="001B632F"/>
    <w:rsid w:val="001B6908"/>
    <w:rsid w:val="001B6988"/>
    <w:rsid w:val="001C0977"/>
    <w:rsid w:val="001C0FDC"/>
    <w:rsid w:val="001C1799"/>
    <w:rsid w:val="001C1CAF"/>
    <w:rsid w:val="001C1FEB"/>
    <w:rsid w:val="001C242B"/>
    <w:rsid w:val="001C2D58"/>
    <w:rsid w:val="001C4F2F"/>
    <w:rsid w:val="001C50E1"/>
    <w:rsid w:val="001C6349"/>
    <w:rsid w:val="001C756E"/>
    <w:rsid w:val="001C7BFF"/>
    <w:rsid w:val="001C7C71"/>
    <w:rsid w:val="001D0098"/>
    <w:rsid w:val="001D06FD"/>
    <w:rsid w:val="001D08D5"/>
    <w:rsid w:val="001D0E2F"/>
    <w:rsid w:val="001D2043"/>
    <w:rsid w:val="001D2F30"/>
    <w:rsid w:val="001D44B5"/>
    <w:rsid w:val="001D4E91"/>
    <w:rsid w:val="001D4EFA"/>
    <w:rsid w:val="001D5853"/>
    <w:rsid w:val="001D7401"/>
    <w:rsid w:val="001E02A5"/>
    <w:rsid w:val="001E05CD"/>
    <w:rsid w:val="001E1172"/>
    <w:rsid w:val="001E13EB"/>
    <w:rsid w:val="001E1C40"/>
    <w:rsid w:val="001E209B"/>
    <w:rsid w:val="001E2701"/>
    <w:rsid w:val="001E2E59"/>
    <w:rsid w:val="001E3981"/>
    <w:rsid w:val="001E4545"/>
    <w:rsid w:val="001E51BD"/>
    <w:rsid w:val="001E5588"/>
    <w:rsid w:val="001E7040"/>
    <w:rsid w:val="001E756D"/>
    <w:rsid w:val="001F0FDE"/>
    <w:rsid w:val="001F1184"/>
    <w:rsid w:val="001F1705"/>
    <w:rsid w:val="001F18C4"/>
    <w:rsid w:val="001F1B6E"/>
    <w:rsid w:val="001F27FC"/>
    <w:rsid w:val="001F33B0"/>
    <w:rsid w:val="001F3D29"/>
    <w:rsid w:val="001F4160"/>
    <w:rsid w:val="001F4619"/>
    <w:rsid w:val="001F4F6F"/>
    <w:rsid w:val="001F5688"/>
    <w:rsid w:val="001F63C4"/>
    <w:rsid w:val="001F6740"/>
    <w:rsid w:val="001F70E2"/>
    <w:rsid w:val="001F7ACF"/>
    <w:rsid w:val="002014E7"/>
    <w:rsid w:val="00201926"/>
    <w:rsid w:val="00202238"/>
    <w:rsid w:val="002027B6"/>
    <w:rsid w:val="002035EA"/>
    <w:rsid w:val="002038F5"/>
    <w:rsid w:val="0020390C"/>
    <w:rsid w:val="0020557C"/>
    <w:rsid w:val="00205827"/>
    <w:rsid w:val="00206BE7"/>
    <w:rsid w:val="00207054"/>
    <w:rsid w:val="0020780C"/>
    <w:rsid w:val="002101DF"/>
    <w:rsid w:val="00210464"/>
    <w:rsid w:val="0021049C"/>
    <w:rsid w:val="00210EF4"/>
    <w:rsid w:val="00212418"/>
    <w:rsid w:val="0021294B"/>
    <w:rsid w:val="00212A15"/>
    <w:rsid w:val="00212B45"/>
    <w:rsid w:val="00212CA7"/>
    <w:rsid w:val="00212F4F"/>
    <w:rsid w:val="002132CC"/>
    <w:rsid w:val="00213DF5"/>
    <w:rsid w:val="00215639"/>
    <w:rsid w:val="00216221"/>
    <w:rsid w:val="00216840"/>
    <w:rsid w:val="00217F39"/>
    <w:rsid w:val="00220A00"/>
    <w:rsid w:val="0022102D"/>
    <w:rsid w:val="00221341"/>
    <w:rsid w:val="002216C4"/>
    <w:rsid w:val="00221A61"/>
    <w:rsid w:val="00222655"/>
    <w:rsid w:val="00222C09"/>
    <w:rsid w:val="00222D01"/>
    <w:rsid w:val="0022322C"/>
    <w:rsid w:val="00223442"/>
    <w:rsid w:val="002239D6"/>
    <w:rsid w:val="00223D11"/>
    <w:rsid w:val="00223D46"/>
    <w:rsid w:val="00223F95"/>
    <w:rsid w:val="0022419A"/>
    <w:rsid w:val="002245EB"/>
    <w:rsid w:val="00224C09"/>
    <w:rsid w:val="00224C27"/>
    <w:rsid w:val="00224EFC"/>
    <w:rsid w:val="00225189"/>
    <w:rsid w:val="002256AA"/>
    <w:rsid w:val="002258BA"/>
    <w:rsid w:val="002258E5"/>
    <w:rsid w:val="002264AC"/>
    <w:rsid w:val="00227B97"/>
    <w:rsid w:val="00227C35"/>
    <w:rsid w:val="0023044E"/>
    <w:rsid w:val="00230FEA"/>
    <w:rsid w:val="00231935"/>
    <w:rsid w:val="002319DC"/>
    <w:rsid w:val="00231AE4"/>
    <w:rsid w:val="0023258C"/>
    <w:rsid w:val="00232D5A"/>
    <w:rsid w:val="002337A7"/>
    <w:rsid w:val="00233B10"/>
    <w:rsid w:val="00233FF2"/>
    <w:rsid w:val="00234598"/>
    <w:rsid w:val="0023500D"/>
    <w:rsid w:val="0023529F"/>
    <w:rsid w:val="0023541D"/>
    <w:rsid w:val="002355AB"/>
    <w:rsid w:val="00235D7A"/>
    <w:rsid w:val="00236333"/>
    <w:rsid w:val="00236877"/>
    <w:rsid w:val="00237152"/>
    <w:rsid w:val="0024026C"/>
    <w:rsid w:val="002403D1"/>
    <w:rsid w:val="00240DF6"/>
    <w:rsid w:val="00240FA7"/>
    <w:rsid w:val="00241B42"/>
    <w:rsid w:val="0024214A"/>
    <w:rsid w:val="00242618"/>
    <w:rsid w:val="00242732"/>
    <w:rsid w:val="00242C84"/>
    <w:rsid w:val="00243016"/>
    <w:rsid w:val="002439E7"/>
    <w:rsid w:val="00243F37"/>
    <w:rsid w:val="002451D5"/>
    <w:rsid w:val="00245242"/>
    <w:rsid w:val="00245C92"/>
    <w:rsid w:val="00246700"/>
    <w:rsid w:val="00246D9E"/>
    <w:rsid w:val="00247BF8"/>
    <w:rsid w:val="00250449"/>
    <w:rsid w:val="00250988"/>
    <w:rsid w:val="002517EB"/>
    <w:rsid w:val="00251A3B"/>
    <w:rsid w:val="00251BC5"/>
    <w:rsid w:val="002526B8"/>
    <w:rsid w:val="00252969"/>
    <w:rsid w:val="00253C30"/>
    <w:rsid w:val="002550CE"/>
    <w:rsid w:val="0025584A"/>
    <w:rsid w:val="00255C36"/>
    <w:rsid w:val="00256501"/>
    <w:rsid w:val="00256DD7"/>
    <w:rsid w:val="00260A24"/>
    <w:rsid w:val="00261113"/>
    <w:rsid w:val="00261C01"/>
    <w:rsid w:val="00261C82"/>
    <w:rsid w:val="00262433"/>
    <w:rsid w:val="00262E18"/>
    <w:rsid w:val="00263126"/>
    <w:rsid w:val="002640CF"/>
    <w:rsid w:val="00264403"/>
    <w:rsid w:val="0026513E"/>
    <w:rsid w:val="00265453"/>
    <w:rsid w:val="00265746"/>
    <w:rsid w:val="00266237"/>
    <w:rsid w:val="00266930"/>
    <w:rsid w:val="00267749"/>
    <w:rsid w:val="0026785C"/>
    <w:rsid w:val="00267903"/>
    <w:rsid w:val="002704EE"/>
    <w:rsid w:val="002709F5"/>
    <w:rsid w:val="00271FB7"/>
    <w:rsid w:val="0027216B"/>
    <w:rsid w:val="00274398"/>
    <w:rsid w:val="00274A69"/>
    <w:rsid w:val="00274DB8"/>
    <w:rsid w:val="00275B45"/>
    <w:rsid w:val="00276115"/>
    <w:rsid w:val="0027614E"/>
    <w:rsid w:val="0027666D"/>
    <w:rsid w:val="002768BA"/>
    <w:rsid w:val="0027796C"/>
    <w:rsid w:val="0028018B"/>
    <w:rsid w:val="002808C7"/>
    <w:rsid w:val="0028233E"/>
    <w:rsid w:val="00282C9D"/>
    <w:rsid w:val="00282ED2"/>
    <w:rsid w:val="00284B9B"/>
    <w:rsid w:val="00284C05"/>
    <w:rsid w:val="00284C35"/>
    <w:rsid w:val="00285225"/>
    <w:rsid w:val="00285818"/>
    <w:rsid w:val="0028639F"/>
    <w:rsid w:val="0028670F"/>
    <w:rsid w:val="00286CAA"/>
    <w:rsid w:val="002904B3"/>
    <w:rsid w:val="00290811"/>
    <w:rsid w:val="00290E58"/>
    <w:rsid w:val="002914B6"/>
    <w:rsid w:val="002938DE"/>
    <w:rsid w:val="0029434A"/>
    <w:rsid w:val="0029551B"/>
    <w:rsid w:val="002958E4"/>
    <w:rsid w:val="00295912"/>
    <w:rsid w:val="00295CC9"/>
    <w:rsid w:val="002960C0"/>
    <w:rsid w:val="002962DD"/>
    <w:rsid w:val="00296339"/>
    <w:rsid w:val="002978DC"/>
    <w:rsid w:val="002979D8"/>
    <w:rsid w:val="00297F64"/>
    <w:rsid w:val="002A010A"/>
    <w:rsid w:val="002A1997"/>
    <w:rsid w:val="002A2428"/>
    <w:rsid w:val="002A24B0"/>
    <w:rsid w:val="002A2BAD"/>
    <w:rsid w:val="002A2CC4"/>
    <w:rsid w:val="002A32E7"/>
    <w:rsid w:val="002A34B7"/>
    <w:rsid w:val="002A383C"/>
    <w:rsid w:val="002A47D9"/>
    <w:rsid w:val="002A5397"/>
    <w:rsid w:val="002A53C6"/>
    <w:rsid w:val="002A5767"/>
    <w:rsid w:val="002A5971"/>
    <w:rsid w:val="002A6897"/>
    <w:rsid w:val="002A7B5D"/>
    <w:rsid w:val="002A7B7E"/>
    <w:rsid w:val="002B0237"/>
    <w:rsid w:val="002B04DB"/>
    <w:rsid w:val="002B0A99"/>
    <w:rsid w:val="002B0DD1"/>
    <w:rsid w:val="002B28A2"/>
    <w:rsid w:val="002B3CD5"/>
    <w:rsid w:val="002B3DFB"/>
    <w:rsid w:val="002B426C"/>
    <w:rsid w:val="002B5012"/>
    <w:rsid w:val="002B658D"/>
    <w:rsid w:val="002B699B"/>
    <w:rsid w:val="002B6EB5"/>
    <w:rsid w:val="002B743C"/>
    <w:rsid w:val="002B7AD4"/>
    <w:rsid w:val="002C0B4F"/>
    <w:rsid w:val="002C1533"/>
    <w:rsid w:val="002C1719"/>
    <w:rsid w:val="002C19D9"/>
    <w:rsid w:val="002C1A09"/>
    <w:rsid w:val="002C312A"/>
    <w:rsid w:val="002C38A1"/>
    <w:rsid w:val="002C4AA6"/>
    <w:rsid w:val="002C50F4"/>
    <w:rsid w:val="002C5773"/>
    <w:rsid w:val="002C6775"/>
    <w:rsid w:val="002C687C"/>
    <w:rsid w:val="002C6B0C"/>
    <w:rsid w:val="002C7621"/>
    <w:rsid w:val="002C7AE9"/>
    <w:rsid w:val="002C7B81"/>
    <w:rsid w:val="002D0D25"/>
    <w:rsid w:val="002D168E"/>
    <w:rsid w:val="002D1CB1"/>
    <w:rsid w:val="002D2744"/>
    <w:rsid w:val="002D2D60"/>
    <w:rsid w:val="002D51E7"/>
    <w:rsid w:val="002D535C"/>
    <w:rsid w:val="002D543F"/>
    <w:rsid w:val="002D6AF1"/>
    <w:rsid w:val="002D71C6"/>
    <w:rsid w:val="002D73F8"/>
    <w:rsid w:val="002E0E32"/>
    <w:rsid w:val="002E135F"/>
    <w:rsid w:val="002E17E9"/>
    <w:rsid w:val="002E1FAB"/>
    <w:rsid w:val="002E204D"/>
    <w:rsid w:val="002E221B"/>
    <w:rsid w:val="002E26B8"/>
    <w:rsid w:val="002E2711"/>
    <w:rsid w:val="002E317A"/>
    <w:rsid w:val="002E32D4"/>
    <w:rsid w:val="002E3681"/>
    <w:rsid w:val="002E3C64"/>
    <w:rsid w:val="002E489C"/>
    <w:rsid w:val="002E4930"/>
    <w:rsid w:val="002E57F5"/>
    <w:rsid w:val="002E5952"/>
    <w:rsid w:val="002E6325"/>
    <w:rsid w:val="002E707A"/>
    <w:rsid w:val="002E7F7C"/>
    <w:rsid w:val="002F0B91"/>
    <w:rsid w:val="002F1ED8"/>
    <w:rsid w:val="002F28DC"/>
    <w:rsid w:val="002F293E"/>
    <w:rsid w:val="002F2AC3"/>
    <w:rsid w:val="002F336B"/>
    <w:rsid w:val="002F4965"/>
    <w:rsid w:val="002F55BC"/>
    <w:rsid w:val="002F6225"/>
    <w:rsid w:val="002F6BC1"/>
    <w:rsid w:val="002F7724"/>
    <w:rsid w:val="00301266"/>
    <w:rsid w:val="003019DA"/>
    <w:rsid w:val="00303499"/>
    <w:rsid w:val="003038AD"/>
    <w:rsid w:val="00303A07"/>
    <w:rsid w:val="00303C29"/>
    <w:rsid w:val="00303D09"/>
    <w:rsid w:val="00303D71"/>
    <w:rsid w:val="00303DA7"/>
    <w:rsid w:val="00304388"/>
    <w:rsid w:val="00304837"/>
    <w:rsid w:val="00305177"/>
    <w:rsid w:val="003054FF"/>
    <w:rsid w:val="0030590C"/>
    <w:rsid w:val="00306697"/>
    <w:rsid w:val="00310AA0"/>
    <w:rsid w:val="00311040"/>
    <w:rsid w:val="003114DF"/>
    <w:rsid w:val="0031204C"/>
    <w:rsid w:val="00312F71"/>
    <w:rsid w:val="00314830"/>
    <w:rsid w:val="003148F2"/>
    <w:rsid w:val="00314EF7"/>
    <w:rsid w:val="0031535E"/>
    <w:rsid w:val="003154AA"/>
    <w:rsid w:val="003168CA"/>
    <w:rsid w:val="00316AD8"/>
    <w:rsid w:val="00316D87"/>
    <w:rsid w:val="00316F6B"/>
    <w:rsid w:val="00317946"/>
    <w:rsid w:val="00320553"/>
    <w:rsid w:val="00321F08"/>
    <w:rsid w:val="003228BB"/>
    <w:rsid w:val="00322BA5"/>
    <w:rsid w:val="00322EC6"/>
    <w:rsid w:val="00324691"/>
    <w:rsid w:val="003251A2"/>
    <w:rsid w:val="00325B23"/>
    <w:rsid w:val="00325F24"/>
    <w:rsid w:val="0032617F"/>
    <w:rsid w:val="0032716E"/>
    <w:rsid w:val="0032784B"/>
    <w:rsid w:val="003279F5"/>
    <w:rsid w:val="00327A0C"/>
    <w:rsid w:val="00327C77"/>
    <w:rsid w:val="00327DB2"/>
    <w:rsid w:val="0033137B"/>
    <w:rsid w:val="003320F2"/>
    <w:rsid w:val="0033342B"/>
    <w:rsid w:val="003338FD"/>
    <w:rsid w:val="00333E51"/>
    <w:rsid w:val="0033402F"/>
    <w:rsid w:val="00334179"/>
    <w:rsid w:val="003350BD"/>
    <w:rsid w:val="003359A8"/>
    <w:rsid w:val="00335B3D"/>
    <w:rsid w:val="00335E6A"/>
    <w:rsid w:val="00336628"/>
    <w:rsid w:val="00340607"/>
    <w:rsid w:val="00340656"/>
    <w:rsid w:val="003407BD"/>
    <w:rsid w:val="003421CB"/>
    <w:rsid w:val="0034269E"/>
    <w:rsid w:val="003430B1"/>
    <w:rsid w:val="00343267"/>
    <w:rsid w:val="0034350B"/>
    <w:rsid w:val="00345AB7"/>
    <w:rsid w:val="00345C7E"/>
    <w:rsid w:val="00346A1E"/>
    <w:rsid w:val="0035008C"/>
    <w:rsid w:val="0035035D"/>
    <w:rsid w:val="003504DD"/>
    <w:rsid w:val="003508B4"/>
    <w:rsid w:val="0035092A"/>
    <w:rsid w:val="003512DF"/>
    <w:rsid w:val="003530A5"/>
    <w:rsid w:val="003534A3"/>
    <w:rsid w:val="003535AC"/>
    <w:rsid w:val="00353AB9"/>
    <w:rsid w:val="00353EDE"/>
    <w:rsid w:val="00354504"/>
    <w:rsid w:val="0035484C"/>
    <w:rsid w:val="00355591"/>
    <w:rsid w:val="003566AA"/>
    <w:rsid w:val="003568AD"/>
    <w:rsid w:val="00356A51"/>
    <w:rsid w:val="00356EF4"/>
    <w:rsid w:val="00356F1C"/>
    <w:rsid w:val="0036008C"/>
    <w:rsid w:val="00360128"/>
    <w:rsid w:val="00360BB1"/>
    <w:rsid w:val="00361708"/>
    <w:rsid w:val="0036174B"/>
    <w:rsid w:val="003621C5"/>
    <w:rsid w:val="003625F3"/>
    <w:rsid w:val="00362F1B"/>
    <w:rsid w:val="0036375A"/>
    <w:rsid w:val="00364984"/>
    <w:rsid w:val="003653AD"/>
    <w:rsid w:val="003659FD"/>
    <w:rsid w:val="00365C16"/>
    <w:rsid w:val="00365E51"/>
    <w:rsid w:val="003664DE"/>
    <w:rsid w:val="00366907"/>
    <w:rsid w:val="0036732A"/>
    <w:rsid w:val="0037038A"/>
    <w:rsid w:val="0037054A"/>
    <w:rsid w:val="00370A6C"/>
    <w:rsid w:val="00370A85"/>
    <w:rsid w:val="00370E1C"/>
    <w:rsid w:val="00371084"/>
    <w:rsid w:val="00371BC2"/>
    <w:rsid w:val="00371EC8"/>
    <w:rsid w:val="00372CDF"/>
    <w:rsid w:val="00373A9F"/>
    <w:rsid w:val="00374298"/>
    <w:rsid w:val="003747B6"/>
    <w:rsid w:val="00374B77"/>
    <w:rsid w:val="00375308"/>
    <w:rsid w:val="0037556F"/>
    <w:rsid w:val="00375BAD"/>
    <w:rsid w:val="00375C2F"/>
    <w:rsid w:val="003817AA"/>
    <w:rsid w:val="00381D6A"/>
    <w:rsid w:val="0038258F"/>
    <w:rsid w:val="00382654"/>
    <w:rsid w:val="003833C1"/>
    <w:rsid w:val="00383545"/>
    <w:rsid w:val="00383760"/>
    <w:rsid w:val="00383D6E"/>
    <w:rsid w:val="00385761"/>
    <w:rsid w:val="0038690E"/>
    <w:rsid w:val="00386BEB"/>
    <w:rsid w:val="0038711A"/>
    <w:rsid w:val="003875B6"/>
    <w:rsid w:val="00387620"/>
    <w:rsid w:val="0039001D"/>
    <w:rsid w:val="003902E5"/>
    <w:rsid w:val="0039107F"/>
    <w:rsid w:val="00391856"/>
    <w:rsid w:val="00391CFB"/>
    <w:rsid w:val="003921CB"/>
    <w:rsid w:val="0039295E"/>
    <w:rsid w:val="00393ACF"/>
    <w:rsid w:val="00395585"/>
    <w:rsid w:val="003958F9"/>
    <w:rsid w:val="0039780F"/>
    <w:rsid w:val="003979A8"/>
    <w:rsid w:val="00397A52"/>
    <w:rsid w:val="003A0BF8"/>
    <w:rsid w:val="003A0D9A"/>
    <w:rsid w:val="003A1311"/>
    <w:rsid w:val="003A1498"/>
    <w:rsid w:val="003A1FAC"/>
    <w:rsid w:val="003A2390"/>
    <w:rsid w:val="003A2F08"/>
    <w:rsid w:val="003A465D"/>
    <w:rsid w:val="003A4862"/>
    <w:rsid w:val="003A5D14"/>
    <w:rsid w:val="003A740D"/>
    <w:rsid w:val="003A75EF"/>
    <w:rsid w:val="003A7AD4"/>
    <w:rsid w:val="003B053F"/>
    <w:rsid w:val="003B0557"/>
    <w:rsid w:val="003B0603"/>
    <w:rsid w:val="003B07BF"/>
    <w:rsid w:val="003B123D"/>
    <w:rsid w:val="003B1769"/>
    <w:rsid w:val="003B17C1"/>
    <w:rsid w:val="003B18B1"/>
    <w:rsid w:val="003B1974"/>
    <w:rsid w:val="003B1E4A"/>
    <w:rsid w:val="003B20CC"/>
    <w:rsid w:val="003B25FA"/>
    <w:rsid w:val="003B3CDA"/>
    <w:rsid w:val="003B3DA9"/>
    <w:rsid w:val="003B44F8"/>
    <w:rsid w:val="003B489C"/>
    <w:rsid w:val="003B683A"/>
    <w:rsid w:val="003B6EDE"/>
    <w:rsid w:val="003C0344"/>
    <w:rsid w:val="003C0E32"/>
    <w:rsid w:val="003C0E39"/>
    <w:rsid w:val="003C0E3E"/>
    <w:rsid w:val="003C1A4C"/>
    <w:rsid w:val="003C2051"/>
    <w:rsid w:val="003C5529"/>
    <w:rsid w:val="003C5F83"/>
    <w:rsid w:val="003C6DA8"/>
    <w:rsid w:val="003D01F5"/>
    <w:rsid w:val="003D0524"/>
    <w:rsid w:val="003D06FE"/>
    <w:rsid w:val="003D0FBE"/>
    <w:rsid w:val="003D1368"/>
    <w:rsid w:val="003D164A"/>
    <w:rsid w:val="003D17B1"/>
    <w:rsid w:val="003D1AAE"/>
    <w:rsid w:val="003D1E3F"/>
    <w:rsid w:val="003D1EFE"/>
    <w:rsid w:val="003D27A5"/>
    <w:rsid w:val="003D2A92"/>
    <w:rsid w:val="003D2D36"/>
    <w:rsid w:val="003D3603"/>
    <w:rsid w:val="003D4CA0"/>
    <w:rsid w:val="003D5A7A"/>
    <w:rsid w:val="003D5D4F"/>
    <w:rsid w:val="003D65C5"/>
    <w:rsid w:val="003D6A52"/>
    <w:rsid w:val="003D6B0C"/>
    <w:rsid w:val="003D6CB9"/>
    <w:rsid w:val="003D6E9F"/>
    <w:rsid w:val="003D6FDE"/>
    <w:rsid w:val="003D70E9"/>
    <w:rsid w:val="003D7A2D"/>
    <w:rsid w:val="003D7BCF"/>
    <w:rsid w:val="003E083A"/>
    <w:rsid w:val="003E1163"/>
    <w:rsid w:val="003E1900"/>
    <w:rsid w:val="003E19A0"/>
    <w:rsid w:val="003E2E1A"/>
    <w:rsid w:val="003E30B6"/>
    <w:rsid w:val="003E32A2"/>
    <w:rsid w:val="003E4B2A"/>
    <w:rsid w:val="003E4D95"/>
    <w:rsid w:val="003E58EE"/>
    <w:rsid w:val="003E5D8D"/>
    <w:rsid w:val="003E5DE5"/>
    <w:rsid w:val="003E70EB"/>
    <w:rsid w:val="003E745A"/>
    <w:rsid w:val="003F134D"/>
    <w:rsid w:val="003F16DC"/>
    <w:rsid w:val="003F1BB7"/>
    <w:rsid w:val="003F2783"/>
    <w:rsid w:val="003F27AA"/>
    <w:rsid w:val="003F2C2D"/>
    <w:rsid w:val="003F2F81"/>
    <w:rsid w:val="003F2FCB"/>
    <w:rsid w:val="003F327E"/>
    <w:rsid w:val="003F3A6D"/>
    <w:rsid w:val="003F558E"/>
    <w:rsid w:val="003F5D34"/>
    <w:rsid w:val="003F5D37"/>
    <w:rsid w:val="003F5E19"/>
    <w:rsid w:val="003F6856"/>
    <w:rsid w:val="003F69C3"/>
    <w:rsid w:val="003F6BD6"/>
    <w:rsid w:val="003F6CCA"/>
    <w:rsid w:val="00400447"/>
    <w:rsid w:val="00400DDD"/>
    <w:rsid w:val="00400F1C"/>
    <w:rsid w:val="00401022"/>
    <w:rsid w:val="00401477"/>
    <w:rsid w:val="004018BD"/>
    <w:rsid w:val="00401A72"/>
    <w:rsid w:val="00402789"/>
    <w:rsid w:val="00403C0C"/>
    <w:rsid w:val="00404B53"/>
    <w:rsid w:val="00404DCC"/>
    <w:rsid w:val="00404F69"/>
    <w:rsid w:val="0040516A"/>
    <w:rsid w:val="0040660C"/>
    <w:rsid w:val="0040685C"/>
    <w:rsid w:val="00406ABD"/>
    <w:rsid w:val="00406E74"/>
    <w:rsid w:val="004072F3"/>
    <w:rsid w:val="00407376"/>
    <w:rsid w:val="004079D4"/>
    <w:rsid w:val="00407F5C"/>
    <w:rsid w:val="004111FA"/>
    <w:rsid w:val="00411716"/>
    <w:rsid w:val="00412F73"/>
    <w:rsid w:val="004132C3"/>
    <w:rsid w:val="004148A1"/>
    <w:rsid w:val="00414FD1"/>
    <w:rsid w:val="0042006D"/>
    <w:rsid w:val="00420335"/>
    <w:rsid w:val="004205E9"/>
    <w:rsid w:val="00422CEC"/>
    <w:rsid w:val="00423461"/>
    <w:rsid w:val="00424233"/>
    <w:rsid w:val="00424382"/>
    <w:rsid w:val="00424675"/>
    <w:rsid w:val="0042490F"/>
    <w:rsid w:val="00424A60"/>
    <w:rsid w:val="004250E2"/>
    <w:rsid w:val="004253E8"/>
    <w:rsid w:val="004254C0"/>
    <w:rsid w:val="00425515"/>
    <w:rsid w:val="0042590F"/>
    <w:rsid w:val="0042600A"/>
    <w:rsid w:val="00426652"/>
    <w:rsid w:val="0042772E"/>
    <w:rsid w:val="004302A1"/>
    <w:rsid w:val="00430CF0"/>
    <w:rsid w:val="0043250E"/>
    <w:rsid w:val="00433CC2"/>
    <w:rsid w:val="00433F82"/>
    <w:rsid w:val="004343DD"/>
    <w:rsid w:val="004343DE"/>
    <w:rsid w:val="004348C4"/>
    <w:rsid w:val="004356F9"/>
    <w:rsid w:val="004357D6"/>
    <w:rsid w:val="004366FF"/>
    <w:rsid w:val="00437A20"/>
    <w:rsid w:val="00440A3E"/>
    <w:rsid w:val="0044163B"/>
    <w:rsid w:val="00441838"/>
    <w:rsid w:val="0044259A"/>
    <w:rsid w:val="004442D2"/>
    <w:rsid w:val="004465BA"/>
    <w:rsid w:val="00446D2B"/>
    <w:rsid w:val="004512AF"/>
    <w:rsid w:val="0045280B"/>
    <w:rsid w:val="00452A1E"/>
    <w:rsid w:val="00452B6B"/>
    <w:rsid w:val="00452C21"/>
    <w:rsid w:val="0045317A"/>
    <w:rsid w:val="00453234"/>
    <w:rsid w:val="00453360"/>
    <w:rsid w:val="00453F04"/>
    <w:rsid w:val="004547A2"/>
    <w:rsid w:val="004549D0"/>
    <w:rsid w:val="00455DEC"/>
    <w:rsid w:val="00455E04"/>
    <w:rsid w:val="00455F67"/>
    <w:rsid w:val="004569CE"/>
    <w:rsid w:val="00456A40"/>
    <w:rsid w:val="00456F2B"/>
    <w:rsid w:val="00457440"/>
    <w:rsid w:val="0045764F"/>
    <w:rsid w:val="00457AB1"/>
    <w:rsid w:val="00457E7E"/>
    <w:rsid w:val="00460793"/>
    <w:rsid w:val="004619AD"/>
    <w:rsid w:val="00461A3B"/>
    <w:rsid w:val="00461E97"/>
    <w:rsid w:val="004622D1"/>
    <w:rsid w:val="00462EDE"/>
    <w:rsid w:val="00463119"/>
    <w:rsid w:val="00463E04"/>
    <w:rsid w:val="004646A7"/>
    <w:rsid w:val="004646D4"/>
    <w:rsid w:val="00464808"/>
    <w:rsid w:val="004650D7"/>
    <w:rsid w:val="00465699"/>
    <w:rsid w:val="004656E9"/>
    <w:rsid w:val="00465FE2"/>
    <w:rsid w:val="00466176"/>
    <w:rsid w:val="004665D2"/>
    <w:rsid w:val="00466898"/>
    <w:rsid w:val="00467059"/>
    <w:rsid w:val="004676CD"/>
    <w:rsid w:val="004713C1"/>
    <w:rsid w:val="00471498"/>
    <w:rsid w:val="00471863"/>
    <w:rsid w:val="004718B4"/>
    <w:rsid w:val="004719EB"/>
    <w:rsid w:val="0047233E"/>
    <w:rsid w:val="004727EF"/>
    <w:rsid w:val="004734FD"/>
    <w:rsid w:val="004736A4"/>
    <w:rsid w:val="004737D9"/>
    <w:rsid w:val="00473BF4"/>
    <w:rsid w:val="00473D74"/>
    <w:rsid w:val="00475755"/>
    <w:rsid w:val="0047642D"/>
    <w:rsid w:val="00476B5C"/>
    <w:rsid w:val="00476BFE"/>
    <w:rsid w:val="00476E5C"/>
    <w:rsid w:val="0047758B"/>
    <w:rsid w:val="00480118"/>
    <w:rsid w:val="00480449"/>
    <w:rsid w:val="00481251"/>
    <w:rsid w:val="0048180D"/>
    <w:rsid w:val="00481E39"/>
    <w:rsid w:val="00481F28"/>
    <w:rsid w:val="0048213E"/>
    <w:rsid w:val="004823D4"/>
    <w:rsid w:val="004826CB"/>
    <w:rsid w:val="00482CF1"/>
    <w:rsid w:val="0048315E"/>
    <w:rsid w:val="00483561"/>
    <w:rsid w:val="004839AB"/>
    <w:rsid w:val="00485B13"/>
    <w:rsid w:val="004868FC"/>
    <w:rsid w:val="00487966"/>
    <w:rsid w:val="00490587"/>
    <w:rsid w:val="00492A65"/>
    <w:rsid w:val="0049336F"/>
    <w:rsid w:val="00493CE9"/>
    <w:rsid w:val="004940BA"/>
    <w:rsid w:val="004944A4"/>
    <w:rsid w:val="004950A5"/>
    <w:rsid w:val="00495E01"/>
    <w:rsid w:val="00496C90"/>
    <w:rsid w:val="004A0885"/>
    <w:rsid w:val="004A1B96"/>
    <w:rsid w:val="004A1CA3"/>
    <w:rsid w:val="004A1F5D"/>
    <w:rsid w:val="004A214E"/>
    <w:rsid w:val="004A221D"/>
    <w:rsid w:val="004A2AF5"/>
    <w:rsid w:val="004A2B02"/>
    <w:rsid w:val="004A2F94"/>
    <w:rsid w:val="004A34DA"/>
    <w:rsid w:val="004A3738"/>
    <w:rsid w:val="004A41DF"/>
    <w:rsid w:val="004A49A8"/>
    <w:rsid w:val="004A5EA8"/>
    <w:rsid w:val="004A6799"/>
    <w:rsid w:val="004A7131"/>
    <w:rsid w:val="004A747C"/>
    <w:rsid w:val="004A7F30"/>
    <w:rsid w:val="004B097A"/>
    <w:rsid w:val="004B1C16"/>
    <w:rsid w:val="004B21AD"/>
    <w:rsid w:val="004B2412"/>
    <w:rsid w:val="004B2A5D"/>
    <w:rsid w:val="004B2C62"/>
    <w:rsid w:val="004B2D49"/>
    <w:rsid w:val="004B32D7"/>
    <w:rsid w:val="004B34B8"/>
    <w:rsid w:val="004B3C6E"/>
    <w:rsid w:val="004B434D"/>
    <w:rsid w:val="004B51BF"/>
    <w:rsid w:val="004B56BD"/>
    <w:rsid w:val="004B641C"/>
    <w:rsid w:val="004B661A"/>
    <w:rsid w:val="004C0264"/>
    <w:rsid w:val="004C0491"/>
    <w:rsid w:val="004C08B6"/>
    <w:rsid w:val="004C1185"/>
    <w:rsid w:val="004C1D1A"/>
    <w:rsid w:val="004C1DB4"/>
    <w:rsid w:val="004C25BB"/>
    <w:rsid w:val="004C273D"/>
    <w:rsid w:val="004C28AB"/>
    <w:rsid w:val="004C479A"/>
    <w:rsid w:val="004C4B2C"/>
    <w:rsid w:val="004C6A7D"/>
    <w:rsid w:val="004C6BE7"/>
    <w:rsid w:val="004C7723"/>
    <w:rsid w:val="004C7A68"/>
    <w:rsid w:val="004D0334"/>
    <w:rsid w:val="004D0AE5"/>
    <w:rsid w:val="004D0EC0"/>
    <w:rsid w:val="004D0EC8"/>
    <w:rsid w:val="004D1E51"/>
    <w:rsid w:val="004D1ED6"/>
    <w:rsid w:val="004D2707"/>
    <w:rsid w:val="004D278B"/>
    <w:rsid w:val="004D2F4C"/>
    <w:rsid w:val="004D3000"/>
    <w:rsid w:val="004D321A"/>
    <w:rsid w:val="004D336A"/>
    <w:rsid w:val="004D4377"/>
    <w:rsid w:val="004D4771"/>
    <w:rsid w:val="004D49AF"/>
    <w:rsid w:val="004D62AD"/>
    <w:rsid w:val="004D7D83"/>
    <w:rsid w:val="004E1263"/>
    <w:rsid w:val="004E256C"/>
    <w:rsid w:val="004E2C1B"/>
    <w:rsid w:val="004E3907"/>
    <w:rsid w:val="004E6091"/>
    <w:rsid w:val="004E6471"/>
    <w:rsid w:val="004F0804"/>
    <w:rsid w:val="004F0AB0"/>
    <w:rsid w:val="004F0F17"/>
    <w:rsid w:val="004F0FA1"/>
    <w:rsid w:val="004F1206"/>
    <w:rsid w:val="004F136D"/>
    <w:rsid w:val="004F15A0"/>
    <w:rsid w:val="004F1937"/>
    <w:rsid w:val="004F1FAC"/>
    <w:rsid w:val="004F399A"/>
    <w:rsid w:val="004F4B94"/>
    <w:rsid w:val="004F52DD"/>
    <w:rsid w:val="004F5D7C"/>
    <w:rsid w:val="004F6571"/>
    <w:rsid w:val="004F6BA9"/>
    <w:rsid w:val="004F6E45"/>
    <w:rsid w:val="004F6E63"/>
    <w:rsid w:val="004F7294"/>
    <w:rsid w:val="004F76ED"/>
    <w:rsid w:val="004F781D"/>
    <w:rsid w:val="00500385"/>
    <w:rsid w:val="00500B3E"/>
    <w:rsid w:val="005010BE"/>
    <w:rsid w:val="00501762"/>
    <w:rsid w:val="0050198D"/>
    <w:rsid w:val="00501E0E"/>
    <w:rsid w:val="00502811"/>
    <w:rsid w:val="00502FFD"/>
    <w:rsid w:val="0050311C"/>
    <w:rsid w:val="0050340F"/>
    <w:rsid w:val="00503F52"/>
    <w:rsid w:val="005049F5"/>
    <w:rsid w:val="00504F74"/>
    <w:rsid w:val="0050702F"/>
    <w:rsid w:val="0050729F"/>
    <w:rsid w:val="0050765D"/>
    <w:rsid w:val="005078EB"/>
    <w:rsid w:val="00507DB5"/>
    <w:rsid w:val="0051099D"/>
    <w:rsid w:val="00512582"/>
    <w:rsid w:val="0051297F"/>
    <w:rsid w:val="00512B8A"/>
    <w:rsid w:val="005131F7"/>
    <w:rsid w:val="00513A75"/>
    <w:rsid w:val="00513FF2"/>
    <w:rsid w:val="00514038"/>
    <w:rsid w:val="005141FF"/>
    <w:rsid w:val="005142FE"/>
    <w:rsid w:val="00514D2D"/>
    <w:rsid w:val="00515013"/>
    <w:rsid w:val="005173F3"/>
    <w:rsid w:val="00517413"/>
    <w:rsid w:val="00517942"/>
    <w:rsid w:val="005203A3"/>
    <w:rsid w:val="00520D00"/>
    <w:rsid w:val="005212A1"/>
    <w:rsid w:val="00521AE0"/>
    <w:rsid w:val="00522F06"/>
    <w:rsid w:val="005235F2"/>
    <w:rsid w:val="005236BD"/>
    <w:rsid w:val="0052488F"/>
    <w:rsid w:val="00525521"/>
    <w:rsid w:val="00525548"/>
    <w:rsid w:val="00525667"/>
    <w:rsid w:val="0052581C"/>
    <w:rsid w:val="00526444"/>
    <w:rsid w:val="00526679"/>
    <w:rsid w:val="005303F3"/>
    <w:rsid w:val="00531879"/>
    <w:rsid w:val="00532110"/>
    <w:rsid w:val="0053500D"/>
    <w:rsid w:val="00535E62"/>
    <w:rsid w:val="00536055"/>
    <w:rsid w:val="005364CD"/>
    <w:rsid w:val="005375FE"/>
    <w:rsid w:val="00537A04"/>
    <w:rsid w:val="00537A09"/>
    <w:rsid w:val="0054135B"/>
    <w:rsid w:val="005429C2"/>
    <w:rsid w:val="00542ED2"/>
    <w:rsid w:val="005431F8"/>
    <w:rsid w:val="00543543"/>
    <w:rsid w:val="00544AED"/>
    <w:rsid w:val="00545510"/>
    <w:rsid w:val="005457B7"/>
    <w:rsid w:val="00546FA1"/>
    <w:rsid w:val="00547C77"/>
    <w:rsid w:val="005508AC"/>
    <w:rsid w:val="005508B6"/>
    <w:rsid w:val="005509DC"/>
    <w:rsid w:val="005527C7"/>
    <w:rsid w:val="0055306B"/>
    <w:rsid w:val="00553494"/>
    <w:rsid w:val="00553EE4"/>
    <w:rsid w:val="00553FF1"/>
    <w:rsid w:val="00554184"/>
    <w:rsid w:val="005549F6"/>
    <w:rsid w:val="005551DD"/>
    <w:rsid w:val="005551DE"/>
    <w:rsid w:val="00555899"/>
    <w:rsid w:val="00555EEE"/>
    <w:rsid w:val="00556055"/>
    <w:rsid w:val="0055665D"/>
    <w:rsid w:val="005568E6"/>
    <w:rsid w:val="00556C10"/>
    <w:rsid w:val="00556C51"/>
    <w:rsid w:val="00556EB6"/>
    <w:rsid w:val="005572D6"/>
    <w:rsid w:val="005575BE"/>
    <w:rsid w:val="00560E28"/>
    <w:rsid w:val="00560EC2"/>
    <w:rsid w:val="00562290"/>
    <w:rsid w:val="00562F24"/>
    <w:rsid w:val="00563735"/>
    <w:rsid w:val="00563943"/>
    <w:rsid w:val="00564D37"/>
    <w:rsid w:val="00565714"/>
    <w:rsid w:val="00566618"/>
    <w:rsid w:val="005673CB"/>
    <w:rsid w:val="005675A3"/>
    <w:rsid w:val="005706E9"/>
    <w:rsid w:val="00570888"/>
    <w:rsid w:val="00570D97"/>
    <w:rsid w:val="005713D3"/>
    <w:rsid w:val="00571456"/>
    <w:rsid w:val="0057156B"/>
    <w:rsid w:val="00572655"/>
    <w:rsid w:val="00572B76"/>
    <w:rsid w:val="00573002"/>
    <w:rsid w:val="005731CF"/>
    <w:rsid w:val="00573429"/>
    <w:rsid w:val="00573480"/>
    <w:rsid w:val="00573988"/>
    <w:rsid w:val="00574260"/>
    <w:rsid w:val="0057450B"/>
    <w:rsid w:val="00574D9C"/>
    <w:rsid w:val="0057540C"/>
    <w:rsid w:val="005768F3"/>
    <w:rsid w:val="00577388"/>
    <w:rsid w:val="005779F8"/>
    <w:rsid w:val="00577DC0"/>
    <w:rsid w:val="0058034D"/>
    <w:rsid w:val="00581142"/>
    <w:rsid w:val="00581482"/>
    <w:rsid w:val="00581AD6"/>
    <w:rsid w:val="00581EF8"/>
    <w:rsid w:val="005830C0"/>
    <w:rsid w:val="00583A5F"/>
    <w:rsid w:val="00584154"/>
    <w:rsid w:val="00584F5D"/>
    <w:rsid w:val="00585044"/>
    <w:rsid w:val="0058531D"/>
    <w:rsid w:val="00585E18"/>
    <w:rsid w:val="00587D33"/>
    <w:rsid w:val="00587F2A"/>
    <w:rsid w:val="005907EC"/>
    <w:rsid w:val="00592594"/>
    <w:rsid w:val="00592D50"/>
    <w:rsid w:val="00594661"/>
    <w:rsid w:val="00595278"/>
    <w:rsid w:val="00596293"/>
    <w:rsid w:val="00597277"/>
    <w:rsid w:val="005973C0"/>
    <w:rsid w:val="0059764A"/>
    <w:rsid w:val="00597A52"/>
    <w:rsid w:val="00597A82"/>
    <w:rsid w:val="005A06E2"/>
    <w:rsid w:val="005A081A"/>
    <w:rsid w:val="005A2463"/>
    <w:rsid w:val="005A2E3A"/>
    <w:rsid w:val="005A2EAC"/>
    <w:rsid w:val="005A2F31"/>
    <w:rsid w:val="005A3689"/>
    <w:rsid w:val="005A40C7"/>
    <w:rsid w:val="005A4261"/>
    <w:rsid w:val="005A514A"/>
    <w:rsid w:val="005A5B8A"/>
    <w:rsid w:val="005A7130"/>
    <w:rsid w:val="005B01B3"/>
    <w:rsid w:val="005B082D"/>
    <w:rsid w:val="005B0910"/>
    <w:rsid w:val="005B2630"/>
    <w:rsid w:val="005B3B03"/>
    <w:rsid w:val="005B5026"/>
    <w:rsid w:val="005B5108"/>
    <w:rsid w:val="005B528D"/>
    <w:rsid w:val="005B5DDE"/>
    <w:rsid w:val="005B6158"/>
    <w:rsid w:val="005B752F"/>
    <w:rsid w:val="005B79E3"/>
    <w:rsid w:val="005B7DAE"/>
    <w:rsid w:val="005C012A"/>
    <w:rsid w:val="005C0BD7"/>
    <w:rsid w:val="005C188A"/>
    <w:rsid w:val="005C2823"/>
    <w:rsid w:val="005C2FCB"/>
    <w:rsid w:val="005C3106"/>
    <w:rsid w:val="005C4234"/>
    <w:rsid w:val="005C4475"/>
    <w:rsid w:val="005C4508"/>
    <w:rsid w:val="005C4AC0"/>
    <w:rsid w:val="005C56B6"/>
    <w:rsid w:val="005C6D4B"/>
    <w:rsid w:val="005C7B7D"/>
    <w:rsid w:val="005D03BF"/>
    <w:rsid w:val="005D0475"/>
    <w:rsid w:val="005D08BA"/>
    <w:rsid w:val="005D1760"/>
    <w:rsid w:val="005D1ACA"/>
    <w:rsid w:val="005D1C34"/>
    <w:rsid w:val="005D20E8"/>
    <w:rsid w:val="005D245D"/>
    <w:rsid w:val="005D2656"/>
    <w:rsid w:val="005D2868"/>
    <w:rsid w:val="005D39B5"/>
    <w:rsid w:val="005D4A98"/>
    <w:rsid w:val="005D520E"/>
    <w:rsid w:val="005D5886"/>
    <w:rsid w:val="005D5910"/>
    <w:rsid w:val="005D5AED"/>
    <w:rsid w:val="005D5BDB"/>
    <w:rsid w:val="005D6320"/>
    <w:rsid w:val="005D73D3"/>
    <w:rsid w:val="005D77B1"/>
    <w:rsid w:val="005D7C13"/>
    <w:rsid w:val="005E0099"/>
    <w:rsid w:val="005E0A3B"/>
    <w:rsid w:val="005E1608"/>
    <w:rsid w:val="005E1F7C"/>
    <w:rsid w:val="005E3002"/>
    <w:rsid w:val="005E41A7"/>
    <w:rsid w:val="005E4267"/>
    <w:rsid w:val="005E4940"/>
    <w:rsid w:val="005E4E4F"/>
    <w:rsid w:val="005E558E"/>
    <w:rsid w:val="005E5BA7"/>
    <w:rsid w:val="005E5DFE"/>
    <w:rsid w:val="005E60EE"/>
    <w:rsid w:val="005E6A12"/>
    <w:rsid w:val="005E6F40"/>
    <w:rsid w:val="005E71E9"/>
    <w:rsid w:val="005E7BEE"/>
    <w:rsid w:val="005F0777"/>
    <w:rsid w:val="005F1C33"/>
    <w:rsid w:val="005F1F8C"/>
    <w:rsid w:val="005F234D"/>
    <w:rsid w:val="005F2830"/>
    <w:rsid w:val="005F2A24"/>
    <w:rsid w:val="005F2EE4"/>
    <w:rsid w:val="005F3050"/>
    <w:rsid w:val="005F3A94"/>
    <w:rsid w:val="005F3B18"/>
    <w:rsid w:val="005F3C3B"/>
    <w:rsid w:val="005F48A7"/>
    <w:rsid w:val="005F553E"/>
    <w:rsid w:val="005F5EA7"/>
    <w:rsid w:val="005F60DA"/>
    <w:rsid w:val="005F6A8C"/>
    <w:rsid w:val="005F6D52"/>
    <w:rsid w:val="005F6E26"/>
    <w:rsid w:val="005F7D4A"/>
    <w:rsid w:val="00603C1B"/>
    <w:rsid w:val="006047CA"/>
    <w:rsid w:val="00604CA6"/>
    <w:rsid w:val="00605341"/>
    <w:rsid w:val="0060535C"/>
    <w:rsid w:val="00605BB3"/>
    <w:rsid w:val="00605E4F"/>
    <w:rsid w:val="00605F28"/>
    <w:rsid w:val="0060704F"/>
    <w:rsid w:val="006101A9"/>
    <w:rsid w:val="006104A9"/>
    <w:rsid w:val="0061056A"/>
    <w:rsid w:val="00610A4A"/>
    <w:rsid w:val="00610E1C"/>
    <w:rsid w:val="00610E38"/>
    <w:rsid w:val="006111E0"/>
    <w:rsid w:val="00611547"/>
    <w:rsid w:val="00611704"/>
    <w:rsid w:val="00611D9A"/>
    <w:rsid w:val="00611E56"/>
    <w:rsid w:val="00611EA6"/>
    <w:rsid w:val="006123ED"/>
    <w:rsid w:val="006126A6"/>
    <w:rsid w:val="00612F28"/>
    <w:rsid w:val="00613598"/>
    <w:rsid w:val="00614842"/>
    <w:rsid w:val="00614EB8"/>
    <w:rsid w:val="00615617"/>
    <w:rsid w:val="00615725"/>
    <w:rsid w:val="006160F4"/>
    <w:rsid w:val="00616603"/>
    <w:rsid w:val="00616B6B"/>
    <w:rsid w:val="0061720B"/>
    <w:rsid w:val="006173B6"/>
    <w:rsid w:val="006178AD"/>
    <w:rsid w:val="006204C5"/>
    <w:rsid w:val="00620DBA"/>
    <w:rsid w:val="00621A7D"/>
    <w:rsid w:val="00621F5D"/>
    <w:rsid w:val="006235AC"/>
    <w:rsid w:val="00623A25"/>
    <w:rsid w:val="00624158"/>
    <w:rsid w:val="0062528E"/>
    <w:rsid w:val="00625ADE"/>
    <w:rsid w:val="00625E68"/>
    <w:rsid w:val="00625FAC"/>
    <w:rsid w:val="0062677B"/>
    <w:rsid w:val="006274B2"/>
    <w:rsid w:val="006274B5"/>
    <w:rsid w:val="00627654"/>
    <w:rsid w:val="00627E9A"/>
    <w:rsid w:val="00630D31"/>
    <w:rsid w:val="00630E87"/>
    <w:rsid w:val="00631FE1"/>
    <w:rsid w:val="0063266A"/>
    <w:rsid w:val="00632DE6"/>
    <w:rsid w:val="0063329F"/>
    <w:rsid w:val="006347AF"/>
    <w:rsid w:val="00634F9E"/>
    <w:rsid w:val="00634FDF"/>
    <w:rsid w:val="0063507B"/>
    <w:rsid w:val="006353A3"/>
    <w:rsid w:val="006365A6"/>
    <w:rsid w:val="0063676C"/>
    <w:rsid w:val="006379C8"/>
    <w:rsid w:val="00637B00"/>
    <w:rsid w:val="00637CA2"/>
    <w:rsid w:val="0064040E"/>
    <w:rsid w:val="0064076E"/>
    <w:rsid w:val="00642002"/>
    <w:rsid w:val="00642B02"/>
    <w:rsid w:val="00644892"/>
    <w:rsid w:val="00645027"/>
    <w:rsid w:val="0064548A"/>
    <w:rsid w:val="00645C2A"/>
    <w:rsid w:val="00646539"/>
    <w:rsid w:val="006474E6"/>
    <w:rsid w:val="00647AC0"/>
    <w:rsid w:val="00647F8D"/>
    <w:rsid w:val="00650BF3"/>
    <w:rsid w:val="006512A2"/>
    <w:rsid w:val="00651C45"/>
    <w:rsid w:val="00652DF7"/>
    <w:rsid w:val="0065377F"/>
    <w:rsid w:val="00653B7A"/>
    <w:rsid w:val="00653BCF"/>
    <w:rsid w:val="0065427C"/>
    <w:rsid w:val="00654C42"/>
    <w:rsid w:val="00654F33"/>
    <w:rsid w:val="0065526D"/>
    <w:rsid w:val="0065616E"/>
    <w:rsid w:val="006569B2"/>
    <w:rsid w:val="0066069F"/>
    <w:rsid w:val="0066090A"/>
    <w:rsid w:val="00661407"/>
    <w:rsid w:val="0066168C"/>
    <w:rsid w:val="00661907"/>
    <w:rsid w:val="0066197E"/>
    <w:rsid w:val="0066465C"/>
    <w:rsid w:val="00665DC4"/>
    <w:rsid w:val="00666ECA"/>
    <w:rsid w:val="0066746E"/>
    <w:rsid w:val="00670605"/>
    <w:rsid w:val="00670D1E"/>
    <w:rsid w:val="0067169E"/>
    <w:rsid w:val="00671C90"/>
    <w:rsid w:val="00671FC6"/>
    <w:rsid w:val="00672101"/>
    <w:rsid w:val="006732F6"/>
    <w:rsid w:val="006733C4"/>
    <w:rsid w:val="00673D71"/>
    <w:rsid w:val="00674DE0"/>
    <w:rsid w:val="00676001"/>
    <w:rsid w:val="00676347"/>
    <w:rsid w:val="006766B1"/>
    <w:rsid w:val="006768BA"/>
    <w:rsid w:val="00676A1D"/>
    <w:rsid w:val="006774BD"/>
    <w:rsid w:val="0067788F"/>
    <w:rsid w:val="00677E78"/>
    <w:rsid w:val="006802D9"/>
    <w:rsid w:val="00681365"/>
    <w:rsid w:val="00681765"/>
    <w:rsid w:val="00681B79"/>
    <w:rsid w:val="00681C5D"/>
    <w:rsid w:val="00682D8E"/>
    <w:rsid w:val="00683CAC"/>
    <w:rsid w:val="006843DC"/>
    <w:rsid w:val="00684890"/>
    <w:rsid w:val="0068535C"/>
    <w:rsid w:val="00685826"/>
    <w:rsid w:val="006858AF"/>
    <w:rsid w:val="00685947"/>
    <w:rsid w:val="00686765"/>
    <w:rsid w:val="00690D7B"/>
    <w:rsid w:val="0069185C"/>
    <w:rsid w:val="00691D83"/>
    <w:rsid w:val="006925AC"/>
    <w:rsid w:val="0069272F"/>
    <w:rsid w:val="00693CC7"/>
    <w:rsid w:val="006945D3"/>
    <w:rsid w:val="0069470B"/>
    <w:rsid w:val="00694846"/>
    <w:rsid w:val="00695A0F"/>
    <w:rsid w:val="00696C13"/>
    <w:rsid w:val="0069753D"/>
    <w:rsid w:val="0069778C"/>
    <w:rsid w:val="00697DC3"/>
    <w:rsid w:val="006A001A"/>
    <w:rsid w:val="006A0A06"/>
    <w:rsid w:val="006A0F94"/>
    <w:rsid w:val="006A1B43"/>
    <w:rsid w:val="006A22AB"/>
    <w:rsid w:val="006A22D5"/>
    <w:rsid w:val="006A28C9"/>
    <w:rsid w:val="006A2D33"/>
    <w:rsid w:val="006A2D73"/>
    <w:rsid w:val="006A3BEF"/>
    <w:rsid w:val="006A4613"/>
    <w:rsid w:val="006A48EA"/>
    <w:rsid w:val="006A52CD"/>
    <w:rsid w:val="006A5A32"/>
    <w:rsid w:val="006A5B3E"/>
    <w:rsid w:val="006A7380"/>
    <w:rsid w:val="006B101E"/>
    <w:rsid w:val="006B16FB"/>
    <w:rsid w:val="006B197D"/>
    <w:rsid w:val="006B1BF5"/>
    <w:rsid w:val="006B236F"/>
    <w:rsid w:val="006B2FB7"/>
    <w:rsid w:val="006B36C7"/>
    <w:rsid w:val="006B36E1"/>
    <w:rsid w:val="006B4393"/>
    <w:rsid w:val="006B4927"/>
    <w:rsid w:val="006B4B72"/>
    <w:rsid w:val="006B5585"/>
    <w:rsid w:val="006B5707"/>
    <w:rsid w:val="006B58B7"/>
    <w:rsid w:val="006B7364"/>
    <w:rsid w:val="006B77D7"/>
    <w:rsid w:val="006C0D11"/>
    <w:rsid w:val="006C0D3E"/>
    <w:rsid w:val="006C1AE6"/>
    <w:rsid w:val="006C2BF1"/>
    <w:rsid w:val="006C2C11"/>
    <w:rsid w:val="006C2C77"/>
    <w:rsid w:val="006C3CF2"/>
    <w:rsid w:val="006C40FD"/>
    <w:rsid w:val="006C4837"/>
    <w:rsid w:val="006C4AF7"/>
    <w:rsid w:val="006C59EF"/>
    <w:rsid w:val="006C5B0E"/>
    <w:rsid w:val="006C617A"/>
    <w:rsid w:val="006C6539"/>
    <w:rsid w:val="006C65EA"/>
    <w:rsid w:val="006C66AD"/>
    <w:rsid w:val="006C6754"/>
    <w:rsid w:val="006C69FC"/>
    <w:rsid w:val="006C6B52"/>
    <w:rsid w:val="006C72F0"/>
    <w:rsid w:val="006C7927"/>
    <w:rsid w:val="006C7931"/>
    <w:rsid w:val="006C7CEB"/>
    <w:rsid w:val="006D09C4"/>
    <w:rsid w:val="006D0AAA"/>
    <w:rsid w:val="006D1E4E"/>
    <w:rsid w:val="006D2E37"/>
    <w:rsid w:val="006D2EF5"/>
    <w:rsid w:val="006D3048"/>
    <w:rsid w:val="006D3840"/>
    <w:rsid w:val="006D39C2"/>
    <w:rsid w:val="006D3A40"/>
    <w:rsid w:val="006D41B3"/>
    <w:rsid w:val="006D4315"/>
    <w:rsid w:val="006D4ED5"/>
    <w:rsid w:val="006D4F22"/>
    <w:rsid w:val="006D5390"/>
    <w:rsid w:val="006D5AA9"/>
    <w:rsid w:val="006D5B25"/>
    <w:rsid w:val="006D5FE3"/>
    <w:rsid w:val="006D6C52"/>
    <w:rsid w:val="006D6C62"/>
    <w:rsid w:val="006D6C93"/>
    <w:rsid w:val="006D76AE"/>
    <w:rsid w:val="006D78AB"/>
    <w:rsid w:val="006E00E8"/>
    <w:rsid w:val="006E021F"/>
    <w:rsid w:val="006E054D"/>
    <w:rsid w:val="006E3A9C"/>
    <w:rsid w:val="006E3B9D"/>
    <w:rsid w:val="006E3EBB"/>
    <w:rsid w:val="006E4FFA"/>
    <w:rsid w:val="006E6336"/>
    <w:rsid w:val="006E78D2"/>
    <w:rsid w:val="006F02ED"/>
    <w:rsid w:val="006F0695"/>
    <w:rsid w:val="006F1894"/>
    <w:rsid w:val="006F1972"/>
    <w:rsid w:val="006F1DFD"/>
    <w:rsid w:val="006F24EE"/>
    <w:rsid w:val="006F40B8"/>
    <w:rsid w:val="006F4AB1"/>
    <w:rsid w:val="006F5019"/>
    <w:rsid w:val="006F50AD"/>
    <w:rsid w:val="006F5A0C"/>
    <w:rsid w:val="006F5EFB"/>
    <w:rsid w:val="006F5F22"/>
    <w:rsid w:val="006F6055"/>
    <w:rsid w:val="006F6A4D"/>
    <w:rsid w:val="0070046A"/>
    <w:rsid w:val="007009E5"/>
    <w:rsid w:val="00701F8E"/>
    <w:rsid w:val="00703C02"/>
    <w:rsid w:val="00704067"/>
    <w:rsid w:val="00704318"/>
    <w:rsid w:val="007045DD"/>
    <w:rsid w:val="00705F01"/>
    <w:rsid w:val="007060F8"/>
    <w:rsid w:val="007102E2"/>
    <w:rsid w:val="00710EE9"/>
    <w:rsid w:val="00711786"/>
    <w:rsid w:val="00711C33"/>
    <w:rsid w:val="00711CA1"/>
    <w:rsid w:val="007128B1"/>
    <w:rsid w:val="00713057"/>
    <w:rsid w:val="00713220"/>
    <w:rsid w:val="00714559"/>
    <w:rsid w:val="007147F8"/>
    <w:rsid w:val="00714925"/>
    <w:rsid w:val="00714BC2"/>
    <w:rsid w:val="007157A3"/>
    <w:rsid w:val="00715910"/>
    <w:rsid w:val="00715D4F"/>
    <w:rsid w:val="00716219"/>
    <w:rsid w:val="00716612"/>
    <w:rsid w:val="00716629"/>
    <w:rsid w:val="00717E27"/>
    <w:rsid w:val="0072057E"/>
    <w:rsid w:val="0072061A"/>
    <w:rsid w:val="00720B97"/>
    <w:rsid w:val="00721055"/>
    <w:rsid w:val="0072172C"/>
    <w:rsid w:val="00721D81"/>
    <w:rsid w:val="00722526"/>
    <w:rsid w:val="007228DD"/>
    <w:rsid w:val="00722BD1"/>
    <w:rsid w:val="00723727"/>
    <w:rsid w:val="00723B4C"/>
    <w:rsid w:val="007244DA"/>
    <w:rsid w:val="007246EF"/>
    <w:rsid w:val="00724A9A"/>
    <w:rsid w:val="00724CAB"/>
    <w:rsid w:val="00724E4D"/>
    <w:rsid w:val="00725604"/>
    <w:rsid w:val="007272F1"/>
    <w:rsid w:val="0073017F"/>
    <w:rsid w:val="007304FF"/>
    <w:rsid w:val="007320E7"/>
    <w:rsid w:val="007326D2"/>
    <w:rsid w:val="0073280C"/>
    <w:rsid w:val="00732FA2"/>
    <w:rsid w:val="00733453"/>
    <w:rsid w:val="00733FC1"/>
    <w:rsid w:val="0073703C"/>
    <w:rsid w:val="00737C01"/>
    <w:rsid w:val="00740671"/>
    <w:rsid w:val="00741002"/>
    <w:rsid w:val="007411FF"/>
    <w:rsid w:val="007416BA"/>
    <w:rsid w:val="00742567"/>
    <w:rsid w:val="00742C3F"/>
    <w:rsid w:val="00742C55"/>
    <w:rsid w:val="00742EA2"/>
    <w:rsid w:val="0074302A"/>
    <w:rsid w:val="0074524E"/>
    <w:rsid w:val="007455C5"/>
    <w:rsid w:val="00745AF9"/>
    <w:rsid w:val="007464C6"/>
    <w:rsid w:val="00746B4F"/>
    <w:rsid w:val="00746C82"/>
    <w:rsid w:val="00746D8B"/>
    <w:rsid w:val="0074717E"/>
    <w:rsid w:val="0075046C"/>
    <w:rsid w:val="00750C39"/>
    <w:rsid w:val="0075120A"/>
    <w:rsid w:val="007515E6"/>
    <w:rsid w:val="00751F69"/>
    <w:rsid w:val="0075412C"/>
    <w:rsid w:val="007554D1"/>
    <w:rsid w:val="0075732F"/>
    <w:rsid w:val="00757585"/>
    <w:rsid w:val="0075798B"/>
    <w:rsid w:val="00757D71"/>
    <w:rsid w:val="00760C0C"/>
    <w:rsid w:val="00760F7E"/>
    <w:rsid w:val="007615C6"/>
    <w:rsid w:val="00761C22"/>
    <w:rsid w:val="007621EA"/>
    <w:rsid w:val="007623D0"/>
    <w:rsid w:val="00762683"/>
    <w:rsid w:val="00762C73"/>
    <w:rsid w:val="00764442"/>
    <w:rsid w:val="0076481A"/>
    <w:rsid w:val="00764942"/>
    <w:rsid w:val="0076551C"/>
    <w:rsid w:val="00765D3A"/>
    <w:rsid w:val="0076608E"/>
    <w:rsid w:val="007660D4"/>
    <w:rsid w:val="007662F2"/>
    <w:rsid w:val="00767064"/>
    <w:rsid w:val="00767C54"/>
    <w:rsid w:val="0077095F"/>
    <w:rsid w:val="00770DFC"/>
    <w:rsid w:val="0077126C"/>
    <w:rsid w:val="00771A96"/>
    <w:rsid w:val="00772E93"/>
    <w:rsid w:val="0077417B"/>
    <w:rsid w:val="00774D7D"/>
    <w:rsid w:val="00775A7F"/>
    <w:rsid w:val="00775B93"/>
    <w:rsid w:val="00775F5D"/>
    <w:rsid w:val="007765EA"/>
    <w:rsid w:val="00776718"/>
    <w:rsid w:val="007770B5"/>
    <w:rsid w:val="0077789E"/>
    <w:rsid w:val="007778BE"/>
    <w:rsid w:val="0077799E"/>
    <w:rsid w:val="00777D3C"/>
    <w:rsid w:val="00777FF0"/>
    <w:rsid w:val="00780C8D"/>
    <w:rsid w:val="00781164"/>
    <w:rsid w:val="00781B50"/>
    <w:rsid w:val="00782C01"/>
    <w:rsid w:val="00782C66"/>
    <w:rsid w:val="007835C7"/>
    <w:rsid w:val="00785516"/>
    <w:rsid w:val="00785750"/>
    <w:rsid w:val="00785C45"/>
    <w:rsid w:val="00785CC8"/>
    <w:rsid w:val="007866F5"/>
    <w:rsid w:val="00786C7F"/>
    <w:rsid w:val="0078787E"/>
    <w:rsid w:val="0079094C"/>
    <w:rsid w:val="007920D9"/>
    <w:rsid w:val="0079290F"/>
    <w:rsid w:val="00792BF0"/>
    <w:rsid w:val="007931E5"/>
    <w:rsid w:val="00794B3B"/>
    <w:rsid w:val="007951B1"/>
    <w:rsid w:val="00795579"/>
    <w:rsid w:val="00796069"/>
    <w:rsid w:val="00796242"/>
    <w:rsid w:val="00796A81"/>
    <w:rsid w:val="00796C8E"/>
    <w:rsid w:val="00797D8A"/>
    <w:rsid w:val="007A08B5"/>
    <w:rsid w:val="007A0A40"/>
    <w:rsid w:val="007A0B34"/>
    <w:rsid w:val="007A11AD"/>
    <w:rsid w:val="007A1355"/>
    <w:rsid w:val="007A1370"/>
    <w:rsid w:val="007A21D5"/>
    <w:rsid w:val="007A28EC"/>
    <w:rsid w:val="007A3123"/>
    <w:rsid w:val="007A3BE6"/>
    <w:rsid w:val="007A3FE2"/>
    <w:rsid w:val="007A4A0A"/>
    <w:rsid w:val="007A4CF2"/>
    <w:rsid w:val="007A5AE6"/>
    <w:rsid w:val="007A6650"/>
    <w:rsid w:val="007A6E3F"/>
    <w:rsid w:val="007A7DBF"/>
    <w:rsid w:val="007B006D"/>
    <w:rsid w:val="007B0BF5"/>
    <w:rsid w:val="007B247A"/>
    <w:rsid w:val="007B2E77"/>
    <w:rsid w:val="007B356B"/>
    <w:rsid w:val="007B3965"/>
    <w:rsid w:val="007B3C2C"/>
    <w:rsid w:val="007B5CF2"/>
    <w:rsid w:val="007B6F45"/>
    <w:rsid w:val="007B78D4"/>
    <w:rsid w:val="007B7B5B"/>
    <w:rsid w:val="007C053B"/>
    <w:rsid w:val="007C0AAB"/>
    <w:rsid w:val="007C10A9"/>
    <w:rsid w:val="007C1531"/>
    <w:rsid w:val="007C1A10"/>
    <w:rsid w:val="007C2B2E"/>
    <w:rsid w:val="007C35BE"/>
    <w:rsid w:val="007C4B3D"/>
    <w:rsid w:val="007C51B3"/>
    <w:rsid w:val="007C51D3"/>
    <w:rsid w:val="007C672D"/>
    <w:rsid w:val="007C6C75"/>
    <w:rsid w:val="007C70E8"/>
    <w:rsid w:val="007C72E9"/>
    <w:rsid w:val="007D018B"/>
    <w:rsid w:val="007D03F4"/>
    <w:rsid w:val="007D08A4"/>
    <w:rsid w:val="007D1377"/>
    <w:rsid w:val="007D17AF"/>
    <w:rsid w:val="007D21D5"/>
    <w:rsid w:val="007D24DB"/>
    <w:rsid w:val="007D2C35"/>
    <w:rsid w:val="007D31B1"/>
    <w:rsid w:val="007D3C09"/>
    <w:rsid w:val="007D4561"/>
    <w:rsid w:val="007D4562"/>
    <w:rsid w:val="007D477F"/>
    <w:rsid w:val="007D4874"/>
    <w:rsid w:val="007D55D4"/>
    <w:rsid w:val="007D7537"/>
    <w:rsid w:val="007D7EFE"/>
    <w:rsid w:val="007E00F4"/>
    <w:rsid w:val="007E05CF"/>
    <w:rsid w:val="007E2112"/>
    <w:rsid w:val="007E2F7F"/>
    <w:rsid w:val="007E322C"/>
    <w:rsid w:val="007E3A7E"/>
    <w:rsid w:val="007E42CF"/>
    <w:rsid w:val="007E4DE6"/>
    <w:rsid w:val="007E5141"/>
    <w:rsid w:val="007E5F16"/>
    <w:rsid w:val="007E62CF"/>
    <w:rsid w:val="007F0B81"/>
    <w:rsid w:val="007F15F6"/>
    <w:rsid w:val="007F1C0C"/>
    <w:rsid w:val="007F1E44"/>
    <w:rsid w:val="007F1F1F"/>
    <w:rsid w:val="007F2FA9"/>
    <w:rsid w:val="007F35CE"/>
    <w:rsid w:val="007F39B9"/>
    <w:rsid w:val="007F5B27"/>
    <w:rsid w:val="007F615A"/>
    <w:rsid w:val="007F6E17"/>
    <w:rsid w:val="007F70E8"/>
    <w:rsid w:val="007F7B25"/>
    <w:rsid w:val="008002F5"/>
    <w:rsid w:val="008005FF"/>
    <w:rsid w:val="00800A39"/>
    <w:rsid w:val="0080152D"/>
    <w:rsid w:val="008038D4"/>
    <w:rsid w:val="00803B02"/>
    <w:rsid w:val="008048C2"/>
    <w:rsid w:val="00804A41"/>
    <w:rsid w:val="00804F7D"/>
    <w:rsid w:val="00805580"/>
    <w:rsid w:val="00807906"/>
    <w:rsid w:val="008079BC"/>
    <w:rsid w:val="00807D9E"/>
    <w:rsid w:val="00810F6B"/>
    <w:rsid w:val="00811D4E"/>
    <w:rsid w:val="00812181"/>
    <w:rsid w:val="00812532"/>
    <w:rsid w:val="00812C92"/>
    <w:rsid w:val="008134AB"/>
    <w:rsid w:val="00813E8C"/>
    <w:rsid w:val="00816116"/>
    <w:rsid w:val="00816195"/>
    <w:rsid w:val="008163EF"/>
    <w:rsid w:val="00816B6C"/>
    <w:rsid w:val="0081765C"/>
    <w:rsid w:val="00817AF3"/>
    <w:rsid w:val="008201B5"/>
    <w:rsid w:val="00820ADE"/>
    <w:rsid w:val="008211F9"/>
    <w:rsid w:val="008224D1"/>
    <w:rsid w:val="00823251"/>
    <w:rsid w:val="008238C9"/>
    <w:rsid w:val="00823905"/>
    <w:rsid w:val="00823A69"/>
    <w:rsid w:val="00824347"/>
    <w:rsid w:val="00824C72"/>
    <w:rsid w:val="008260CF"/>
    <w:rsid w:val="00826913"/>
    <w:rsid w:val="00826D27"/>
    <w:rsid w:val="00826D6A"/>
    <w:rsid w:val="00830EB1"/>
    <w:rsid w:val="008313C1"/>
    <w:rsid w:val="0083145F"/>
    <w:rsid w:val="00831575"/>
    <w:rsid w:val="008315AA"/>
    <w:rsid w:val="00831F01"/>
    <w:rsid w:val="008321A4"/>
    <w:rsid w:val="00832931"/>
    <w:rsid w:val="00832E98"/>
    <w:rsid w:val="00833A14"/>
    <w:rsid w:val="008342B2"/>
    <w:rsid w:val="00834842"/>
    <w:rsid w:val="0083562B"/>
    <w:rsid w:val="00836B89"/>
    <w:rsid w:val="00841C81"/>
    <w:rsid w:val="008428D0"/>
    <w:rsid w:val="00843031"/>
    <w:rsid w:val="0084307F"/>
    <w:rsid w:val="00843BCA"/>
    <w:rsid w:val="00843F78"/>
    <w:rsid w:val="0084412E"/>
    <w:rsid w:val="008447E9"/>
    <w:rsid w:val="008456A7"/>
    <w:rsid w:val="00846568"/>
    <w:rsid w:val="0085019D"/>
    <w:rsid w:val="008502B8"/>
    <w:rsid w:val="008505FD"/>
    <w:rsid w:val="008508A1"/>
    <w:rsid w:val="0085178B"/>
    <w:rsid w:val="0085253E"/>
    <w:rsid w:val="00853FD4"/>
    <w:rsid w:val="00855A07"/>
    <w:rsid w:val="0085621F"/>
    <w:rsid w:val="00856296"/>
    <w:rsid w:val="008563ED"/>
    <w:rsid w:val="00857A09"/>
    <w:rsid w:val="008605A5"/>
    <w:rsid w:val="00860854"/>
    <w:rsid w:val="00860C32"/>
    <w:rsid w:val="00862082"/>
    <w:rsid w:val="0086224E"/>
    <w:rsid w:val="00862430"/>
    <w:rsid w:val="00863B5C"/>
    <w:rsid w:val="008645D3"/>
    <w:rsid w:val="00864B76"/>
    <w:rsid w:val="00864ED3"/>
    <w:rsid w:val="008654FD"/>
    <w:rsid w:val="00865C3A"/>
    <w:rsid w:val="00865DFE"/>
    <w:rsid w:val="00866BC0"/>
    <w:rsid w:val="00866C45"/>
    <w:rsid w:val="008677F2"/>
    <w:rsid w:val="00867C7D"/>
    <w:rsid w:val="00870284"/>
    <w:rsid w:val="00870A8E"/>
    <w:rsid w:val="00870C90"/>
    <w:rsid w:val="00870CB7"/>
    <w:rsid w:val="00871345"/>
    <w:rsid w:val="0087161A"/>
    <w:rsid w:val="00871A73"/>
    <w:rsid w:val="008723A1"/>
    <w:rsid w:val="00873548"/>
    <w:rsid w:val="008742B5"/>
    <w:rsid w:val="00874334"/>
    <w:rsid w:val="00874470"/>
    <w:rsid w:val="00874548"/>
    <w:rsid w:val="008745B3"/>
    <w:rsid w:val="00874D0D"/>
    <w:rsid w:val="00874D46"/>
    <w:rsid w:val="00875B88"/>
    <w:rsid w:val="00876536"/>
    <w:rsid w:val="0087691C"/>
    <w:rsid w:val="00877223"/>
    <w:rsid w:val="00877838"/>
    <w:rsid w:val="008778CF"/>
    <w:rsid w:val="00877C18"/>
    <w:rsid w:val="008803B2"/>
    <w:rsid w:val="008809F5"/>
    <w:rsid w:val="00880B1A"/>
    <w:rsid w:val="0088224C"/>
    <w:rsid w:val="00882288"/>
    <w:rsid w:val="008827FF"/>
    <w:rsid w:val="00882C28"/>
    <w:rsid w:val="008830DE"/>
    <w:rsid w:val="0088346F"/>
    <w:rsid w:val="00883A14"/>
    <w:rsid w:val="00884299"/>
    <w:rsid w:val="00884FFF"/>
    <w:rsid w:val="00885BEC"/>
    <w:rsid w:val="00885E61"/>
    <w:rsid w:val="008869F7"/>
    <w:rsid w:val="00886DC5"/>
    <w:rsid w:val="008870C1"/>
    <w:rsid w:val="00887424"/>
    <w:rsid w:val="0088770B"/>
    <w:rsid w:val="00890149"/>
    <w:rsid w:val="008901C1"/>
    <w:rsid w:val="00892235"/>
    <w:rsid w:val="008928AF"/>
    <w:rsid w:val="00892BE4"/>
    <w:rsid w:val="008933CD"/>
    <w:rsid w:val="0089449C"/>
    <w:rsid w:val="00894514"/>
    <w:rsid w:val="008945C0"/>
    <w:rsid w:val="0089521D"/>
    <w:rsid w:val="008970E6"/>
    <w:rsid w:val="00897B53"/>
    <w:rsid w:val="00897BCF"/>
    <w:rsid w:val="008A0D1C"/>
    <w:rsid w:val="008A1394"/>
    <w:rsid w:val="008A1451"/>
    <w:rsid w:val="008A1C67"/>
    <w:rsid w:val="008A2456"/>
    <w:rsid w:val="008A2512"/>
    <w:rsid w:val="008A26C9"/>
    <w:rsid w:val="008A2E23"/>
    <w:rsid w:val="008A3399"/>
    <w:rsid w:val="008A3841"/>
    <w:rsid w:val="008A40F8"/>
    <w:rsid w:val="008A4E1B"/>
    <w:rsid w:val="008A5805"/>
    <w:rsid w:val="008A5B35"/>
    <w:rsid w:val="008A5D80"/>
    <w:rsid w:val="008A6823"/>
    <w:rsid w:val="008B01B0"/>
    <w:rsid w:val="008B0323"/>
    <w:rsid w:val="008B09EB"/>
    <w:rsid w:val="008B104F"/>
    <w:rsid w:val="008B13B5"/>
    <w:rsid w:val="008B1D3B"/>
    <w:rsid w:val="008B2177"/>
    <w:rsid w:val="008B21FE"/>
    <w:rsid w:val="008B2841"/>
    <w:rsid w:val="008B2883"/>
    <w:rsid w:val="008B2EF3"/>
    <w:rsid w:val="008B3631"/>
    <w:rsid w:val="008B3D8C"/>
    <w:rsid w:val="008B4384"/>
    <w:rsid w:val="008B4E26"/>
    <w:rsid w:val="008B503C"/>
    <w:rsid w:val="008B5BDC"/>
    <w:rsid w:val="008B7E8E"/>
    <w:rsid w:val="008C0031"/>
    <w:rsid w:val="008C0DEE"/>
    <w:rsid w:val="008C110D"/>
    <w:rsid w:val="008C1462"/>
    <w:rsid w:val="008C1DE6"/>
    <w:rsid w:val="008C25DE"/>
    <w:rsid w:val="008C2B02"/>
    <w:rsid w:val="008C2F92"/>
    <w:rsid w:val="008C326D"/>
    <w:rsid w:val="008C403E"/>
    <w:rsid w:val="008C419F"/>
    <w:rsid w:val="008C46D8"/>
    <w:rsid w:val="008C46ED"/>
    <w:rsid w:val="008C4E97"/>
    <w:rsid w:val="008C5844"/>
    <w:rsid w:val="008C5A29"/>
    <w:rsid w:val="008C5C79"/>
    <w:rsid w:val="008C5CD9"/>
    <w:rsid w:val="008C6D83"/>
    <w:rsid w:val="008C724A"/>
    <w:rsid w:val="008C7E52"/>
    <w:rsid w:val="008D21B0"/>
    <w:rsid w:val="008D238E"/>
    <w:rsid w:val="008D2B09"/>
    <w:rsid w:val="008D3052"/>
    <w:rsid w:val="008D330E"/>
    <w:rsid w:val="008D45CD"/>
    <w:rsid w:val="008D567D"/>
    <w:rsid w:val="008D5748"/>
    <w:rsid w:val="008D630F"/>
    <w:rsid w:val="008D6D8A"/>
    <w:rsid w:val="008D70F5"/>
    <w:rsid w:val="008D7674"/>
    <w:rsid w:val="008D76EA"/>
    <w:rsid w:val="008D7B0D"/>
    <w:rsid w:val="008E0D8A"/>
    <w:rsid w:val="008E1714"/>
    <w:rsid w:val="008E1F86"/>
    <w:rsid w:val="008E2E2F"/>
    <w:rsid w:val="008E3AB6"/>
    <w:rsid w:val="008E3D95"/>
    <w:rsid w:val="008E5587"/>
    <w:rsid w:val="008E56C0"/>
    <w:rsid w:val="008E6663"/>
    <w:rsid w:val="008E6813"/>
    <w:rsid w:val="008F0493"/>
    <w:rsid w:val="008F1A68"/>
    <w:rsid w:val="008F2A22"/>
    <w:rsid w:val="008F2A30"/>
    <w:rsid w:val="008F2F14"/>
    <w:rsid w:val="008F3DB2"/>
    <w:rsid w:val="008F40FC"/>
    <w:rsid w:val="008F4321"/>
    <w:rsid w:val="008F448B"/>
    <w:rsid w:val="008F4502"/>
    <w:rsid w:val="008F4D41"/>
    <w:rsid w:val="008F5306"/>
    <w:rsid w:val="008F534B"/>
    <w:rsid w:val="008F5725"/>
    <w:rsid w:val="008F63A7"/>
    <w:rsid w:val="008F649E"/>
    <w:rsid w:val="0090040A"/>
    <w:rsid w:val="00900506"/>
    <w:rsid w:val="0090061A"/>
    <w:rsid w:val="00900AAA"/>
    <w:rsid w:val="00900BC3"/>
    <w:rsid w:val="00901FBC"/>
    <w:rsid w:val="009027EA"/>
    <w:rsid w:val="00902A37"/>
    <w:rsid w:val="00902BF4"/>
    <w:rsid w:val="009034B0"/>
    <w:rsid w:val="00903854"/>
    <w:rsid w:val="00904A5B"/>
    <w:rsid w:val="00905603"/>
    <w:rsid w:val="0090560C"/>
    <w:rsid w:val="00905CDB"/>
    <w:rsid w:val="00905ED1"/>
    <w:rsid w:val="00905F22"/>
    <w:rsid w:val="00906271"/>
    <w:rsid w:val="0090647A"/>
    <w:rsid w:val="00906CF9"/>
    <w:rsid w:val="009071A8"/>
    <w:rsid w:val="00907301"/>
    <w:rsid w:val="0091054D"/>
    <w:rsid w:val="00911543"/>
    <w:rsid w:val="009123A7"/>
    <w:rsid w:val="00912435"/>
    <w:rsid w:val="00912C81"/>
    <w:rsid w:val="00912F2A"/>
    <w:rsid w:val="0091306A"/>
    <w:rsid w:val="0091329A"/>
    <w:rsid w:val="009137E9"/>
    <w:rsid w:val="009139BC"/>
    <w:rsid w:val="00914BF6"/>
    <w:rsid w:val="00915942"/>
    <w:rsid w:val="00917450"/>
    <w:rsid w:val="00917A95"/>
    <w:rsid w:val="00917E3D"/>
    <w:rsid w:val="00920C6F"/>
    <w:rsid w:val="009212CE"/>
    <w:rsid w:val="00921566"/>
    <w:rsid w:val="009219ED"/>
    <w:rsid w:val="00922C22"/>
    <w:rsid w:val="00922CD8"/>
    <w:rsid w:val="00922DBC"/>
    <w:rsid w:val="00923578"/>
    <w:rsid w:val="009239BF"/>
    <w:rsid w:val="00924512"/>
    <w:rsid w:val="0092468D"/>
    <w:rsid w:val="0092509E"/>
    <w:rsid w:val="00926161"/>
    <w:rsid w:val="0092624F"/>
    <w:rsid w:val="009269FA"/>
    <w:rsid w:val="00926DA8"/>
    <w:rsid w:val="009273AA"/>
    <w:rsid w:val="00927C3F"/>
    <w:rsid w:val="00930DD2"/>
    <w:rsid w:val="009314DB"/>
    <w:rsid w:val="0093155A"/>
    <w:rsid w:val="00931882"/>
    <w:rsid w:val="0093339B"/>
    <w:rsid w:val="009334E0"/>
    <w:rsid w:val="0093395A"/>
    <w:rsid w:val="00933C58"/>
    <w:rsid w:val="00933C59"/>
    <w:rsid w:val="00934108"/>
    <w:rsid w:val="00934D1B"/>
    <w:rsid w:val="0093684D"/>
    <w:rsid w:val="00937105"/>
    <w:rsid w:val="00937D34"/>
    <w:rsid w:val="00937F4E"/>
    <w:rsid w:val="0094050E"/>
    <w:rsid w:val="00940AFF"/>
    <w:rsid w:val="009419EB"/>
    <w:rsid w:val="009427C0"/>
    <w:rsid w:val="009432C8"/>
    <w:rsid w:val="00943398"/>
    <w:rsid w:val="00943D0F"/>
    <w:rsid w:val="009444FE"/>
    <w:rsid w:val="00945161"/>
    <w:rsid w:val="00945327"/>
    <w:rsid w:val="00945A08"/>
    <w:rsid w:val="00946127"/>
    <w:rsid w:val="00946EA4"/>
    <w:rsid w:val="00947662"/>
    <w:rsid w:val="009508A8"/>
    <w:rsid w:val="00950CA0"/>
    <w:rsid w:val="00951420"/>
    <w:rsid w:val="00952E33"/>
    <w:rsid w:val="00953194"/>
    <w:rsid w:val="00953631"/>
    <w:rsid w:val="00953F8A"/>
    <w:rsid w:val="0095489B"/>
    <w:rsid w:val="009552F5"/>
    <w:rsid w:val="0095558E"/>
    <w:rsid w:val="00955D88"/>
    <w:rsid w:val="00956D9A"/>
    <w:rsid w:val="00957613"/>
    <w:rsid w:val="009621C1"/>
    <w:rsid w:val="009625D0"/>
    <w:rsid w:val="00962C3D"/>
    <w:rsid w:val="009639A9"/>
    <w:rsid w:val="00963DE3"/>
    <w:rsid w:val="00963F40"/>
    <w:rsid w:val="0096431E"/>
    <w:rsid w:val="009643EC"/>
    <w:rsid w:val="0096591B"/>
    <w:rsid w:val="0096704B"/>
    <w:rsid w:val="00967484"/>
    <w:rsid w:val="00971A15"/>
    <w:rsid w:val="0097209D"/>
    <w:rsid w:val="0097295D"/>
    <w:rsid w:val="009736EA"/>
    <w:rsid w:val="00973FBE"/>
    <w:rsid w:val="00974902"/>
    <w:rsid w:val="00974A73"/>
    <w:rsid w:val="00974E91"/>
    <w:rsid w:val="0097506A"/>
    <w:rsid w:val="009753B1"/>
    <w:rsid w:val="00975B99"/>
    <w:rsid w:val="00975CDB"/>
    <w:rsid w:val="009760FC"/>
    <w:rsid w:val="00976531"/>
    <w:rsid w:val="009769C1"/>
    <w:rsid w:val="00976A69"/>
    <w:rsid w:val="0098085B"/>
    <w:rsid w:val="00981C15"/>
    <w:rsid w:val="00982263"/>
    <w:rsid w:val="00982BC9"/>
    <w:rsid w:val="00982D13"/>
    <w:rsid w:val="00982F8E"/>
    <w:rsid w:val="00983761"/>
    <w:rsid w:val="00983F43"/>
    <w:rsid w:val="009840B8"/>
    <w:rsid w:val="009843D0"/>
    <w:rsid w:val="009849DC"/>
    <w:rsid w:val="00984BB8"/>
    <w:rsid w:val="00984ED6"/>
    <w:rsid w:val="0098528A"/>
    <w:rsid w:val="00985386"/>
    <w:rsid w:val="009858BB"/>
    <w:rsid w:val="00985F52"/>
    <w:rsid w:val="0098660B"/>
    <w:rsid w:val="00986A75"/>
    <w:rsid w:val="009871B4"/>
    <w:rsid w:val="00987A8C"/>
    <w:rsid w:val="00987BF1"/>
    <w:rsid w:val="00987DB6"/>
    <w:rsid w:val="00990126"/>
    <w:rsid w:val="00990408"/>
    <w:rsid w:val="0099073A"/>
    <w:rsid w:val="0099144C"/>
    <w:rsid w:val="00991EA8"/>
    <w:rsid w:val="0099297B"/>
    <w:rsid w:val="00993757"/>
    <w:rsid w:val="00993911"/>
    <w:rsid w:val="00993E67"/>
    <w:rsid w:val="009947CA"/>
    <w:rsid w:val="00994A45"/>
    <w:rsid w:val="00995001"/>
    <w:rsid w:val="00995221"/>
    <w:rsid w:val="00995352"/>
    <w:rsid w:val="00995B73"/>
    <w:rsid w:val="009960EB"/>
    <w:rsid w:val="00996691"/>
    <w:rsid w:val="009969AA"/>
    <w:rsid w:val="00996C74"/>
    <w:rsid w:val="009973C7"/>
    <w:rsid w:val="00997DAE"/>
    <w:rsid w:val="009A09B8"/>
    <w:rsid w:val="009A09F6"/>
    <w:rsid w:val="009A0A41"/>
    <w:rsid w:val="009A1387"/>
    <w:rsid w:val="009A1483"/>
    <w:rsid w:val="009A2F3C"/>
    <w:rsid w:val="009A3383"/>
    <w:rsid w:val="009A372C"/>
    <w:rsid w:val="009A3A30"/>
    <w:rsid w:val="009A3EA0"/>
    <w:rsid w:val="009A4B21"/>
    <w:rsid w:val="009A4EF1"/>
    <w:rsid w:val="009A5436"/>
    <w:rsid w:val="009A57C3"/>
    <w:rsid w:val="009A60F8"/>
    <w:rsid w:val="009A69F9"/>
    <w:rsid w:val="009A6D68"/>
    <w:rsid w:val="009A7319"/>
    <w:rsid w:val="009A7D4B"/>
    <w:rsid w:val="009B0357"/>
    <w:rsid w:val="009B03A6"/>
    <w:rsid w:val="009B1A24"/>
    <w:rsid w:val="009B226B"/>
    <w:rsid w:val="009B2622"/>
    <w:rsid w:val="009B27DB"/>
    <w:rsid w:val="009B3C82"/>
    <w:rsid w:val="009B3E7C"/>
    <w:rsid w:val="009B4789"/>
    <w:rsid w:val="009B56D5"/>
    <w:rsid w:val="009B5804"/>
    <w:rsid w:val="009B5B1D"/>
    <w:rsid w:val="009B6637"/>
    <w:rsid w:val="009C0469"/>
    <w:rsid w:val="009C0CBF"/>
    <w:rsid w:val="009C1057"/>
    <w:rsid w:val="009C15B8"/>
    <w:rsid w:val="009C15FA"/>
    <w:rsid w:val="009C20D4"/>
    <w:rsid w:val="009C2216"/>
    <w:rsid w:val="009C2618"/>
    <w:rsid w:val="009C4D49"/>
    <w:rsid w:val="009C5136"/>
    <w:rsid w:val="009C5363"/>
    <w:rsid w:val="009C5ADB"/>
    <w:rsid w:val="009C6895"/>
    <w:rsid w:val="009C6FC6"/>
    <w:rsid w:val="009C7001"/>
    <w:rsid w:val="009C7402"/>
    <w:rsid w:val="009D0506"/>
    <w:rsid w:val="009D1D63"/>
    <w:rsid w:val="009D1E2D"/>
    <w:rsid w:val="009D2167"/>
    <w:rsid w:val="009D2B35"/>
    <w:rsid w:val="009D2E57"/>
    <w:rsid w:val="009D37FF"/>
    <w:rsid w:val="009D398C"/>
    <w:rsid w:val="009D3DD5"/>
    <w:rsid w:val="009D401C"/>
    <w:rsid w:val="009D426D"/>
    <w:rsid w:val="009D4495"/>
    <w:rsid w:val="009D47B1"/>
    <w:rsid w:val="009D4D04"/>
    <w:rsid w:val="009D603B"/>
    <w:rsid w:val="009D6335"/>
    <w:rsid w:val="009D66BB"/>
    <w:rsid w:val="009D6892"/>
    <w:rsid w:val="009D7723"/>
    <w:rsid w:val="009D79BB"/>
    <w:rsid w:val="009E01EB"/>
    <w:rsid w:val="009E0B0B"/>
    <w:rsid w:val="009E12B3"/>
    <w:rsid w:val="009E1568"/>
    <w:rsid w:val="009E167D"/>
    <w:rsid w:val="009E1D3A"/>
    <w:rsid w:val="009E2089"/>
    <w:rsid w:val="009E2878"/>
    <w:rsid w:val="009E2DDB"/>
    <w:rsid w:val="009E3F68"/>
    <w:rsid w:val="009E5979"/>
    <w:rsid w:val="009E5F24"/>
    <w:rsid w:val="009E6818"/>
    <w:rsid w:val="009E79F5"/>
    <w:rsid w:val="009F03C8"/>
    <w:rsid w:val="009F064D"/>
    <w:rsid w:val="009F07B8"/>
    <w:rsid w:val="009F0DC5"/>
    <w:rsid w:val="009F110B"/>
    <w:rsid w:val="009F1BF6"/>
    <w:rsid w:val="009F24BC"/>
    <w:rsid w:val="009F26CA"/>
    <w:rsid w:val="009F2E56"/>
    <w:rsid w:val="009F3191"/>
    <w:rsid w:val="009F3CCB"/>
    <w:rsid w:val="009F3FC8"/>
    <w:rsid w:val="009F4380"/>
    <w:rsid w:val="009F52B0"/>
    <w:rsid w:val="009F5C70"/>
    <w:rsid w:val="009F6235"/>
    <w:rsid w:val="009F65A2"/>
    <w:rsid w:val="009F77C6"/>
    <w:rsid w:val="009F7AF9"/>
    <w:rsid w:val="009F7D13"/>
    <w:rsid w:val="00A023DE"/>
    <w:rsid w:val="00A02484"/>
    <w:rsid w:val="00A0249F"/>
    <w:rsid w:val="00A028F5"/>
    <w:rsid w:val="00A04270"/>
    <w:rsid w:val="00A04488"/>
    <w:rsid w:val="00A0490C"/>
    <w:rsid w:val="00A05F9D"/>
    <w:rsid w:val="00A05FCF"/>
    <w:rsid w:val="00A0603E"/>
    <w:rsid w:val="00A068AA"/>
    <w:rsid w:val="00A07AA2"/>
    <w:rsid w:val="00A07CFE"/>
    <w:rsid w:val="00A07D7F"/>
    <w:rsid w:val="00A07D8C"/>
    <w:rsid w:val="00A11B58"/>
    <w:rsid w:val="00A12841"/>
    <w:rsid w:val="00A12B9F"/>
    <w:rsid w:val="00A12BD4"/>
    <w:rsid w:val="00A1377C"/>
    <w:rsid w:val="00A148AE"/>
    <w:rsid w:val="00A151C0"/>
    <w:rsid w:val="00A151F3"/>
    <w:rsid w:val="00A15324"/>
    <w:rsid w:val="00A16299"/>
    <w:rsid w:val="00A175D9"/>
    <w:rsid w:val="00A179D7"/>
    <w:rsid w:val="00A20379"/>
    <w:rsid w:val="00A209A7"/>
    <w:rsid w:val="00A20C5B"/>
    <w:rsid w:val="00A21B1C"/>
    <w:rsid w:val="00A22FFA"/>
    <w:rsid w:val="00A23629"/>
    <w:rsid w:val="00A2488B"/>
    <w:rsid w:val="00A249E0"/>
    <w:rsid w:val="00A253BC"/>
    <w:rsid w:val="00A25694"/>
    <w:rsid w:val="00A2572F"/>
    <w:rsid w:val="00A2714E"/>
    <w:rsid w:val="00A2793A"/>
    <w:rsid w:val="00A30B1C"/>
    <w:rsid w:val="00A30DC2"/>
    <w:rsid w:val="00A3106D"/>
    <w:rsid w:val="00A31238"/>
    <w:rsid w:val="00A314C5"/>
    <w:rsid w:val="00A3172D"/>
    <w:rsid w:val="00A31CC3"/>
    <w:rsid w:val="00A32451"/>
    <w:rsid w:val="00A32492"/>
    <w:rsid w:val="00A32E6D"/>
    <w:rsid w:val="00A33506"/>
    <w:rsid w:val="00A338FA"/>
    <w:rsid w:val="00A33A4E"/>
    <w:rsid w:val="00A33D08"/>
    <w:rsid w:val="00A365CA"/>
    <w:rsid w:val="00A36AAC"/>
    <w:rsid w:val="00A36CCD"/>
    <w:rsid w:val="00A36EC9"/>
    <w:rsid w:val="00A370C3"/>
    <w:rsid w:val="00A4118C"/>
    <w:rsid w:val="00A4182B"/>
    <w:rsid w:val="00A42058"/>
    <w:rsid w:val="00A425EE"/>
    <w:rsid w:val="00A42EF6"/>
    <w:rsid w:val="00A430BE"/>
    <w:rsid w:val="00A43D07"/>
    <w:rsid w:val="00A46DE3"/>
    <w:rsid w:val="00A47662"/>
    <w:rsid w:val="00A508D3"/>
    <w:rsid w:val="00A50E92"/>
    <w:rsid w:val="00A5171F"/>
    <w:rsid w:val="00A52E15"/>
    <w:rsid w:val="00A52E39"/>
    <w:rsid w:val="00A53835"/>
    <w:rsid w:val="00A541AF"/>
    <w:rsid w:val="00A545E7"/>
    <w:rsid w:val="00A5497B"/>
    <w:rsid w:val="00A54A22"/>
    <w:rsid w:val="00A55F24"/>
    <w:rsid w:val="00A560D7"/>
    <w:rsid w:val="00A56906"/>
    <w:rsid w:val="00A56C10"/>
    <w:rsid w:val="00A56C27"/>
    <w:rsid w:val="00A60048"/>
    <w:rsid w:val="00A601FD"/>
    <w:rsid w:val="00A604B5"/>
    <w:rsid w:val="00A606CA"/>
    <w:rsid w:val="00A60CE6"/>
    <w:rsid w:val="00A61081"/>
    <w:rsid w:val="00A6199E"/>
    <w:rsid w:val="00A624A4"/>
    <w:rsid w:val="00A63383"/>
    <w:rsid w:val="00A63AD2"/>
    <w:rsid w:val="00A6426A"/>
    <w:rsid w:val="00A64627"/>
    <w:rsid w:val="00A64B0E"/>
    <w:rsid w:val="00A64CFB"/>
    <w:rsid w:val="00A64F51"/>
    <w:rsid w:val="00A66349"/>
    <w:rsid w:val="00A66905"/>
    <w:rsid w:val="00A669F0"/>
    <w:rsid w:val="00A66E35"/>
    <w:rsid w:val="00A67B04"/>
    <w:rsid w:val="00A709E3"/>
    <w:rsid w:val="00A70AAB"/>
    <w:rsid w:val="00A70E47"/>
    <w:rsid w:val="00A7142F"/>
    <w:rsid w:val="00A71DEC"/>
    <w:rsid w:val="00A721EE"/>
    <w:rsid w:val="00A72B60"/>
    <w:rsid w:val="00A72D0B"/>
    <w:rsid w:val="00A734A8"/>
    <w:rsid w:val="00A73D10"/>
    <w:rsid w:val="00A74217"/>
    <w:rsid w:val="00A74687"/>
    <w:rsid w:val="00A749B1"/>
    <w:rsid w:val="00A74DDB"/>
    <w:rsid w:val="00A74FFE"/>
    <w:rsid w:val="00A76B08"/>
    <w:rsid w:val="00A76BF9"/>
    <w:rsid w:val="00A7747B"/>
    <w:rsid w:val="00A777A0"/>
    <w:rsid w:val="00A77906"/>
    <w:rsid w:val="00A77A5E"/>
    <w:rsid w:val="00A80097"/>
    <w:rsid w:val="00A80FF9"/>
    <w:rsid w:val="00A81032"/>
    <w:rsid w:val="00A8161C"/>
    <w:rsid w:val="00A81DC7"/>
    <w:rsid w:val="00A81E97"/>
    <w:rsid w:val="00A82631"/>
    <w:rsid w:val="00A82AA2"/>
    <w:rsid w:val="00A82AF4"/>
    <w:rsid w:val="00A834D3"/>
    <w:rsid w:val="00A8352B"/>
    <w:rsid w:val="00A8374E"/>
    <w:rsid w:val="00A83C0A"/>
    <w:rsid w:val="00A83F69"/>
    <w:rsid w:val="00A8497A"/>
    <w:rsid w:val="00A8525E"/>
    <w:rsid w:val="00A86B24"/>
    <w:rsid w:val="00A86CFE"/>
    <w:rsid w:val="00A87232"/>
    <w:rsid w:val="00A8731F"/>
    <w:rsid w:val="00A8765C"/>
    <w:rsid w:val="00A9067D"/>
    <w:rsid w:val="00A91B39"/>
    <w:rsid w:val="00A9216C"/>
    <w:rsid w:val="00A921B0"/>
    <w:rsid w:val="00A92FAA"/>
    <w:rsid w:val="00A934C2"/>
    <w:rsid w:val="00A95CB0"/>
    <w:rsid w:val="00A9606C"/>
    <w:rsid w:val="00A9617A"/>
    <w:rsid w:val="00A96236"/>
    <w:rsid w:val="00A96B1F"/>
    <w:rsid w:val="00A97AD0"/>
    <w:rsid w:val="00A97FBE"/>
    <w:rsid w:val="00AA160C"/>
    <w:rsid w:val="00AA190E"/>
    <w:rsid w:val="00AA1AD9"/>
    <w:rsid w:val="00AA1B8D"/>
    <w:rsid w:val="00AA24DB"/>
    <w:rsid w:val="00AA2FC0"/>
    <w:rsid w:val="00AA311C"/>
    <w:rsid w:val="00AA320F"/>
    <w:rsid w:val="00AA3425"/>
    <w:rsid w:val="00AA35FA"/>
    <w:rsid w:val="00AA40AC"/>
    <w:rsid w:val="00AA4224"/>
    <w:rsid w:val="00AA53F3"/>
    <w:rsid w:val="00AA55E3"/>
    <w:rsid w:val="00AA5804"/>
    <w:rsid w:val="00AA6021"/>
    <w:rsid w:val="00AA65F1"/>
    <w:rsid w:val="00AA6BBD"/>
    <w:rsid w:val="00AB0376"/>
    <w:rsid w:val="00AB1A33"/>
    <w:rsid w:val="00AB1B6F"/>
    <w:rsid w:val="00AB1CE2"/>
    <w:rsid w:val="00AB242A"/>
    <w:rsid w:val="00AB35D7"/>
    <w:rsid w:val="00AB4158"/>
    <w:rsid w:val="00AB43B8"/>
    <w:rsid w:val="00AB4612"/>
    <w:rsid w:val="00AB4B99"/>
    <w:rsid w:val="00AB515A"/>
    <w:rsid w:val="00AB57F4"/>
    <w:rsid w:val="00AB5B53"/>
    <w:rsid w:val="00AB6428"/>
    <w:rsid w:val="00AB646F"/>
    <w:rsid w:val="00AB746A"/>
    <w:rsid w:val="00AB7649"/>
    <w:rsid w:val="00AB7A62"/>
    <w:rsid w:val="00AB7C4A"/>
    <w:rsid w:val="00AC01CF"/>
    <w:rsid w:val="00AC11BC"/>
    <w:rsid w:val="00AC1ECA"/>
    <w:rsid w:val="00AC2B0B"/>
    <w:rsid w:val="00AC2B66"/>
    <w:rsid w:val="00AC2C63"/>
    <w:rsid w:val="00AC36C4"/>
    <w:rsid w:val="00AC37B0"/>
    <w:rsid w:val="00AC4612"/>
    <w:rsid w:val="00AC5AA5"/>
    <w:rsid w:val="00AC5F33"/>
    <w:rsid w:val="00AC7D48"/>
    <w:rsid w:val="00AC7EA4"/>
    <w:rsid w:val="00AD0536"/>
    <w:rsid w:val="00AD10C3"/>
    <w:rsid w:val="00AD2140"/>
    <w:rsid w:val="00AD22CB"/>
    <w:rsid w:val="00AD300D"/>
    <w:rsid w:val="00AD367D"/>
    <w:rsid w:val="00AD3708"/>
    <w:rsid w:val="00AD3E5F"/>
    <w:rsid w:val="00AD4060"/>
    <w:rsid w:val="00AD4F93"/>
    <w:rsid w:val="00AD584E"/>
    <w:rsid w:val="00AD6042"/>
    <w:rsid w:val="00AD6A53"/>
    <w:rsid w:val="00AD757C"/>
    <w:rsid w:val="00AD7A24"/>
    <w:rsid w:val="00AE08F1"/>
    <w:rsid w:val="00AE16E2"/>
    <w:rsid w:val="00AE1EC9"/>
    <w:rsid w:val="00AE337D"/>
    <w:rsid w:val="00AE387B"/>
    <w:rsid w:val="00AE402E"/>
    <w:rsid w:val="00AE4351"/>
    <w:rsid w:val="00AE44EB"/>
    <w:rsid w:val="00AE49AB"/>
    <w:rsid w:val="00AE4AF7"/>
    <w:rsid w:val="00AE57A5"/>
    <w:rsid w:val="00AE63F1"/>
    <w:rsid w:val="00AE75B9"/>
    <w:rsid w:val="00AF0828"/>
    <w:rsid w:val="00AF118E"/>
    <w:rsid w:val="00AF1F6A"/>
    <w:rsid w:val="00AF1F72"/>
    <w:rsid w:val="00AF1F7E"/>
    <w:rsid w:val="00AF256B"/>
    <w:rsid w:val="00AF25DA"/>
    <w:rsid w:val="00AF2828"/>
    <w:rsid w:val="00AF3F40"/>
    <w:rsid w:val="00AF430A"/>
    <w:rsid w:val="00AF466C"/>
    <w:rsid w:val="00AF58A4"/>
    <w:rsid w:val="00AF6452"/>
    <w:rsid w:val="00AF6658"/>
    <w:rsid w:val="00AF68A8"/>
    <w:rsid w:val="00AF68F6"/>
    <w:rsid w:val="00AF6B01"/>
    <w:rsid w:val="00AF6E62"/>
    <w:rsid w:val="00AF730F"/>
    <w:rsid w:val="00AF78DF"/>
    <w:rsid w:val="00B008E9"/>
    <w:rsid w:val="00B00930"/>
    <w:rsid w:val="00B0098B"/>
    <w:rsid w:val="00B00BC9"/>
    <w:rsid w:val="00B0123C"/>
    <w:rsid w:val="00B0313E"/>
    <w:rsid w:val="00B0518E"/>
    <w:rsid w:val="00B054B9"/>
    <w:rsid w:val="00B05800"/>
    <w:rsid w:val="00B0614F"/>
    <w:rsid w:val="00B0622A"/>
    <w:rsid w:val="00B06F4E"/>
    <w:rsid w:val="00B07AC6"/>
    <w:rsid w:val="00B109CC"/>
    <w:rsid w:val="00B11DCF"/>
    <w:rsid w:val="00B11F6A"/>
    <w:rsid w:val="00B12040"/>
    <w:rsid w:val="00B13A1E"/>
    <w:rsid w:val="00B14BC3"/>
    <w:rsid w:val="00B14CB0"/>
    <w:rsid w:val="00B15D67"/>
    <w:rsid w:val="00B15F6E"/>
    <w:rsid w:val="00B17C31"/>
    <w:rsid w:val="00B17FE9"/>
    <w:rsid w:val="00B206B9"/>
    <w:rsid w:val="00B21354"/>
    <w:rsid w:val="00B2164F"/>
    <w:rsid w:val="00B21E72"/>
    <w:rsid w:val="00B2209C"/>
    <w:rsid w:val="00B221AA"/>
    <w:rsid w:val="00B239F4"/>
    <w:rsid w:val="00B2414F"/>
    <w:rsid w:val="00B254F4"/>
    <w:rsid w:val="00B259F0"/>
    <w:rsid w:val="00B261AC"/>
    <w:rsid w:val="00B26214"/>
    <w:rsid w:val="00B26331"/>
    <w:rsid w:val="00B27098"/>
    <w:rsid w:val="00B27736"/>
    <w:rsid w:val="00B279D1"/>
    <w:rsid w:val="00B27A1A"/>
    <w:rsid w:val="00B30002"/>
    <w:rsid w:val="00B308BC"/>
    <w:rsid w:val="00B3156A"/>
    <w:rsid w:val="00B31C68"/>
    <w:rsid w:val="00B31E87"/>
    <w:rsid w:val="00B32FBD"/>
    <w:rsid w:val="00B35DC0"/>
    <w:rsid w:val="00B360A3"/>
    <w:rsid w:val="00B378C1"/>
    <w:rsid w:val="00B37EE0"/>
    <w:rsid w:val="00B40140"/>
    <w:rsid w:val="00B4127D"/>
    <w:rsid w:val="00B42920"/>
    <w:rsid w:val="00B431F0"/>
    <w:rsid w:val="00B43481"/>
    <w:rsid w:val="00B43F31"/>
    <w:rsid w:val="00B44021"/>
    <w:rsid w:val="00B44440"/>
    <w:rsid w:val="00B445BD"/>
    <w:rsid w:val="00B44A4B"/>
    <w:rsid w:val="00B44CB1"/>
    <w:rsid w:val="00B45701"/>
    <w:rsid w:val="00B46082"/>
    <w:rsid w:val="00B466B3"/>
    <w:rsid w:val="00B469D0"/>
    <w:rsid w:val="00B47312"/>
    <w:rsid w:val="00B47A89"/>
    <w:rsid w:val="00B51696"/>
    <w:rsid w:val="00B518A0"/>
    <w:rsid w:val="00B521A9"/>
    <w:rsid w:val="00B52350"/>
    <w:rsid w:val="00B531AC"/>
    <w:rsid w:val="00B539DD"/>
    <w:rsid w:val="00B53E47"/>
    <w:rsid w:val="00B5405B"/>
    <w:rsid w:val="00B54E61"/>
    <w:rsid w:val="00B55DF3"/>
    <w:rsid w:val="00B5638F"/>
    <w:rsid w:val="00B569DC"/>
    <w:rsid w:val="00B57299"/>
    <w:rsid w:val="00B608F4"/>
    <w:rsid w:val="00B60954"/>
    <w:rsid w:val="00B60D40"/>
    <w:rsid w:val="00B62089"/>
    <w:rsid w:val="00B62689"/>
    <w:rsid w:val="00B63EEB"/>
    <w:rsid w:val="00B63EF7"/>
    <w:rsid w:val="00B641A4"/>
    <w:rsid w:val="00B6498A"/>
    <w:rsid w:val="00B64F7B"/>
    <w:rsid w:val="00B652F2"/>
    <w:rsid w:val="00B65999"/>
    <w:rsid w:val="00B65DFB"/>
    <w:rsid w:val="00B7042C"/>
    <w:rsid w:val="00B7152F"/>
    <w:rsid w:val="00B71938"/>
    <w:rsid w:val="00B71E10"/>
    <w:rsid w:val="00B72109"/>
    <w:rsid w:val="00B72DB1"/>
    <w:rsid w:val="00B72DF5"/>
    <w:rsid w:val="00B738F6"/>
    <w:rsid w:val="00B768AA"/>
    <w:rsid w:val="00B76F86"/>
    <w:rsid w:val="00B77BEE"/>
    <w:rsid w:val="00B80508"/>
    <w:rsid w:val="00B81817"/>
    <w:rsid w:val="00B82026"/>
    <w:rsid w:val="00B8253B"/>
    <w:rsid w:val="00B835F1"/>
    <w:rsid w:val="00B844BB"/>
    <w:rsid w:val="00B84985"/>
    <w:rsid w:val="00B85106"/>
    <w:rsid w:val="00B859E6"/>
    <w:rsid w:val="00B85E6B"/>
    <w:rsid w:val="00B90C93"/>
    <w:rsid w:val="00B90CE9"/>
    <w:rsid w:val="00B90E49"/>
    <w:rsid w:val="00B913C4"/>
    <w:rsid w:val="00B922BF"/>
    <w:rsid w:val="00B9244C"/>
    <w:rsid w:val="00B92E21"/>
    <w:rsid w:val="00B93DFE"/>
    <w:rsid w:val="00B93EC6"/>
    <w:rsid w:val="00B95D54"/>
    <w:rsid w:val="00B95FC1"/>
    <w:rsid w:val="00B96072"/>
    <w:rsid w:val="00B96453"/>
    <w:rsid w:val="00B96A21"/>
    <w:rsid w:val="00B96B30"/>
    <w:rsid w:val="00BA02AF"/>
    <w:rsid w:val="00BA03D7"/>
    <w:rsid w:val="00BA0548"/>
    <w:rsid w:val="00BA054D"/>
    <w:rsid w:val="00BA0E2D"/>
    <w:rsid w:val="00BA1878"/>
    <w:rsid w:val="00BA1B15"/>
    <w:rsid w:val="00BA20A8"/>
    <w:rsid w:val="00BA27D0"/>
    <w:rsid w:val="00BA2FEB"/>
    <w:rsid w:val="00BA31CA"/>
    <w:rsid w:val="00BA38CF"/>
    <w:rsid w:val="00BA38F7"/>
    <w:rsid w:val="00BA4745"/>
    <w:rsid w:val="00BA48A7"/>
    <w:rsid w:val="00BA4A0C"/>
    <w:rsid w:val="00BA51AB"/>
    <w:rsid w:val="00BA51F4"/>
    <w:rsid w:val="00BA6B4E"/>
    <w:rsid w:val="00BA7071"/>
    <w:rsid w:val="00BB030B"/>
    <w:rsid w:val="00BB21F0"/>
    <w:rsid w:val="00BB2415"/>
    <w:rsid w:val="00BB243B"/>
    <w:rsid w:val="00BB2623"/>
    <w:rsid w:val="00BB2ED2"/>
    <w:rsid w:val="00BB2FF2"/>
    <w:rsid w:val="00BB324D"/>
    <w:rsid w:val="00BB35CF"/>
    <w:rsid w:val="00BB3765"/>
    <w:rsid w:val="00BB3B8F"/>
    <w:rsid w:val="00BB4C5B"/>
    <w:rsid w:val="00BB4DAA"/>
    <w:rsid w:val="00BB5948"/>
    <w:rsid w:val="00BB5951"/>
    <w:rsid w:val="00BB5F27"/>
    <w:rsid w:val="00BB6849"/>
    <w:rsid w:val="00BB6C8E"/>
    <w:rsid w:val="00BB758D"/>
    <w:rsid w:val="00BB7768"/>
    <w:rsid w:val="00BB7F19"/>
    <w:rsid w:val="00BC07C0"/>
    <w:rsid w:val="00BC1629"/>
    <w:rsid w:val="00BC1908"/>
    <w:rsid w:val="00BC2A8E"/>
    <w:rsid w:val="00BC3A3C"/>
    <w:rsid w:val="00BC4307"/>
    <w:rsid w:val="00BC44D0"/>
    <w:rsid w:val="00BC6782"/>
    <w:rsid w:val="00BC6A4F"/>
    <w:rsid w:val="00BC70A1"/>
    <w:rsid w:val="00BC72CD"/>
    <w:rsid w:val="00BD1056"/>
    <w:rsid w:val="00BD14C2"/>
    <w:rsid w:val="00BD2B22"/>
    <w:rsid w:val="00BD2B32"/>
    <w:rsid w:val="00BD35C6"/>
    <w:rsid w:val="00BD41F1"/>
    <w:rsid w:val="00BD425A"/>
    <w:rsid w:val="00BD4B2A"/>
    <w:rsid w:val="00BD54FF"/>
    <w:rsid w:val="00BD6DFB"/>
    <w:rsid w:val="00BD72AE"/>
    <w:rsid w:val="00BD769F"/>
    <w:rsid w:val="00BD7BDE"/>
    <w:rsid w:val="00BE0AA4"/>
    <w:rsid w:val="00BE0CFB"/>
    <w:rsid w:val="00BE0E73"/>
    <w:rsid w:val="00BE12D8"/>
    <w:rsid w:val="00BE2527"/>
    <w:rsid w:val="00BE2D4F"/>
    <w:rsid w:val="00BE3245"/>
    <w:rsid w:val="00BE32D6"/>
    <w:rsid w:val="00BE3597"/>
    <w:rsid w:val="00BE4343"/>
    <w:rsid w:val="00BE4917"/>
    <w:rsid w:val="00BE4E52"/>
    <w:rsid w:val="00BE599A"/>
    <w:rsid w:val="00BE6966"/>
    <w:rsid w:val="00BE6F35"/>
    <w:rsid w:val="00BE70BA"/>
    <w:rsid w:val="00BE7CD3"/>
    <w:rsid w:val="00BF00BA"/>
    <w:rsid w:val="00BF0469"/>
    <w:rsid w:val="00BF194A"/>
    <w:rsid w:val="00BF1968"/>
    <w:rsid w:val="00BF1F69"/>
    <w:rsid w:val="00BF221C"/>
    <w:rsid w:val="00BF2589"/>
    <w:rsid w:val="00BF2D81"/>
    <w:rsid w:val="00BF320F"/>
    <w:rsid w:val="00BF3EF1"/>
    <w:rsid w:val="00BF42E8"/>
    <w:rsid w:val="00BF4ABD"/>
    <w:rsid w:val="00BF5B2E"/>
    <w:rsid w:val="00BF6524"/>
    <w:rsid w:val="00BF66DE"/>
    <w:rsid w:val="00C0023A"/>
    <w:rsid w:val="00C00C52"/>
    <w:rsid w:val="00C01D4D"/>
    <w:rsid w:val="00C0216B"/>
    <w:rsid w:val="00C02782"/>
    <w:rsid w:val="00C02B78"/>
    <w:rsid w:val="00C0409F"/>
    <w:rsid w:val="00C0413B"/>
    <w:rsid w:val="00C04C57"/>
    <w:rsid w:val="00C04D25"/>
    <w:rsid w:val="00C056A8"/>
    <w:rsid w:val="00C057F5"/>
    <w:rsid w:val="00C058B1"/>
    <w:rsid w:val="00C07336"/>
    <w:rsid w:val="00C07381"/>
    <w:rsid w:val="00C07A77"/>
    <w:rsid w:val="00C07B0E"/>
    <w:rsid w:val="00C07C3D"/>
    <w:rsid w:val="00C07F18"/>
    <w:rsid w:val="00C106FE"/>
    <w:rsid w:val="00C11952"/>
    <w:rsid w:val="00C11F38"/>
    <w:rsid w:val="00C130E1"/>
    <w:rsid w:val="00C13E26"/>
    <w:rsid w:val="00C14979"/>
    <w:rsid w:val="00C1527B"/>
    <w:rsid w:val="00C1541B"/>
    <w:rsid w:val="00C155D0"/>
    <w:rsid w:val="00C156CF"/>
    <w:rsid w:val="00C160DF"/>
    <w:rsid w:val="00C16830"/>
    <w:rsid w:val="00C16AA6"/>
    <w:rsid w:val="00C17056"/>
    <w:rsid w:val="00C20034"/>
    <w:rsid w:val="00C2071B"/>
    <w:rsid w:val="00C20E19"/>
    <w:rsid w:val="00C2140E"/>
    <w:rsid w:val="00C217A9"/>
    <w:rsid w:val="00C2198F"/>
    <w:rsid w:val="00C21F8F"/>
    <w:rsid w:val="00C2218D"/>
    <w:rsid w:val="00C222E2"/>
    <w:rsid w:val="00C23692"/>
    <w:rsid w:val="00C237D5"/>
    <w:rsid w:val="00C239BC"/>
    <w:rsid w:val="00C23B54"/>
    <w:rsid w:val="00C240A7"/>
    <w:rsid w:val="00C24D86"/>
    <w:rsid w:val="00C25676"/>
    <w:rsid w:val="00C2597F"/>
    <w:rsid w:val="00C25A6D"/>
    <w:rsid w:val="00C25AA7"/>
    <w:rsid w:val="00C25C57"/>
    <w:rsid w:val="00C32768"/>
    <w:rsid w:val="00C3286D"/>
    <w:rsid w:val="00C331C7"/>
    <w:rsid w:val="00C348BA"/>
    <w:rsid w:val="00C36DC6"/>
    <w:rsid w:val="00C36F37"/>
    <w:rsid w:val="00C37B45"/>
    <w:rsid w:val="00C4072A"/>
    <w:rsid w:val="00C40A0B"/>
    <w:rsid w:val="00C40A39"/>
    <w:rsid w:val="00C42C51"/>
    <w:rsid w:val="00C4459A"/>
    <w:rsid w:val="00C44DE8"/>
    <w:rsid w:val="00C44EFB"/>
    <w:rsid w:val="00C45DF6"/>
    <w:rsid w:val="00C45EB6"/>
    <w:rsid w:val="00C46971"/>
    <w:rsid w:val="00C50E29"/>
    <w:rsid w:val="00C51606"/>
    <w:rsid w:val="00C517DE"/>
    <w:rsid w:val="00C52165"/>
    <w:rsid w:val="00C52B69"/>
    <w:rsid w:val="00C55281"/>
    <w:rsid w:val="00C559B4"/>
    <w:rsid w:val="00C56603"/>
    <w:rsid w:val="00C56BD5"/>
    <w:rsid w:val="00C57097"/>
    <w:rsid w:val="00C574FE"/>
    <w:rsid w:val="00C57F50"/>
    <w:rsid w:val="00C602F8"/>
    <w:rsid w:val="00C60C59"/>
    <w:rsid w:val="00C6165F"/>
    <w:rsid w:val="00C61C64"/>
    <w:rsid w:val="00C62764"/>
    <w:rsid w:val="00C62880"/>
    <w:rsid w:val="00C63CBC"/>
    <w:rsid w:val="00C63E7E"/>
    <w:rsid w:val="00C65164"/>
    <w:rsid w:val="00C65BF3"/>
    <w:rsid w:val="00C66276"/>
    <w:rsid w:val="00C66B57"/>
    <w:rsid w:val="00C66D14"/>
    <w:rsid w:val="00C66EF6"/>
    <w:rsid w:val="00C67F20"/>
    <w:rsid w:val="00C67FFE"/>
    <w:rsid w:val="00C7026E"/>
    <w:rsid w:val="00C70AED"/>
    <w:rsid w:val="00C70E3B"/>
    <w:rsid w:val="00C717A8"/>
    <w:rsid w:val="00C73724"/>
    <w:rsid w:val="00C73936"/>
    <w:rsid w:val="00C74577"/>
    <w:rsid w:val="00C752F1"/>
    <w:rsid w:val="00C75A06"/>
    <w:rsid w:val="00C762EA"/>
    <w:rsid w:val="00C76525"/>
    <w:rsid w:val="00C768A0"/>
    <w:rsid w:val="00C7692F"/>
    <w:rsid w:val="00C80748"/>
    <w:rsid w:val="00C81593"/>
    <w:rsid w:val="00C81640"/>
    <w:rsid w:val="00C81908"/>
    <w:rsid w:val="00C820C3"/>
    <w:rsid w:val="00C828CB"/>
    <w:rsid w:val="00C82A3C"/>
    <w:rsid w:val="00C832E6"/>
    <w:rsid w:val="00C841F8"/>
    <w:rsid w:val="00C845F5"/>
    <w:rsid w:val="00C84B4D"/>
    <w:rsid w:val="00C85921"/>
    <w:rsid w:val="00C8677C"/>
    <w:rsid w:val="00C86B10"/>
    <w:rsid w:val="00C86DBC"/>
    <w:rsid w:val="00C90542"/>
    <w:rsid w:val="00C90792"/>
    <w:rsid w:val="00C90C18"/>
    <w:rsid w:val="00C9187B"/>
    <w:rsid w:val="00C91954"/>
    <w:rsid w:val="00C91A27"/>
    <w:rsid w:val="00C9213C"/>
    <w:rsid w:val="00C92288"/>
    <w:rsid w:val="00C931DA"/>
    <w:rsid w:val="00C93F05"/>
    <w:rsid w:val="00C940DE"/>
    <w:rsid w:val="00C94856"/>
    <w:rsid w:val="00C95184"/>
    <w:rsid w:val="00C95637"/>
    <w:rsid w:val="00C9586B"/>
    <w:rsid w:val="00C9599D"/>
    <w:rsid w:val="00C95A14"/>
    <w:rsid w:val="00C95C78"/>
    <w:rsid w:val="00C960A4"/>
    <w:rsid w:val="00C96718"/>
    <w:rsid w:val="00C96736"/>
    <w:rsid w:val="00C97543"/>
    <w:rsid w:val="00CA08B2"/>
    <w:rsid w:val="00CA110D"/>
    <w:rsid w:val="00CA3CA6"/>
    <w:rsid w:val="00CA41A2"/>
    <w:rsid w:val="00CA4E65"/>
    <w:rsid w:val="00CA5060"/>
    <w:rsid w:val="00CA52DE"/>
    <w:rsid w:val="00CA538E"/>
    <w:rsid w:val="00CA67D1"/>
    <w:rsid w:val="00CA6902"/>
    <w:rsid w:val="00CA7040"/>
    <w:rsid w:val="00CA7C22"/>
    <w:rsid w:val="00CB0929"/>
    <w:rsid w:val="00CB1414"/>
    <w:rsid w:val="00CB2016"/>
    <w:rsid w:val="00CB22AB"/>
    <w:rsid w:val="00CB2466"/>
    <w:rsid w:val="00CB25D2"/>
    <w:rsid w:val="00CB2968"/>
    <w:rsid w:val="00CB2CE5"/>
    <w:rsid w:val="00CB2F88"/>
    <w:rsid w:val="00CB2FDC"/>
    <w:rsid w:val="00CB353A"/>
    <w:rsid w:val="00CB3B85"/>
    <w:rsid w:val="00CB4495"/>
    <w:rsid w:val="00CB453C"/>
    <w:rsid w:val="00CB5A2B"/>
    <w:rsid w:val="00CB6065"/>
    <w:rsid w:val="00CB60D8"/>
    <w:rsid w:val="00CB62BC"/>
    <w:rsid w:val="00CB6C5C"/>
    <w:rsid w:val="00CB771E"/>
    <w:rsid w:val="00CB7803"/>
    <w:rsid w:val="00CB7C9B"/>
    <w:rsid w:val="00CC005B"/>
    <w:rsid w:val="00CC0A0A"/>
    <w:rsid w:val="00CC1159"/>
    <w:rsid w:val="00CC176E"/>
    <w:rsid w:val="00CC1B78"/>
    <w:rsid w:val="00CC1BF8"/>
    <w:rsid w:val="00CC2166"/>
    <w:rsid w:val="00CC35A7"/>
    <w:rsid w:val="00CC3BC0"/>
    <w:rsid w:val="00CC46BE"/>
    <w:rsid w:val="00CC4841"/>
    <w:rsid w:val="00CC49A9"/>
    <w:rsid w:val="00CC52F9"/>
    <w:rsid w:val="00CC62A3"/>
    <w:rsid w:val="00CC6B2E"/>
    <w:rsid w:val="00CC6FF2"/>
    <w:rsid w:val="00CC74B7"/>
    <w:rsid w:val="00CC77D2"/>
    <w:rsid w:val="00CD01E1"/>
    <w:rsid w:val="00CD03BC"/>
    <w:rsid w:val="00CD0513"/>
    <w:rsid w:val="00CD060F"/>
    <w:rsid w:val="00CD0B9E"/>
    <w:rsid w:val="00CD0C20"/>
    <w:rsid w:val="00CD0EB1"/>
    <w:rsid w:val="00CD155E"/>
    <w:rsid w:val="00CD1D48"/>
    <w:rsid w:val="00CD219D"/>
    <w:rsid w:val="00CD2473"/>
    <w:rsid w:val="00CD27A0"/>
    <w:rsid w:val="00CD3809"/>
    <w:rsid w:val="00CD3CD3"/>
    <w:rsid w:val="00CD5C6E"/>
    <w:rsid w:val="00CD5F62"/>
    <w:rsid w:val="00CD63F8"/>
    <w:rsid w:val="00CD6720"/>
    <w:rsid w:val="00CD70E6"/>
    <w:rsid w:val="00CE05AD"/>
    <w:rsid w:val="00CE0785"/>
    <w:rsid w:val="00CE0CAE"/>
    <w:rsid w:val="00CE1981"/>
    <w:rsid w:val="00CE19E5"/>
    <w:rsid w:val="00CE2D6F"/>
    <w:rsid w:val="00CE2D7C"/>
    <w:rsid w:val="00CE2DD6"/>
    <w:rsid w:val="00CE2DEA"/>
    <w:rsid w:val="00CE311C"/>
    <w:rsid w:val="00CE3446"/>
    <w:rsid w:val="00CE5C15"/>
    <w:rsid w:val="00CE5F77"/>
    <w:rsid w:val="00CE6306"/>
    <w:rsid w:val="00CE6343"/>
    <w:rsid w:val="00CE636E"/>
    <w:rsid w:val="00CE6846"/>
    <w:rsid w:val="00CE7B73"/>
    <w:rsid w:val="00CE7FE0"/>
    <w:rsid w:val="00CF193D"/>
    <w:rsid w:val="00CF1C68"/>
    <w:rsid w:val="00CF2A10"/>
    <w:rsid w:val="00CF34C9"/>
    <w:rsid w:val="00CF34F0"/>
    <w:rsid w:val="00CF3C93"/>
    <w:rsid w:val="00CF4AC8"/>
    <w:rsid w:val="00CF5940"/>
    <w:rsid w:val="00CF6BDA"/>
    <w:rsid w:val="00CF6BE3"/>
    <w:rsid w:val="00CF7B92"/>
    <w:rsid w:val="00CF7C56"/>
    <w:rsid w:val="00D011DB"/>
    <w:rsid w:val="00D01455"/>
    <w:rsid w:val="00D01582"/>
    <w:rsid w:val="00D01BD2"/>
    <w:rsid w:val="00D01E65"/>
    <w:rsid w:val="00D0258B"/>
    <w:rsid w:val="00D02922"/>
    <w:rsid w:val="00D02A55"/>
    <w:rsid w:val="00D02B2C"/>
    <w:rsid w:val="00D033BC"/>
    <w:rsid w:val="00D03C43"/>
    <w:rsid w:val="00D03ED2"/>
    <w:rsid w:val="00D04AB5"/>
    <w:rsid w:val="00D04EEF"/>
    <w:rsid w:val="00D06062"/>
    <w:rsid w:val="00D060A2"/>
    <w:rsid w:val="00D0650D"/>
    <w:rsid w:val="00D070FB"/>
    <w:rsid w:val="00D07A52"/>
    <w:rsid w:val="00D1076B"/>
    <w:rsid w:val="00D10A29"/>
    <w:rsid w:val="00D11386"/>
    <w:rsid w:val="00D11543"/>
    <w:rsid w:val="00D1161A"/>
    <w:rsid w:val="00D11CA6"/>
    <w:rsid w:val="00D120F8"/>
    <w:rsid w:val="00D128FB"/>
    <w:rsid w:val="00D138DF"/>
    <w:rsid w:val="00D14001"/>
    <w:rsid w:val="00D14236"/>
    <w:rsid w:val="00D14376"/>
    <w:rsid w:val="00D149BE"/>
    <w:rsid w:val="00D14F70"/>
    <w:rsid w:val="00D14FE6"/>
    <w:rsid w:val="00D16E6C"/>
    <w:rsid w:val="00D176BA"/>
    <w:rsid w:val="00D2082B"/>
    <w:rsid w:val="00D209E8"/>
    <w:rsid w:val="00D20A28"/>
    <w:rsid w:val="00D20A2B"/>
    <w:rsid w:val="00D20B7E"/>
    <w:rsid w:val="00D20F80"/>
    <w:rsid w:val="00D2118D"/>
    <w:rsid w:val="00D2161A"/>
    <w:rsid w:val="00D21BBE"/>
    <w:rsid w:val="00D21EF6"/>
    <w:rsid w:val="00D22950"/>
    <w:rsid w:val="00D22D87"/>
    <w:rsid w:val="00D236D0"/>
    <w:rsid w:val="00D2387E"/>
    <w:rsid w:val="00D246CA"/>
    <w:rsid w:val="00D248C6"/>
    <w:rsid w:val="00D254D4"/>
    <w:rsid w:val="00D25AA5"/>
    <w:rsid w:val="00D25EC2"/>
    <w:rsid w:val="00D260DB"/>
    <w:rsid w:val="00D26FD9"/>
    <w:rsid w:val="00D270B6"/>
    <w:rsid w:val="00D30659"/>
    <w:rsid w:val="00D3088D"/>
    <w:rsid w:val="00D30FDC"/>
    <w:rsid w:val="00D32900"/>
    <w:rsid w:val="00D33124"/>
    <w:rsid w:val="00D33A0B"/>
    <w:rsid w:val="00D34A72"/>
    <w:rsid w:val="00D35318"/>
    <w:rsid w:val="00D356CF"/>
    <w:rsid w:val="00D35840"/>
    <w:rsid w:val="00D35C04"/>
    <w:rsid w:val="00D37490"/>
    <w:rsid w:val="00D376C8"/>
    <w:rsid w:val="00D3773F"/>
    <w:rsid w:val="00D37A14"/>
    <w:rsid w:val="00D405A2"/>
    <w:rsid w:val="00D4062A"/>
    <w:rsid w:val="00D407A2"/>
    <w:rsid w:val="00D409DB"/>
    <w:rsid w:val="00D40AC5"/>
    <w:rsid w:val="00D411AF"/>
    <w:rsid w:val="00D4124A"/>
    <w:rsid w:val="00D41401"/>
    <w:rsid w:val="00D41888"/>
    <w:rsid w:val="00D41EFE"/>
    <w:rsid w:val="00D42395"/>
    <w:rsid w:val="00D4285D"/>
    <w:rsid w:val="00D439E3"/>
    <w:rsid w:val="00D43A49"/>
    <w:rsid w:val="00D43DD7"/>
    <w:rsid w:val="00D4427A"/>
    <w:rsid w:val="00D44426"/>
    <w:rsid w:val="00D45182"/>
    <w:rsid w:val="00D453B2"/>
    <w:rsid w:val="00D467A5"/>
    <w:rsid w:val="00D46F2A"/>
    <w:rsid w:val="00D4716B"/>
    <w:rsid w:val="00D4721A"/>
    <w:rsid w:val="00D47678"/>
    <w:rsid w:val="00D50C39"/>
    <w:rsid w:val="00D51575"/>
    <w:rsid w:val="00D51AD3"/>
    <w:rsid w:val="00D51B96"/>
    <w:rsid w:val="00D51F10"/>
    <w:rsid w:val="00D52234"/>
    <w:rsid w:val="00D52360"/>
    <w:rsid w:val="00D52F46"/>
    <w:rsid w:val="00D531EF"/>
    <w:rsid w:val="00D53349"/>
    <w:rsid w:val="00D533AB"/>
    <w:rsid w:val="00D53811"/>
    <w:rsid w:val="00D55F28"/>
    <w:rsid w:val="00D565F5"/>
    <w:rsid w:val="00D56ADF"/>
    <w:rsid w:val="00D56AE3"/>
    <w:rsid w:val="00D57106"/>
    <w:rsid w:val="00D5744B"/>
    <w:rsid w:val="00D57721"/>
    <w:rsid w:val="00D57825"/>
    <w:rsid w:val="00D61CC1"/>
    <w:rsid w:val="00D623BB"/>
    <w:rsid w:val="00D640AC"/>
    <w:rsid w:val="00D648F1"/>
    <w:rsid w:val="00D64AD4"/>
    <w:rsid w:val="00D64C3F"/>
    <w:rsid w:val="00D65970"/>
    <w:rsid w:val="00D6611C"/>
    <w:rsid w:val="00D6713A"/>
    <w:rsid w:val="00D679CD"/>
    <w:rsid w:val="00D67A80"/>
    <w:rsid w:val="00D67B4E"/>
    <w:rsid w:val="00D7032F"/>
    <w:rsid w:val="00D72240"/>
    <w:rsid w:val="00D72DB6"/>
    <w:rsid w:val="00D72FF3"/>
    <w:rsid w:val="00D731DC"/>
    <w:rsid w:val="00D73B31"/>
    <w:rsid w:val="00D73CBB"/>
    <w:rsid w:val="00D75CC0"/>
    <w:rsid w:val="00D76E10"/>
    <w:rsid w:val="00D76E33"/>
    <w:rsid w:val="00D802B6"/>
    <w:rsid w:val="00D803B5"/>
    <w:rsid w:val="00D8044F"/>
    <w:rsid w:val="00D808D8"/>
    <w:rsid w:val="00D80ADC"/>
    <w:rsid w:val="00D8153F"/>
    <w:rsid w:val="00D815E5"/>
    <w:rsid w:val="00D8220A"/>
    <w:rsid w:val="00D82B97"/>
    <w:rsid w:val="00D842F3"/>
    <w:rsid w:val="00D84AA2"/>
    <w:rsid w:val="00D85012"/>
    <w:rsid w:val="00D86380"/>
    <w:rsid w:val="00D86424"/>
    <w:rsid w:val="00D86547"/>
    <w:rsid w:val="00D87EC7"/>
    <w:rsid w:val="00D904DF"/>
    <w:rsid w:val="00D908F6"/>
    <w:rsid w:val="00D90D01"/>
    <w:rsid w:val="00D90DC3"/>
    <w:rsid w:val="00D9118E"/>
    <w:rsid w:val="00D915AF"/>
    <w:rsid w:val="00D91724"/>
    <w:rsid w:val="00D92DB1"/>
    <w:rsid w:val="00D93A04"/>
    <w:rsid w:val="00D93B5E"/>
    <w:rsid w:val="00D943EF"/>
    <w:rsid w:val="00D9463F"/>
    <w:rsid w:val="00D94B2F"/>
    <w:rsid w:val="00D958FD"/>
    <w:rsid w:val="00D95ADA"/>
    <w:rsid w:val="00D95C53"/>
    <w:rsid w:val="00D9612D"/>
    <w:rsid w:val="00D9700A"/>
    <w:rsid w:val="00DA0565"/>
    <w:rsid w:val="00DA0B8C"/>
    <w:rsid w:val="00DA1510"/>
    <w:rsid w:val="00DA172C"/>
    <w:rsid w:val="00DA18AC"/>
    <w:rsid w:val="00DA1FA5"/>
    <w:rsid w:val="00DA2438"/>
    <w:rsid w:val="00DA275B"/>
    <w:rsid w:val="00DA29DA"/>
    <w:rsid w:val="00DA345E"/>
    <w:rsid w:val="00DA366F"/>
    <w:rsid w:val="00DA4B15"/>
    <w:rsid w:val="00DA5453"/>
    <w:rsid w:val="00DA55C7"/>
    <w:rsid w:val="00DA5787"/>
    <w:rsid w:val="00DA7022"/>
    <w:rsid w:val="00DA7095"/>
    <w:rsid w:val="00DA7DFA"/>
    <w:rsid w:val="00DB11E1"/>
    <w:rsid w:val="00DB2F4E"/>
    <w:rsid w:val="00DB3DC3"/>
    <w:rsid w:val="00DB4DDE"/>
    <w:rsid w:val="00DB5826"/>
    <w:rsid w:val="00DB5AAE"/>
    <w:rsid w:val="00DB5D9A"/>
    <w:rsid w:val="00DC05EF"/>
    <w:rsid w:val="00DC090A"/>
    <w:rsid w:val="00DC177E"/>
    <w:rsid w:val="00DC1A48"/>
    <w:rsid w:val="00DC1B60"/>
    <w:rsid w:val="00DC1C6E"/>
    <w:rsid w:val="00DC2262"/>
    <w:rsid w:val="00DC24EE"/>
    <w:rsid w:val="00DC3025"/>
    <w:rsid w:val="00DC37A3"/>
    <w:rsid w:val="00DC3C61"/>
    <w:rsid w:val="00DC4088"/>
    <w:rsid w:val="00DC4A28"/>
    <w:rsid w:val="00DC53A3"/>
    <w:rsid w:val="00DC5438"/>
    <w:rsid w:val="00DC56D3"/>
    <w:rsid w:val="00DC5977"/>
    <w:rsid w:val="00DC5B10"/>
    <w:rsid w:val="00DC6EFC"/>
    <w:rsid w:val="00DD0193"/>
    <w:rsid w:val="00DD0209"/>
    <w:rsid w:val="00DD10F2"/>
    <w:rsid w:val="00DD12FE"/>
    <w:rsid w:val="00DD13AB"/>
    <w:rsid w:val="00DD13E2"/>
    <w:rsid w:val="00DD1DBB"/>
    <w:rsid w:val="00DD2ECB"/>
    <w:rsid w:val="00DD3256"/>
    <w:rsid w:val="00DD3AE8"/>
    <w:rsid w:val="00DD4655"/>
    <w:rsid w:val="00DD4F60"/>
    <w:rsid w:val="00DD52C9"/>
    <w:rsid w:val="00DD5837"/>
    <w:rsid w:val="00DD6ED4"/>
    <w:rsid w:val="00DD73BB"/>
    <w:rsid w:val="00DD759D"/>
    <w:rsid w:val="00DE009E"/>
    <w:rsid w:val="00DE04F2"/>
    <w:rsid w:val="00DE0D6F"/>
    <w:rsid w:val="00DE1A4F"/>
    <w:rsid w:val="00DE1A59"/>
    <w:rsid w:val="00DE33D6"/>
    <w:rsid w:val="00DE4520"/>
    <w:rsid w:val="00DE4543"/>
    <w:rsid w:val="00DE454C"/>
    <w:rsid w:val="00DE4CEF"/>
    <w:rsid w:val="00DE4D02"/>
    <w:rsid w:val="00DE5959"/>
    <w:rsid w:val="00DE5B68"/>
    <w:rsid w:val="00DE62B7"/>
    <w:rsid w:val="00DE72A8"/>
    <w:rsid w:val="00DE74F9"/>
    <w:rsid w:val="00DE763E"/>
    <w:rsid w:val="00DE771E"/>
    <w:rsid w:val="00DF03B0"/>
    <w:rsid w:val="00DF03B1"/>
    <w:rsid w:val="00DF0A34"/>
    <w:rsid w:val="00DF0E43"/>
    <w:rsid w:val="00DF16B3"/>
    <w:rsid w:val="00DF1A98"/>
    <w:rsid w:val="00DF1DEE"/>
    <w:rsid w:val="00DF2747"/>
    <w:rsid w:val="00DF2D47"/>
    <w:rsid w:val="00DF2E56"/>
    <w:rsid w:val="00DF3D63"/>
    <w:rsid w:val="00DF4401"/>
    <w:rsid w:val="00DF4FF3"/>
    <w:rsid w:val="00DF6019"/>
    <w:rsid w:val="00DF6A32"/>
    <w:rsid w:val="00DF6DAD"/>
    <w:rsid w:val="00DF7D18"/>
    <w:rsid w:val="00E001E0"/>
    <w:rsid w:val="00E00392"/>
    <w:rsid w:val="00E00D66"/>
    <w:rsid w:val="00E012E8"/>
    <w:rsid w:val="00E02286"/>
    <w:rsid w:val="00E0286B"/>
    <w:rsid w:val="00E02993"/>
    <w:rsid w:val="00E02F4A"/>
    <w:rsid w:val="00E03F00"/>
    <w:rsid w:val="00E044AA"/>
    <w:rsid w:val="00E04659"/>
    <w:rsid w:val="00E04837"/>
    <w:rsid w:val="00E05333"/>
    <w:rsid w:val="00E0635F"/>
    <w:rsid w:val="00E072B0"/>
    <w:rsid w:val="00E1198C"/>
    <w:rsid w:val="00E120EA"/>
    <w:rsid w:val="00E1434B"/>
    <w:rsid w:val="00E1446E"/>
    <w:rsid w:val="00E15131"/>
    <w:rsid w:val="00E152E5"/>
    <w:rsid w:val="00E15F66"/>
    <w:rsid w:val="00E15FE0"/>
    <w:rsid w:val="00E16DFF"/>
    <w:rsid w:val="00E17713"/>
    <w:rsid w:val="00E2001E"/>
    <w:rsid w:val="00E20576"/>
    <w:rsid w:val="00E2085B"/>
    <w:rsid w:val="00E211B0"/>
    <w:rsid w:val="00E21590"/>
    <w:rsid w:val="00E21A47"/>
    <w:rsid w:val="00E21E8A"/>
    <w:rsid w:val="00E22622"/>
    <w:rsid w:val="00E229D8"/>
    <w:rsid w:val="00E2309C"/>
    <w:rsid w:val="00E24656"/>
    <w:rsid w:val="00E25EB2"/>
    <w:rsid w:val="00E25F79"/>
    <w:rsid w:val="00E27E23"/>
    <w:rsid w:val="00E27EF4"/>
    <w:rsid w:val="00E30B5F"/>
    <w:rsid w:val="00E31952"/>
    <w:rsid w:val="00E3228A"/>
    <w:rsid w:val="00E32331"/>
    <w:rsid w:val="00E32EAF"/>
    <w:rsid w:val="00E33639"/>
    <w:rsid w:val="00E3369C"/>
    <w:rsid w:val="00E339CA"/>
    <w:rsid w:val="00E34224"/>
    <w:rsid w:val="00E34617"/>
    <w:rsid w:val="00E34BE5"/>
    <w:rsid w:val="00E34EC4"/>
    <w:rsid w:val="00E354E2"/>
    <w:rsid w:val="00E35746"/>
    <w:rsid w:val="00E366F9"/>
    <w:rsid w:val="00E36FEF"/>
    <w:rsid w:val="00E376E8"/>
    <w:rsid w:val="00E37BE7"/>
    <w:rsid w:val="00E400F4"/>
    <w:rsid w:val="00E40E8C"/>
    <w:rsid w:val="00E40EED"/>
    <w:rsid w:val="00E418F9"/>
    <w:rsid w:val="00E41DEF"/>
    <w:rsid w:val="00E43186"/>
    <w:rsid w:val="00E43547"/>
    <w:rsid w:val="00E43A84"/>
    <w:rsid w:val="00E44267"/>
    <w:rsid w:val="00E4442A"/>
    <w:rsid w:val="00E44732"/>
    <w:rsid w:val="00E44D33"/>
    <w:rsid w:val="00E44DF9"/>
    <w:rsid w:val="00E44EB3"/>
    <w:rsid w:val="00E45DA4"/>
    <w:rsid w:val="00E45F2A"/>
    <w:rsid w:val="00E46273"/>
    <w:rsid w:val="00E462FA"/>
    <w:rsid w:val="00E46CA6"/>
    <w:rsid w:val="00E46F64"/>
    <w:rsid w:val="00E47BB7"/>
    <w:rsid w:val="00E47E5A"/>
    <w:rsid w:val="00E50058"/>
    <w:rsid w:val="00E50770"/>
    <w:rsid w:val="00E518F9"/>
    <w:rsid w:val="00E52238"/>
    <w:rsid w:val="00E526C7"/>
    <w:rsid w:val="00E52995"/>
    <w:rsid w:val="00E535F1"/>
    <w:rsid w:val="00E5373E"/>
    <w:rsid w:val="00E53BA3"/>
    <w:rsid w:val="00E5440E"/>
    <w:rsid w:val="00E545FA"/>
    <w:rsid w:val="00E552E2"/>
    <w:rsid w:val="00E55535"/>
    <w:rsid w:val="00E55872"/>
    <w:rsid w:val="00E56679"/>
    <w:rsid w:val="00E567A9"/>
    <w:rsid w:val="00E56E03"/>
    <w:rsid w:val="00E577B5"/>
    <w:rsid w:val="00E605EE"/>
    <w:rsid w:val="00E60A89"/>
    <w:rsid w:val="00E611E4"/>
    <w:rsid w:val="00E61382"/>
    <w:rsid w:val="00E6215F"/>
    <w:rsid w:val="00E632B9"/>
    <w:rsid w:val="00E63B82"/>
    <w:rsid w:val="00E63EC8"/>
    <w:rsid w:val="00E640CF"/>
    <w:rsid w:val="00E64D79"/>
    <w:rsid w:val="00E65220"/>
    <w:rsid w:val="00E65F68"/>
    <w:rsid w:val="00E65F74"/>
    <w:rsid w:val="00E66B57"/>
    <w:rsid w:val="00E66D38"/>
    <w:rsid w:val="00E66DA3"/>
    <w:rsid w:val="00E67FFE"/>
    <w:rsid w:val="00E70AD8"/>
    <w:rsid w:val="00E70DA0"/>
    <w:rsid w:val="00E71F45"/>
    <w:rsid w:val="00E72895"/>
    <w:rsid w:val="00E73366"/>
    <w:rsid w:val="00E743FD"/>
    <w:rsid w:val="00E76028"/>
    <w:rsid w:val="00E76678"/>
    <w:rsid w:val="00E77274"/>
    <w:rsid w:val="00E77646"/>
    <w:rsid w:val="00E77706"/>
    <w:rsid w:val="00E8153B"/>
    <w:rsid w:val="00E81C64"/>
    <w:rsid w:val="00E8229A"/>
    <w:rsid w:val="00E822F0"/>
    <w:rsid w:val="00E82743"/>
    <w:rsid w:val="00E82FFA"/>
    <w:rsid w:val="00E83866"/>
    <w:rsid w:val="00E83CF3"/>
    <w:rsid w:val="00E871A1"/>
    <w:rsid w:val="00E87779"/>
    <w:rsid w:val="00E87AC9"/>
    <w:rsid w:val="00E87B0F"/>
    <w:rsid w:val="00E90F0D"/>
    <w:rsid w:val="00E9152E"/>
    <w:rsid w:val="00E91C2C"/>
    <w:rsid w:val="00E91C89"/>
    <w:rsid w:val="00E92309"/>
    <w:rsid w:val="00E92E71"/>
    <w:rsid w:val="00E92F8C"/>
    <w:rsid w:val="00E93919"/>
    <w:rsid w:val="00E94371"/>
    <w:rsid w:val="00E9448B"/>
    <w:rsid w:val="00E944F7"/>
    <w:rsid w:val="00E94669"/>
    <w:rsid w:val="00E94A11"/>
    <w:rsid w:val="00E94F50"/>
    <w:rsid w:val="00E953F3"/>
    <w:rsid w:val="00E95479"/>
    <w:rsid w:val="00E95793"/>
    <w:rsid w:val="00E959BE"/>
    <w:rsid w:val="00E95EC9"/>
    <w:rsid w:val="00E965AB"/>
    <w:rsid w:val="00E966A3"/>
    <w:rsid w:val="00E96BD5"/>
    <w:rsid w:val="00E96D39"/>
    <w:rsid w:val="00E96E47"/>
    <w:rsid w:val="00E97079"/>
    <w:rsid w:val="00E97A67"/>
    <w:rsid w:val="00EA0927"/>
    <w:rsid w:val="00EA1212"/>
    <w:rsid w:val="00EA2F5E"/>
    <w:rsid w:val="00EA3208"/>
    <w:rsid w:val="00EA375E"/>
    <w:rsid w:val="00EA3EE2"/>
    <w:rsid w:val="00EA3FB6"/>
    <w:rsid w:val="00EA463E"/>
    <w:rsid w:val="00EA4822"/>
    <w:rsid w:val="00EA4939"/>
    <w:rsid w:val="00EA5589"/>
    <w:rsid w:val="00EA6181"/>
    <w:rsid w:val="00EA62BA"/>
    <w:rsid w:val="00EA6578"/>
    <w:rsid w:val="00EA6A3D"/>
    <w:rsid w:val="00EA77BC"/>
    <w:rsid w:val="00EA7912"/>
    <w:rsid w:val="00EA7A45"/>
    <w:rsid w:val="00EB0E56"/>
    <w:rsid w:val="00EB13FC"/>
    <w:rsid w:val="00EB1C26"/>
    <w:rsid w:val="00EB1C7C"/>
    <w:rsid w:val="00EB217F"/>
    <w:rsid w:val="00EB2524"/>
    <w:rsid w:val="00EB25CC"/>
    <w:rsid w:val="00EB26FA"/>
    <w:rsid w:val="00EB3C4D"/>
    <w:rsid w:val="00EB4562"/>
    <w:rsid w:val="00EB544B"/>
    <w:rsid w:val="00EB5648"/>
    <w:rsid w:val="00EB5DEE"/>
    <w:rsid w:val="00EB6C1C"/>
    <w:rsid w:val="00EB71AB"/>
    <w:rsid w:val="00EB7A44"/>
    <w:rsid w:val="00EB7F51"/>
    <w:rsid w:val="00EC0660"/>
    <w:rsid w:val="00EC14EC"/>
    <w:rsid w:val="00EC1E43"/>
    <w:rsid w:val="00EC29FE"/>
    <w:rsid w:val="00EC2BF3"/>
    <w:rsid w:val="00EC34E2"/>
    <w:rsid w:val="00EC39EC"/>
    <w:rsid w:val="00EC48C7"/>
    <w:rsid w:val="00EC5441"/>
    <w:rsid w:val="00EC556A"/>
    <w:rsid w:val="00EC7F69"/>
    <w:rsid w:val="00ED013D"/>
    <w:rsid w:val="00ED0F6D"/>
    <w:rsid w:val="00ED15DF"/>
    <w:rsid w:val="00ED290E"/>
    <w:rsid w:val="00ED2939"/>
    <w:rsid w:val="00ED3002"/>
    <w:rsid w:val="00ED4695"/>
    <w:rsid w:val="00ED4AAB"/>
    <w:rsid w:val="00ED4EEB"/>
    <w:rsid w:val="00ED55E5"/>
    <w:rsid w:val="00ED59C0"/>
    <w:rsid w:val="00ED5B1F"/>
    <w:rsid w:val="00ED5EEF"/>
    <w:rsid w:val="00ED660E"/>
    <w:rsid w:val="00ED69B2"/>
    <w:rsid w:val="00ED78F2"/>
    <w:rsid w:val="00ED7B04"/>
    <w:rsid w:val="00EE0285"/>
    <w:rsid w:val="00EE0CA4"/>
    <w:rsid w:val="00EE28B0"/>
    <w:rsid w:val="00EE3582"/>
    <w:rsid w:val="00EE3924"/>
    <w:rsid w:val="00EE3B7D"/>
    <w:rsid w:val="00EE48BA"/>
    <w:rsid w:val="00EE4F29"/>
    <w:rsid w:val="00EE54DA"/>
    <w:rsid w:val="00EE5EC5"/>
    <w:rsid w:val="00EE613D"/>
    <w:rsid w:val="00EE6EF8"/>
    <w:rsid w:val="00EE719B"/>
    <w:rsid w:val="00EE7C30"/>
    <w:rsid w:val="00EE7C46"/>
    <w:rsid w:val="00EE7D7B"/>
    <w:rsid w:val="00EF02AF"/>
    <w:rsid w:val="00EF0626"/>
    <w:rsid w:val="00EF0D46"/>
    <w:rsid w:val="00EF134E"/>
    <w:rsid w:val="00EF1CD3"/>
    <w:rsid w:val="00EF340D"/>
    <w:rsid w:val="00EF462E"/>
    <w:rsid w:val="00EF4DCF"/>
    <w:rsid w:val="00EF58DC"/>
    <w:rsid w:val="00EF5B69"/>
    <w:rsid w:val="00EF6048"/>
    <w:rsid w:val="00EF62DE"/>
    <w:rsid w:val="00EF6652"/>
    <w:rsid w:val="00EF7572"/>
    <w:rsid w:val="00F006DA"/>
    <w:rsid w:val="00F023CC"/>
    <w:rsid w:val="00F02567"/>
    <w:rsid w:val="00F027D7"/>
    <w:rsid w:val="00F02FE3"/>
    <w:rsid w:val="00F034B1"/>
    <w:rsid w:val="00F03E05"/>
    <w:rsid w:val="00F045E1"/>
    <w:rsid w:val="00F04AD0"/>
    <w:rsid w:val="00F04DE2"/>
    <w:rsid w:val="00F06F03"/>
    <w:rsid w:val="00F0792A"/>
    <w:rsid w:val="00F07EFB"/>
    <w:rsid w:val="00F1018A"/>
    <w:rsid w:val="00F102F9"/>
    <w:rsid w:val="00F10A0F"/>
    <w:rsid w:val="00F10CEA"/>
    <w:rsid w:val="00F11281"/>
    <w:rsid w:val="00F116E1"/>
    <w:rsid w:val="00F11850"/>
    <w:rsid w:val="00F118E7"/>
    <w:rsid w:val="00F11DF2"/>
    <w:rsid w:val="00F121C2"/>
    <w:rsid w:val="00F14629"/>
    <w:rsid w:val="00F146E9"/>
    <w:rsid w:val="00F14DE3"/>
    <w:rsid w:val="00F14F0B"/>
    <w:rsid w:val="00F15102"/>
    <w:rsid w:val="00F15B84"/>
    <w:rsid w:val="00F1696D"/>
    <w:rsid w:val="00F16D26"/>
    <w:rsid w:val="00F173AC"/>
    <w:rsid w:val="00F17945"/>
    <w:rsid w:val="00F20D0B"/>
    <w:rsid w:val="00F20F1C"/>
    <w:rsid w:val="00F20FC6"/>
    <w:rsid w:val="00F213E7"/>
    <w:rsid w:val="00F21965"/>
    <w:rsid w:val="00F21ACF"/>
    <w:rsid w:val="00F22BCF"/>
    <w:rsid w:val="00F23729"/>
    <w:rsid w:val="00F2394F"/>
    <w:rsid w:val="00F23B6E"/>
    <w:rsid w:val="00F2422E"/>
    <w:rsid w:val="00F24834"/>
    <w:rsid w:val="00F2551F"/>
    <w:rsid w:val="00F25530"/>
    <w:rsid w:val="00F25A69"/>
    <w:rsid w:val="00F307B2"/>
    <w:rsid w:val="00F3144B"/>
    <w:rsid w:val="00F328CC"/>
    <w:rsid w:val="00F33515"/>
    <w:rsid w:val="00F34885"/>
    <w:rsid w:val="00F34CE8"/>
    <w:rsid w:val="00F3523E"/>
    <w:rsid w:val="00F3552E"/>
    <w:rsid w:val="00F35E9A"/>
    <w:rsid w:val="00F37CC3"/>
    <w:rsid w:val="00F40A7B"/>
    <w:rsid w:val="00F410D5"/>
    <w:rsid w:val="00F4130F"/>
    <w:rsid w:val="00F4138B"/>
    <w:rsid w:val="00F421DC"/>
    <w:rsid w:val="00F42E36"/>
    <w:rsid w:val="00F4315E"/>
    <w:rsid w:val="00F4424B"/>
    <w:rsid w:val="00F44271"/>
    <w:rsid w:val="00F4492E"/>
    <w:rsid w:val="00F44B26"/>
    <w:rsid w:val="00F44D03"/>
    <w:rsid w:val="00F456DD"/>
    <w:rsid w:val="00F45FD4"/>
    <w:rsid w:val="00F46230"/>
    <w:rsid w:val="00F46BE9"/>
    <w:rsid w:val="00F46C95"/>
    <w:rsid w:val="00F46F30"/>
    <w:rsid w:val="00F47477"/>
    <w:rsid w:val="00F47767"/>
    <w:rsid w:val="00F477FE"/>
    <w:rsid w:val="00F47D43"/>
    <w:rsid w:val="00F502EF"/>
    <w:rsid w:val="00F50FA7"/>
    <w:rsid w:val="00F517C2"/>
    <w:rsid w:val="00F519C4"/>
    <w:rsid w:val="00F51F68"/>
    <w:rsid w:val="00F539D9"/>
    <w:rsid w:val="00F53E21"/>
    <w:rsid w:val="00F5404D"/>
    <w:rsid w:val="00F5447C"/>
    <w:rsid w:val="00F5497D"/>
    <w:rsid w:val="00F55149"/>
    <w:rsid w:val="00F55297"/>
    <w:rsid w:val="00F5576E"/>
    <w:rsid w:val="00F55799"/>
    <w:rsid w:val="00F55A9E"/>
    <w:rsid w:val="00F55E73"/>
    <w:rsid w:val="00F56E3A"/>
    <w:rsid w:val="00F57F5D"/>
    <w:rsid w:val="00F60B20"/>
    <w:rsid w:val="00F6104F"/>
    <w:rsid w:val="00F61751"/>
    <w:rsid w:val="00F61E03"/>
    <w:rsid w:val="00F61FE0"/>
    <w:rsid w:val="00F62489"/>
    <w:rsid w:val="00F62860"/>
    <w:rsid w:val="00F62DEF"/>
    <w:rsid w:val="00F6461D"/>
    <w:rsid w:val="00F64E8D"/>
    <w:rsid w:val="00F65731"/>
    <w:rsid w:val="00F65963"/>
    <w:rsid w:val="00F660AA"/>
    <w:rsid w:val="00F66300"/>
    <w:rsid w:val="00F6653D"/>
    <w:rsid w:val="00F67756"/>
    <w:rsid w:val="00F677D1"/>
    <w:rsid w:val="00F67C71"/>
    <w:rsid w:val="00F7029B"/>
    <w:rsid w:val="00F707EF"/>
    <w:rsid w:val="00F72009"/>
    <w:rsid w:val="00F7367F"/>
    <w:rsid w:val="00F74044"/>
    <w:rsid w:val="00F741DA"/>
    <w:rsid w:val="00F74471"/>
    <w:rsid w:val="00F7482A"/>
    <w:rsid w:val="00F74A0D"/>
    <w:rsid w:val="00F74BF8"/>
    <w:rsid w:val="00F74F0E"/>
    <w:rsid w:val="00F75106"/>
    <w:rsid w:val="00F75196"/>
    <w:rsid w:val="00F75AA1"/>
    <w:rsid w:val="00F7619F"/>
    <w:rsid w:val="00F763F6"/>
    <w:rsid w:val="00F76571"/>
    <w:rsid w:val="00F77545"/>
    <w:rsid w:val="00F804DA"/>
    <w:rsid w:val="00F8088A"/>
    <w:rsid w:val="00F80B72"/>
    <w:rsid w:val="00F80DB4"/>
    <w:rsid w:val="00F80E25"/>
    <w:rsid w:val="00F81654"/>
    <w:rsid w:val="00F818CE"/>
    <w:rsid w:val="00F81A4C"/>
    <w:rsid w:val="00F82425"/>
    <w:rsid w:val="00F834F6"/>
    <w:rsid w:val="00F83EF4"/>
    <w:rsid w:val="00F84023"/>
    <w:rsid w:val="00F847D6"/>
    <w:rsid w:val="00F84AE6"/>
    <w:rsid w:val="00F8562A"/>
    <w:rsid w:val="00F85DA3"/>
    <w:rsid w:val="00F85F00"/>
    <w:rsid w:val="00F86033"/>
    <w:rsid w:val="00F860C3"/>
    <w:rsid w:val="00F8698B"/>
    <w:rsid w:val="00F90486"/>
    <w:rsid w:val="00F908DE"/>
    <w:rsid w:val="00F90D45"/>
    <w:rsid w:val="00F912C2"/>
    <w:rsid w:val="00F9198D"/>
    <w:rsid w:val="00F91B3E"/>
    <w:rsid w:val="00F92092"/>
    <w:rsid w:val="00F92912"/>
    <w:rsid w:val="00F93255"/>
    <w:rsid w:val="00F93B1D"/>
    <w:rsid w:val="00F93D6A"/>
    <w:rsid w:val="00F948A4"/>
    <w:rsid w:val="00F95B95"/>
    <w:rsid w:val="00F95E5C"/>
    <w:rsid w:val="00F963B0"/>
    <w:rsid w:val="00F96973"/>
    <w:rsid w:val="00F96C19"/>
    <w:rsid w:val="00F97415"/>
    <w:rsid w:val="00F97539"/>
    <w:rsid w:val="00F975C3"/>
    <w:rsid w:val="00FA19C3"/>
    <w:rsid w:val="00FA2752"/>
    <w:rsid w:val="00FA27DD"/>
    <w:rsid w:val="00FA3672"/>
    <w:rsid w:val="00FA3749"/>
    <w:rsid w:val="00FA3A16"/>
    <w:rsid w:val="00FA3CD9"/>
    <w:rsid w:val="00FA428B"/>
    <w:rsid w:val="00FA4469"/>
    <w:rsid w:val="00FA48B0"/>
    <w:rsid w:val="00FA56DE"/>
    <w:rsid w:val="00FA5B7D"/>
    <w:rsid w:val="00FA6CE2"/>
    <w:rsid w:val="00FA741B"/>
    <w:rsid w:val="00FB0567"/>
    <w:rsid w:val="00FB0BD1"/>
    <w:rsid w:val="00FB1084"/>
    <w:rsid w:val="00FB1091"/>
    <w:rsid w:val="00FB1264"/>
    <w:rsid w:val="00FB18AD"/>
    <w:rsid w:val="00FB1B3D"/>
    <w:rsid w:val="00FB1C87"/>
    <w:rsid w:val="00FB1E9D"/>
    <w:rsid w:val="00FB31A0"/>
    <w:rsid w:val="00FB31E4"/>
    <w:rsid w:val="00FB36A4"/>
    <w:rsid w:val="00FB3DE3"/>
    <w:rsid w:val="00FB419B"/>
    <w:rsid w:val="00FB4D8D"/>
    <w:rsid w:val="00FB50B6"/>
    <w:rsid w:val="00FB53EE"/>
    <w:rsid w:val="00FB5E86"/>
    <w:rsid w:val="00FB6549"/>
    <w:rsid w:val="00FB6939"/>
    <w:rsid w:val="00FB6D35"/>
    <w:rsid w:val="00FB7201"/>
    <w:rsid w:val="00FC0AF2"/>
    <w:rsid w:val="00FC12E4"/>
    <w:rsid w:val="00FC1441"/>
    <w:rsid w:val="00FC1ADC"/>
    <w:rsid w:val="00FC1D53"/>
    <w:rsid w:val="00FC1F85"/>
    <w:rsid w:val="00FC21E1"/>
    <w:rsid w:val="00FC265F"/>
    <w:rsid w:val="00FC26B2"/>
    <w:rsid w:val="00FC2E95"/>
    <w:rsid w:val="00FC30E3"/>
    <w:rsid w:val="00FC3433"/>
    <w:rsid w:val="00FC3892"/>
    <w:rsid w:val="00FC4335"/>
    <w:rsid w:val="00FC4ADB"/>
    <w:rsid w:val="00FC566F"/>
    <w:rsid w:val="00FC6577"/>
    <w:rsid w:val="00FC6868"/>
    <w:rsid w:val="00FC6E88"/>
    <w:rsid w:val="00FC7426"/>
    <w:rsid w:val="00FD04F8"/>
    <w:rsid w:val="00FD1A83"/>
    <w:rsid w:val="00FD1BAD"/>
    <w:rsid w:val="00FD2E3C"/>
    <w:rsid w:val="00FD33C4"/>
    <w:rsid w:val="00FD3C38"/>
    <w:rsid w:val="00FD4C73"/>
    <w:rsid w:val="00FD4C7D"/>
    <w:rsid w:val="00FD6392"/>
    <w:rsid w:val="00FD702D"/>
    <w:rsid w:val="00FD7974"/>
    <w:rsid w:val="00FD7B02"/>
    <w:rsid w:val="00FE037F"/>
    <w:rsid w:val="00FE05A6"/>
    <w:rsid w:val="00FE1863"/>
    <w:rsid w:val="00FE1FD2"/>
    <w:rsid w:val="00FE2C8E"/>
    <w:rsid w:val="00FE4578"/>
    <w:rsid w:val="00FE4FAE"/>
    <w:rsid w:val="00FE50D4"/>
    <w:rsid w:val="00FE5B3A"/>
    <w:rsid w:val="00FE60F7"/>
    <w:rsid w:val="00FE6828"/>
    <w:rsid w:val="00FE7D21"/>
    <w:rsid w:val="00FF140E"/>
    <w:rsid w:val="00FF2C55"/>
    <w:rsid w:val="00FF3DF3"/>
    <w:rsid w:val="00FF42A9"/>
    <w:rsid w:val="00FF4820"/>
    <w:rsid w:val="00FF487E"/>
    <w:rsid w:val="00FF5221"/>
    <w:rsid w:val="00FF5C8B"/>
    <w:rsid w:val="00FF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E3B3"/>
  <w15:docId w15:val="{EB4C853C-5D2B-4189-8C1F-2399288C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6C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2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285"/>
    <w:rPr>
      <w:rFonts w:ascii="Tahoma" w:hAnsi="Tahoma" w:cs="Tahoma"/>
      <w:sz w:val="16"/>
      <w:szCs w:val="16"/>
    </w:rPr>
  </w:style>
  <w:style w:type="paragraph" w:customStyle="1" w:styleId="TMMPlaintext1">
    <w:name w:val="TMM Plain text1"/>
    <w:rsid w:val="00EE0285"/>
    <w:pPr>
      <w:spacing w:before="60" w:after="120" w:line="240" w:lineRule="auto"/>
      <w:jc w:val="both"/>
    </w:pPr>
    <w:rPr>
      <w:rFonts w:ascii="EYInterstate" w:eastAsia="Times New Roman" w:hAnsi="EYInterstate" w:cs="Times New Roman"/>
      <w:color w:val="000000"/>
      <w:sz w:val="20"/>
      <w:szCs w:val="24"/>
      <w:lang w:val="en-US" w:eastAsia="uk-UA"/>
    </w:rPr>
  </w:style>
  <w:style w:type="paragraph" w:styleId="a5">
    <w:name w:val="List Paragraph"/>
    <w:basedOn w:val="a"/>
    <w:uiPriority w:val="34"/>
    <w:qFormat/>
    <w:rsid w:val="007F1C0C"/>
    <w:pPr>
      <w:ind w:left="720"/>
      <w:contextualSpacing/>
    </w:pPr>
  </w:style>
  <w:style w:type="character" w:customStyle="1" w:styleId="s10">
    <w:name w:val="s10"/>
    <w:basedOn w:val="a0"/>
    <w:rsid w:val="00175EAE"/>
  </w:style>
  <w:style w:type="paragraph" w:customStyle="1" w:styleId="s22">
    <w:name w:val="s22"/>
    <w:basedOn w:val="a"/>
    <w:rsid w:val="00175EAE"/>
    <w:pPr>
      <w:spacing w:before="100" w:beforeAutospacing="1" w:after="100" w:afterAutospacing="1" w:line="240" w:lineRule="auto"/>
    </w:pPr>
    <w:rPr>
      <w:rFonts w:ascii="Times New Roman" w:hAnsi="Times New Roman" w:cs="Times New Roman"/>
      <w:sz w:val="24"/>
      <w:szCs w:val="24"/>
      <w:lang w:eastAsia="ru-RU"/>
    </w:rPr>
  </w:style>
  <w:style w:type="character" w:styleId="a6">
    <w:name w:val="Hyperlink"/>
    <w:rsid w:val="00572655"/>
    <w:rPr>
      <w:color w:val="0000FF"/>
      <w:u w:val="single"/>
    </w:rPr>
  </w:style>
  <w:style w:type="character" w:styleId="a7">
    <w:name w:val="Strong"/>
    <w:qFormat/>
    <w:rsid w:val="00572655"/>
    <w:rPr>
      <w:b/>
      <w:bCs/>
    </w:rPr>
  </w:style>
  <w:style w:type="character" w:customStyle="1" w:styleId="s14">
    <w:name w:val="s14"/>
    <w:basedOn w:val="a0"/>
    <w:rsid w:val="00716612"/>
  </w:style>
  <w:style w:type="paragraph" w:styleId="a8">
    <w:name w:val="endnote text"/>
    <w:basedOn w:val="a"/>
    <w:link w:val="a9"/>
    <w:uiPriority w:val="99"/>
    <w:semiHidden/>
    <w:unhideWhenUsed/>
    <w:rsid w:val="00E63B82"/>
    <w:pPr>
      <w:spacing w:after="0" w:line="240" w:lineRule="auto"/>
    </w:pPr>
    <w:rPr>
      <w:sz w:val="20"/>
      <w:szCs w:val="20"/>
    </w:rPr>
  </w:style>
  <w:style w:type="character" w:customStyle="1" w:styleId="a9">
    <w:name w:val="Текст концевой сноски Знак"/>
    <w:basedOn w:val="a0"/>
    <w:link w:val="a8"/>
    <w:uiPriority w:val="99"/>
    <w:semiHidden/>
    <w:rsid w:val="00E63B82"/>
    <w:rPr>
      <w:sz w:val="20"/>
      <w:szCs w:val="20"/>
    </w:rPr>
  </w:style>
  <w:style w:type="character" w:styleId="aa">
    <w:name w:val="endnote reference"/>
    <w:basedOn w:val="a0"/>
    <w:uiPriority w:val="99"/>
    <w:semiHidden/>
    <w:unhideWhenUsed/>
    <w:rsid w:val="00E63B82"/>
    <w:rPr>
      <w:vertAlign w:val="superscript"/>
    </w:rPr>
  </w:style>
  <w:style w:type="paragraph" w:customStyle="1" w:styleId="c3">
    <w:name w:val="c3"/>
    <w:basedOn w:val="a"/>
    <w:rsid w:val="00FE4FAE"/>
    <w:pPr>
      <w:suppressAutoHyphens/>
      <w:spacing w:before="280" w:after="28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7C1A10"/>
    <w:pPr>
      <w:suppressAutoHyphens/>
      <w:spacing w:after="240" w:line="240" w:lineRule="auto"/>
    </w:pPr>
    <w:rPr>
      <w:rFonts w:ascii="Times New Roman" w:eastAsia="Times New Roman" w:hAnsi="Times New Roman" w:cs="Times New Roman"/>
      <w:sz w:val="20"/>
      <w:szCs w:val="24"/>
      <w:lang w:eastAsia="ar-SA"/>
    </w:rPr>
  </w:style>
  <w:style w:type="character" w:customStyle="1" w:styleId="ac">
    <w:name w:val="Основной текст Знак"/>
    <w:basedOn w:val="a0"/>
    <w:link w:val="ab"/>
    <w:rsid w:val="007C1A10"/>
    <w:rPr>
      <w:rFonts w:ascii="Times New Roman" w:eastAsia="Times New Roman" w:hAnsi="Times New Roman" w:cs="Times New Roman"/>
      <w:sz w:val="20"/>
      <w:szCs w:val="24"/>
      <w:lang w:val="en-US" w:eastAsia="ar-SA"/>
    </w:rPr>
  </w:style>
  <w:style w:type="paragraph" w:customStyle="1" w:styleId="ad">
    <w:name w:val="a"/>
    <w:basedOn w:val="a"/>
    <w:rsid w:val="007C1A10"/>
    <w:pPr>
      <w:spacing w:after="0" w:line="240" w:lineRule="auto"/>
    </w:pPr>
    <w:rPr>
      <w:rFonts w:ascii="Times New Roman" w:eastAsia="Times New Roman" w:hAnsi="Times New Roman" w:cs="Times New Roman"/>
      <w:lang w:val="en-GB" w:eastAsia="en-GB"/>
    </w:rPr>
  </w:style>
  <w:style w:type="paragraph" w:customStyle="1" w:styleId="bj">
    <w:name w:val="bj"/>
    <w:basedOn w:val="a"/>
    <w:rsid w:val="007C1A10"/>
    <w:pPr>
      <w:spacing w:after="0" w:line="240" w:lineRule="auto"/>
      <w:jc w:val="both"/>
    </w:pPr>
    <w:rPr>
      <w:rFonts w:ascii="Times New Roman" w:eastAsia="Times New Roman" w:hAnsi="Times New Roman" w:cs="Times New Roman"/>
      <w:lang w:val="en-GB" w:eastAsia="en-GB"/>
    </w:rPr>
  </w:style>
  <w:style w:type="paragraph" w:customStyle="1" w:styleId="f">
    <w:name w:val="f"/>
    <w:basedOn w:val="a"/>
    <w:rsid w:val="007C1A10"/>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7C1A10"/>
    <w:rPr>
      <w:rFonts w:ascii="Arial" w:hAnsi="Arial" w:cs="Arial"/>
      <w:sz w:val="22"/>
      <w:szCs w:val="22"/>
    </w:rPr>
  </w:style>
  <w:style w:type="character" w:customStyle="1" w:styleId="x">
    <w:name w:val="x"/>
    <w:rsid w:val="007C1A10"/>
    <w:rPr>
      <w:rFonts w:ascii="Arial" w:hAnsi="Arial" w:cs="Arial"/>
      <w:spacing w:val="-2"/>
    </w:rPr>
  </w:style>
  <w:style w:type="character" w:customStyle="1" w:styleId="w">
    <w:name w:val="w"/>
    <w:rsid w:val="007C1A10"/>
    <w:rPr>
      <w:rFonts w:ascii="Arial" w:hAnsi="Arial" w:cs="Arial"/>
      <w:spacing w:val="-2"/>
    </w:rPr>
  </w:style>
  <w:style w:type="character" w:customStyle="1" w:styleId="t">
    <w:name w:val="t"/>
    <w:rsid w:val="007C1A10"/>
    <w:rPr>
      <w:rFonts w:ascii="Arial" w:hAnsi="Arial" w:cs="Arial"/>
      <w:sz w:val="20"/>
      <w:szCs w:val="20"/>
    </w:rPr>
  </w:style>
  <w:style w:type="paragraph" w:styleId="ae">
    <w:name w:val="header"/>
    <w:basedOn w:val="a"/>
    <w:link w:val="af"/>
    <w:uiPriority w:val="99"/>
    <w:unhideWhenUsed/>
    <w:rsid w:val="0037054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7054A"/>
  </w:style>
  <w:style w:type="paragraph" w:styleId="af0">
    <w:name w:val="footer"/>
    <w:basedOn w:val="a"/>
    <w:link w:val="af1"/>
    <w:uiPriority w:val="99"/>
    <w:unhideWhenUsed/>
    <w:rsid w:val="0037054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7054A"/>
  </w:style>
  <w:style w:type="table" w:styleId="af2">
    <w:name w:val="Table Grid"/>
    <w:basedOn w:val="a1"/>
    <w:uiPriority w:val="59"/>
    <w:rsid w:val="005E5DF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E5DF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3">
    <w:name w:val="annotation reference"/>
    <w:basedOn w:val="a0"/>
    <w:uiPriority w:val="99"/>
    <w:semiHidden/>
    <w:unhideWhenUsed/>
    <w:rsid w:val="001B477D"/>
    <w:rPr>
      <w:sz w:val="16"/>
      <w:szCs w:val="16"/>
    </w:rPr>
  </w:style>
  <w:style w:type="paragraph" w:styleId="af4">
    <w:name w:val="annotation text"/>
    <w:basedOn w:val="a"/>
    <w:link w:val="af5"/>
    <w:uiPriority w:val="99"/>
    <w:unhideWhenUsed/>
    <w:rsid w:val="001B477D"/>
    <w:pPr>
      <w:spacing w:line="240" w:lineRule="auto"/>
    </w:pPr>
    <w:rPr>
      <w:sz w:val="20"/>
      <w:szCs w:val="20"/>
    </w:rPr>
  </w:style>
  <w:style w:type="character" w:customStyle="1" w:styleId="af5">
    <w:name w:val="Текст примечания Знак"/>
    <w:basedOn w:val="a0"/>
    <w:link w:val="af4"/>
    <w:uiPriority w:val="99"/>
    <w:rsid w:val="001B477D"/>
    <w:rPr>
      <w:sz w:val="20"/>
      <w:szCs w:val="20"/>
    </w:rPr>
  </w:style>
  <w:style w:type="paragraph" w:styleId="af6">
    <w:name w:val="annotation subject"/>
    <w:basedOn w:val="af4"/>
    <w:next w:val="af4"/>
    <w:link w:val="af7"/>
    <w:uiPriority w:val="99"/>
    <w:semiHidden/>
    <w:unhideWhenUsed/>
    <w:rsid w:val="001B477D"/>
    <w:rPr>
      <w:b/>
      <w:bCs/>
    </w:rPr>
  </w:style>
  <w:style w:type="character" w:customStyle="1" w:styleId="af7">
    <w:name w:val="Тема примечания Знак"/>
    <w:basedOn w:val="af5"/>
    <w:link w:val="af6"/>
    <w:uiPriority w:val="99"/>
    <w:semiHidden/>
    <w:rsid w:val="001B477D"/>
    <w:rPr>
      <w:b/>
      <w:bCs/>
      <w:sz w:val="20"/>
      <w:szCs w:val="20"/>
    </w:rPr>
  </w:style>
  <w:style w:type="paragraph" w:styleId="af8">
    <w:name w:val="footnote text"/>
    <w:basedOn w:val="a"/>
    <w:link w:val="af9"/>
    <w:uiPriority w:val="99"/>
    <w:semiHidden/>
    <w:unhideWhenUsed/>
    <w:rsid w:val="005D6320"/>
    <w:pPr>
      <w:spacing w:after="0" w:line="240" w:lineRule="auto"/>
    </w:pPr>
    <w:rPr>
      <w:sz w:val="20"/>
      <w:szCs w:val="20"/>
    </w:rPr>
  </w:style>
  <w:style w:type="character" w:customStyle="1" w:styleId="af9">
    <w:name w:val="Текст сноски Знак"/>
    <w:basedOn w:val="a0"/>
    <w:link w:val="af8"/>
    <w:uiPriority w:val="99"/>
    <w:semiHidden/>
    <w:rsid w:val="005D6320"/>
    <w:rPr>
      <w:sz w:val="20"/>
      <w:szCs w:val="20"/>
    </w:rPr>
  </w:style>
  <w:style w:type="character" w:styleId="afa">
    <w:name w:val="footnote reference"/>
    <w:basedOn w:val="a0"/>
    <w:uiPriority w:val="99"/>
    <w:semiHidden/>
    <w:unhideWhenUsed/>
    <w:rsid w:val="005D6320"/>
    <w:rPr>
      <w:vertAlign w:val="superscript"/>
    </w:rPr>
  </w:style>
  <w:style w:type="character" w:customStyle="1" w:styleId="apple-converted-space">
    <w:name w:val="apple-converted-space"/>
    <w:basedOn w:val="a0"/>
    <w:rsid w:val="002F293E"/>
  </w:style>
  <w:style w:type="paragraph" w:styleId="afb">
    <w:name w:val="Revision"/>
    <w:hidden/>
    <w:uiPriority w:val="99"/>
    <w:semiHidden/>
    <w:rsid w:val="009D66BB"/>
    <w:pPr>
      <w:spacing w:after="0" w:line="240" w:lineRule="auto"/>
    </w:pPr>
  </w:style>
  <w:style w:type="paragraph" w:styleId="afc">
    <w:name w:val="Plain Text"/>
    <w:basedOn w:val="a"/>
    <w:link w:val="afd"/>
    <w:uiPriority w:val="99"/>
    <w:semiHidden/>
    <w:unhideWhenUsed/>
    <w:rsid w:val="00DF6019"/>
    <w:pPr>
      <w:spacing w:after="0" w:line="240" w:lineRule="auto"/>
    </w:pPr>
    <w:rPr>
      <w:rFonts w:ascii="Calibri" w:hAnsi="Calibri"/>
      <w:szCs w:val="21"/>
    </w:rPr>
  </w:style>
  <w:style w:type="character" w:customStyle="1" w:styleId="afd">
    <w:name w:val="Текст Знак"/>
    <w:basedOn w:val="a0"/>
    <w:link w:val="afc"/>
    <w:uiPriority w:val="99"/>
    <w:semiHidden/>
    <w:rsid w:val="00DF6019"/>
    <w:rPr>
      <w:rFonts w:ascii="Calibri" w:hAnsi="Calibri"/>
      <w:szCs w:val="21"/>
    </w:rPr>
  </w:style>
  <w:style w:type="paragraph" w:styleId="afe">
    <w:name w:val="Normal (Web)"/>
    <w:basedOn w:val="a"/>
    <w:uiPriority w:val="99"/>
    <w:semiHidden/>
    <w:unhideWhenUsed/>
    <w:rsid w:val="00FF3DF3"/>
    <w:pPr>
      <w:spacing w:before="100" w:beforeAutospacing="1" w:after="100" w:afterAutospacing="1" w:line="240" w:lineRule="auto"/>
    </w:pPr>
    <w:rPr>
      <w:rFonts w:ascii="Times New Roman" w:eastAsiaTheme="minorEastAsia" w:hAnsi="Times New Roman" w:cs="Times New Roman"/>
      <w:sz w:val="24"/>
      <w:szCs w:val="24"/>
    </w:rPr>
  </w:style>
  <w:style w:type="character" w:styleId="aff">
    <w:name w:val="Unresolved Mention"/>
    <w:basedOn w:val="a0"/>
    <w:uiPriority w:val="99"/>
    <w:semiHidden/>
    <w:unhideWhenUsed/>
    <w:rsid w:val="00532110"/>
    <w:rPr>
      <w:color w:val="605E5C"/>
      <w:shd w:val="clear" w:color="auto" w:fill="E1DFDD"/>
    </w:rPr>
  </w:style>
  <w:style w:type="paragraph" w:styleId="HTML">
    <w:name w:val="HTML Preformatted"/>
    <w:basedOn w:val="a"/>
    <w:link w:val="HTML0"/>
    <w:uiPriority w:val="99"/>
    <w:unhideWhenUsed/>
    <w:rsid w:val="006C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6C40FD"/>
    <w:rPr>
      <w:rFonts w:ascii="Courier New" w:eastAsia="Times New Roman" w:hAnsi="Courier New" w:cs="Courier New"/>
      <w:sz w:val="20"/>
      <w:szCs w:val="20"/>
      <w:lang w:val="uk-UA" w:eastAsia="uk-UA"/>
    </w:rPr>
  </w:style>
  <w:style w:type="character" w:styleId="aff0">
    <w:name w:val="FollowedHyperlink"/>
    <w:basedOn w:val="a0"/>
    <w:uiPriority w:val="99"/>
    <w:semiHidden/>
    <w:unhideWhenUsed/>
    <w:rsid w:val="006C4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80">
      <w:bodyDiv w:val="1"/>
      <w:marLeft w:val="0"/>
      <w:marRight w:val="0"/>
      <w:marTop w:val="0"/>
      <w:marBottom w:val="0"/>
      <w:divBdr>
        <w:top w:val="none" w:sz="0" w:space="0" w:color="auto"/>
        <w:left w:val="none" w:sz="0" w:space="0" w:color="auto"/>
        <w:bottom w:val="none" w:sz="0" w:space="0" w:color="auto"/>
        <w:right w:val="none" w:sz="0" w:space="0" w:color="auto"/>
      </w:divBdr>
    </w:div>
    <w:div w:id="26224253">
      <w:bodyDiv w:val="1"/>
      <w:marLeft w:val="0"/>
      <w:marRight w:val="0"/>
      <w:marTop w:val="0"/>
      <w:marBottom w:val="0"/>
      <w:divBdr>
        <w:top w:val="none" w:sz="0" w:space="0" w:color="auto"/>
        <w:left w:val="none" w:sz="0" w:space="0" w:color="auto"/>
        <w:bottom w:val="none" w:sz="0" w:space="0" w:color="auto"/>
        <w:right w:val="none" w:sz="0" w:space="0" w:color="auto"/>
      </w:divBdr>
    </w:div>
    <w:div w:id="28577631">
      <w:bodyDiv w:val="1"/>
      <w:marLeft w:val="0"/>
      <w:marRight w:val="0"/>
      <w:marTop w:val="0"/>
      <w:marBottom w:val="0"/>
      <w:divBdr>
        <w:top w:val="none" w:sz="0" w:space="0" w:color="auto"/>
        <w:left w:val="none" w:sz="0" w:space="0" w:color="auto"/>
        <w:bottom w:val="none" w:sz="0" w:space="0" w:color="auto"/>
        <w:right w:val="none" w:sz="0" w:space="0" w:color="auto"/>
      </w:divBdr>
    </w:div>
    <w:div w:id="40835155">
      <w:bodyDiv w:val="1"/>
      <w:marLeft w:val="0"/>
      <w:marRight w:val="0"/>
      <w:marTop w:val="0"/>
      <w:marBottom w:val="0"/>
      <w:divBdr>
        <w:top w:val="none" w:sz="0" w:space="0" w:color="auto"/>
        <w:left w:val="none" w:sz="0" w:space="0" w:color="auto"/>
        <w:bottom w:val="none" w:sz="0" w:space="0" w:color="auto"/>
        <w:right w:val="none" w:sz="0" w:space="0" w:color="auto"/>
      </w:divBdr>
    </w:div>
    <w:div w:id="57167638">
      <w:bodyDiv w:val="1"/>
      <w:marLeft w:val="0"/>
      <w:marRight w:val="0"/>
      <w:marTop w:val="0"/>
      <w:marBottom w:val="0"/>
      <w:divBdr>
        <w:top w:val="none" w:sz="0" w:space="0" w:color="auto"/>
        <w:left w:val="none" w:sz="0" w:space="0" w:color="auto"/>
        <w:bottom w:val="none" w:sz="0" w:space="0" w:color="auto"/>
        <w:right w:val="none" w:sz="0" w:space="0" w:color="auto"/>
      </w:divBdr>
    </w:div>
    <w:div w:id="70666574">
      <w:bodyDiv w:val="1"/>
      <w:marLeft w:val="0"/>
      <w:marRight w:val="0"/>
      <w:marTop w:val="0"/>
      <w:marBottom w:val="0"/>
      <w:divBdr>
        <w:top w:val="none" w:sz="0" w:space="0" w:color="auto"/>
        <w:left w:val="none" w:sz="0" w:space="0" w:color="auto"/>
        <w:bottom w:val="none" w:sz="0" w:space="0" w:color="auto"/>
        <w:right w:val="none" w:sz="0" w:space="0" w:color="auto"/>
      </w:divBdr>
    </w:div>
    <w:div w:id="75832070">
      <w:bodyDiv w:val="1"/>
      <w:marLeft w:val="0"/>
      <w:marRight w:val="0"/>
      <w:marTop w:val="0"/>
      <w:marBottom w:val="0"/>
      <w:divBdr>
        <w:top w:val="none" w:sz="0" w:space="0" w:color="auto"/>
        <w:left w:val="none" w:sz="0" w:space="0" w:color="auto"/>
        <w:bottom w:val="none" w:sz="0" w:space="0" w:color="auto"/>
        <w:right w:val="none" w:sz="0" w:space="0" w:color="auto"/>
      </w:divBdr>
    </w:div>
    <w:div w:id="85462328">
      <w:bodyDiv w:val="1"/>
      <w:marLeft w:val="0"/>
      <w:marRight w:val="0"/>
      <w:marTop w:val="0"/>
      <w:marBottom w:val="0"/>
      <w:divBdr>
        <w:top w:val="none" w:sz="0" w:space="0" w:color="auto"/>
        <w:left w:val="none" w:sz="0" w:space="0" w:color="auto"/>
        <w:bottom w:val="none" w:sz="0" w:space="0" w:color="auto"/>
        <w:right w:val="none" w:sz="0" w:space="0" w:color="auto"/>
      </w:divBdr>
    </w:div>
    <w:div w:id="101459159">
      <w:bodyDiv w:val="1"/>
      <w:marLeft w:val="0"/>
      <w:marRight w:val="0"/>
      <w:marTop w:val="0"/>
      <w:marBottom w:val="0"/>
      <w:divBdr>
        <w:top w:val="none" w:sz="0" w:space="0" w:color="auto"/>
        <w:left w:val="none" w:sz="0" w:space="0" w:color="auto"/>
        <w:bottom w:val="none" w:sz="0" w:space="0" w:color="auto"/>
        <w:right w:val="none" w:sz="0" w:space="0" w:color="auto"/>
      </w:divBdr>
    </w:div>
    <w:div w:id="115763025">
      <w:bodyDiv w:val="1"/>
      <w:marLeft w:val="0"/>
      <w:marRight w:val="0"/>
      <w:marTop w:val="0"/>
      <w:marBottom w:val="0"/>
      <w:divBdr>
        <w:top w:val="none" w:sz="0" w:space="0" w:color="auto"/>
        <w:left w:val="none" w:sz="0" w:space="0" w:color="auto"/>
        <w:bottom w:val="none" w:sz="0" w:space="0" w:color="auto"/>
        <w:right w:val="none" w:sz="0" w:space="0" w:color="auto"/>
      </w:divBdr>
    </w:div>
    <w:div w:id="120728534">
      <w:bodyDiv w:val="1"/>
      <w:marLeft w:val="0"/>
      <w:marRight w:val="0"/>
      <w:marTop w:val="0"/>
      <w:marBottom w:val="0"/>
      <w:divBdr>
        <w:top w:val="none" w:sz="0" w:space="0" w:color="auto"/>
        <w:left w:val="none" w:sz="0" w:space="0" w:color="auto"/>
        <w:bottom w:val="none" w:sz="0" w:space="0" w:color="auto"/>
        <w:right w:val="none" w:sz="0" w:space="0" w:color="auto"/>
      </w:divBdr>
    </w:div>
    <w:div w:id="172233918">
      <w:bodyDiv w:val="1"/>
      <w:marLeft w:val="0"/>
      <w:marRight w:val="0"/>
      <w:marTop w:val="0"/>
      <w:marBottom w:val="0"/>
      <w:divBdr>
        <w:top w:val="none" w:sz="0" w:space="0" w:color="auto"/>
        <w:left w:val="none" w:sz="0" w:space="0" w:color="auto"/>
        <w:bottom w:val="none" w:sz="0" w:space="0" w:color="auto"/>
        <w:right w:val="none" w:sz="0" w:space="0" w:color="auto"/>
      </w:divBdr>
    </w:div>
    <w:div w:id="200674195">
      <w:bodyDiv w:val="1"/>
      <w:marLeft w:val="0"/>
      <w:marRight w:val="0"/>
      <w:marTop w:val="0"/>
      <w:marBottom w:val="0"/>
      <w:divBdr>
        <w:top w:val="none" w:sz="0" w:space="0" w:color="auto"/>
        <w:left w:val="none" w:sz="0" w:space="0" w:color="auto"/>
        <w:bottom w:val="none" w:sz="0" w:space="0" w:color="auto"/>
        <w:right w:val="none" w:sz="0" w:space="0" w:color="auto"/>
      </w:divBdr>
    </w:div>
    <w:div w:id="219874800">
      <w:bodyDiv w:val="1"/>
      <w:marLeft w:val="0"/>
      <w:marRight w:val="0"/>
      <w:marTop w:val="0"/>
      <w:marBottom w:val="0"/>
      <w:divBdr>
        <w:top w:val="none" w:sz="0" w:space="0" w:color="auto"/>
        <w:left w:val="none" w:sz="0" w:space="0" w:color="auto"/>
        <w:bottom w:val="none" w:sz="0" w:space="0" w:color="auto"/>
        <w:right w:val="none" w:sz="0" w:space="0" w:color="auto"/>
      </w:divBdr>
    </w:div>
    <w:div w:id="250353555">
      <w:bodyDiv w:val="1"/>
      <w:marLeft w:val="0"/>
      <w:marRight w:val="0"/>
      <w:marTop w:val="0"/>
      <w:marBottom w:val="0"/>
      <w:divBdr>
        <w:top w:val="none" w:sz="0" w:space="0" w:color="auto"/>
        <w:left w:val="none" w:sz="0" w:space="0" w:color="auto"/>
        <w:bottom w:val="none" w:sz="0" w:space="0" w:color="auto"/>
        <w:right w:val="none" w:sz="0" w:space="0" w:color="auto"/>
      </w:divBdr>
    </w:div>
    <w:div w:id="269122262">
      <w:bodyDiv w:val="1"/>
      <w:marLeft w:val="0"/>
      <w:marRight w:val="0"/>
      <w:marTop w:val="0"/>
      <w:marBottom w:val="0"/>
      <w:divBdr>
        <w:top w:val="none" w:sz="0" w:space="0" w:color="auto"/>
        <w:left w:val="none" w:sz="0" w:space="0" w:color="auto"/>
        <w:bottom w:val="none" w:sz="0" w:space="0" w:color="auto"/>
        <w:right w:val="none" w:sz="0" w:space="0" w:color="auto"/>
      </w:divBdr>
    </w:div>
    <w:div w:id="270093646">
      <w:bodyDiv w:val="1"/>
      <w:marLeft w:val="0"/>
      <w:marRight w:val="0"/>
      <w:marTop w:val="0"/>
      <w:marBottom w:val="0"/>
      <w:divBdr>
        <w:top w:val="none" w:sz="0" w:space="0" w:color="auto"/>
        <w:left w:val="none" w:sz="0" w:space="0" w:color="auto"/>
        <w:bottom w:val="none" w:sz="0" w:space="0" w:color="auto"/>
        <w:right w:val="none" w:sz="0" w:space="0" w:color="auto"/>
      </w:divBdr>
    </w:div>
    <w:div w:id="286156354">
      <w:bodyDiv w:val="1"/>
      <w:marLeft w:val="0"/>
      <w:marRight w:val="0"/>
      <w:marTop w:val="0"/>
      <w:marBottom w:val="0"/>
      <w:divBdr>
        <w:top w:val="none" w:sz="0" w:space="0" w:color="auto"/>
        <w:left w:val="none" w:sz="0" w:space="0" w:color="auto"/>
        <w:bottom w:val="none" w:sz="0" w:space="0" w:color="auto"/>
        <w:right w:val="none" w:sz="0" w:space="0" w:color="auto"/>
      </w:divBdr>
    </w:div>
    <w:div w:id="289432980">
      <w:bodyDiv w:val="1"/>
      <w:marLeft w:val="0"/>
      <w:marRight w:val="0"/>
      <w:marTop w:val="0"/>
      <w:marBottom w:val="0"/>
      <w:divBdr>
        <w:top w:val="none" w:sz="0" w:space="0" w:color="auto"/>
        <w:left w:val="none" w:sz="0" w:space="0" w:color="auto"/>
        <w:bottom w:val="none" w:sz="0" w:space="0" w:color="auto"/>
        <w:right w:val="none" w:sz="0" w:space="0" w:color="auto"/>
      </w:divBdr>
    </w:div>
    <w:div w:id="334067173">
      <w:bodyDiv w:val="1"/>
      <w:marLeft w:val="0"/>
      <w:marRight w:val="0"/>
      <w:marTop w:val="0"/>
      <w:marBottom w:val="0"/>
      <w:divBdr>
        <w:top w:val="none" w:sz="0" w:space="0" w:color="auto"/>
        <w:left w:val="none" w:sz="0" w:space="0" w:color="auto"/>
        <w:bottom w:val="none" w:sz="0" w:space="0" w:color="auto"/>
        <w:right w:val="none" w:sz="0" w:space="0" w:color="auto"/>
      </w:divBdr>
    </w:div>
    <w:div w:id="335767866">
      <w:bodyDiv w:val="1"/>
      <w:marLeft w:val="0"/>
      <w:marRight w:val="0"/>
      <w:marTop w:val="0"/>
      <w:marBottom w:val="0"/>
      <w:divBdr>
        <w:top w:val="none" w:sz="0" w:space="0" w:color="auto"/>
        <w:left w:val="none" w:sz="0" w:space="0" w:color="auto"/>
        <w:bottom w:val="none" w:sz="0" w:space="0" w:color="auto"/>
        <w:right w:val="none" w:sz="0" w:space="0" w:color="auto"/>
      </w:divBdr>
    </w:div>
    <w:div w:id="341783525">
      <w:bodyDiv w:val="1"/>
      <w:marLeft w:val="0"/>
      <w:marRight w:val="0"/>
      <w:marTop w:val="0"/>
      <w:marBottom w:val="0"/>
      <w:divBdr>
        <w:top w:val="none" w:sz="0" w:space="0" w:color="auto"/>
        <w:left w:val="none" w:sz="0" w:space="0" w:color="auto"/>
        <w:bottom w:val="none" w:sz="0" w:space="0" w:color="auto"/>
        <w:right w:val="none" w:sz="0" w:space="0" w:color="auto"/>
      </w:divBdr>
    </w:div>
    <w:div w:id="344284376">
      <w:bodyDiv w:val="1"/>
      <w:marLeft w:val="0"/>
      <w:marRight w:val="0"/>
      <w:marTop w:val="0"/>
      <w:marBottom w:val="0"/>
      <w:divBdr>
        <w:top w:val="none" w:sz="0" w:space="0" w:color="auto"/>
        <w:left w:val="none" w:sz="0" w:space="0" w:color="auto"/>
        <w:bottom w:val="none" w:sz="0" w:space="0" w:color="auto"/>
        <w:right w:val="none" w:sz="0" w:space="0" w:color="auto"/>
      </w:divBdr>
    </w:div>
    <w:div w:id="346717201">
      <w:bodyDiv w:val="1"/>
      <w:marLeft w:val="0"/>
      <w:marRight w:val="0"/>
      <w:marTop w:val="0"/>
      <w:marBottom w:val="0"/>
      <w:divBdr>
        <w:top w:val="none" w:sz="0" w:space="0" w:color="auto"/>
        <w:left w:val="none" w:sz="0" w:space="0" w:color="auto"/>
        <w:bottom w:val="none" w:sz="0" w:space="0" w:color="auto"/>
        <w:right w:val="none" w:sz="0" w:space="0" w:color="auto"/>
      </w:divBdr>
    </w:div>
    <w:div w:id="364793716">
      <w:bodyDiv w:val="1"/>
      <w:marLeft w:val="0"/>
      <w:marRight w:val="0"/>
      <w:marTop w:val="0"/>
      <w:marBottom w:val="0"/>
      <w:divBdr>
        <w:top w:val="none" w:sz="0" w:space="0" w:color="auto"/>
        <w:left w:val="none" w:sz="0" w:space="0" w:color="auto"/>
        <w:bottom w:val="none" w:sz="0" w:space="0" w:color="auto"/>
        <w:right w:val="none" w:sz="0" w:space="0" w:color="auto"/>
      </w:divBdr>
    </w:div>
    <w:div w:id="366414090">
      <w:bodyDiv w:val="1"/>
      <w:marLeft w:val="0"/>
      <w:marRight w:val="0"/>
      <w:marTop w:val="0"/>
      <w:marBottom w:val="0"/>
      <w:divBdr>
        <w:top w:val="none" w:sz="0" w:space="0" w:color="auto"/>
        <w:left w:val="none" w:sz="0" w:space="0" w:color="auto"/>
        <w:bottom w:val="none" w:sz="0" w:space="0" w:color="auto"/>
        <w:right w:val="none" w:sz="0" w:space="0" w:color="auto"/>
      </w:divBdr>
    </w:div>
    <w:div w:id="368989717">
      <w:bodyDiv w:val="1"/>
      <w:marLeft w:val="0"/>
      <w:marRight w:val="0"/>
      <w:marTop w:val="0"/>
      <w:marBottom w:val="0"/>
      <w:divBdr>
        <w:top w:val="none" w:sz="0" w:space="0" w:color="auto"/>
        <w:left w:val="none" w:sz="0" w:space="0" w:color="auto"/>
        <w:bottom w:val="none" w:sz="0" w:space="0" w:color="auto"/>
        <w:right w:val="none" w:sz="0" w:space="0" w:color="auto"/>
      </w:divBdr>
    </w:div>
    <w:div w:id="373039745">
      <w:bodyDiv w:val="1"/>
      <w:marLeft w:val="0"/>
      <w:marRight w:val="0"/>
      <w:marTop w:val="0"/>
      <w:marBottom w:val="0"/>
      <w:divBdr>
        <w:top w:val="none" w:sz="0" w:space="0" w:color="auto"/>
        <w:left w:val="none" w:sz="0" w:space="0" w:color="auto"/>
        <w:bottom w:val="none" w:sz="0" w:space="0" w:color="auto"/>
        <w:right w:val="none" w:sz="0" w:space="0" w:color="auto"/>
      </w:divBdr>
    </w:div>
    <w:div w:id="380061068">
      <w:bodyDiv w:val="1"/>
      <w:marLeft w:val="0"/>
      <w:marRight w:val="0"/>
      <w:marTop w:val="0"/>
      <w:marBottom w:val="0"/>
      <w:divBdr>
        <w:top w:val="none" w:sz="0" w:space="0" w:color="auto"/>
        <w:left w:val="none" w:sz="0" w:space="0" w:color="auto"/>
        <w:bottom w:val="none" w:sz="0" w:space="0" w:color="auto"/>
        <w:right w:val="none" w:sz="0" w:space="0" w:color="auto"/>
      </w:divBdr>
    </w:div>
    <w:div w:id="380248918">
      <w:bodyDiv w:val="1"/>
      <w:marLeft w:val="0"/>
      <w:marRight w:val="0"/>
      <w:marTop w:val="0"/>
      <w:marBottom w:val="0"/>
      <w:divBdr>
        <w:top w:val="none" w:sz="0" w:space="0" w:color="auto"/>
        <w:left w:val="none" w:sz="0" w:space="0" w:color="auto"/>
        <w:bottom w:val="none" w:sz="0" w:space="0" w:color="auto"/>
        <w:right w:val="none" w:sz="0" w:space="0" w:color="auto"/>
      </w:divBdr>
    </w:div>
    <w:div w:id="395203957">
      <w:bodyDiv w:val="1"/>
      <w:marLeft w:val="0"/>
      <w:marRight w:val="0"/>
      <w:marTop w:val="0"/>
      <w:marBottom w:val="0"/>
      <w:divBdr>
        <w:top w:val="none" w:sz="0" w:space="0" w:color="auto"/>
        <w:left w:val="none" w:sz="0" w:space="0" w:color="auto"/>
        <w:bottom w:val="none" w:sz="0" w:space="0" w:color="auto"/>
        <w:right w:val="none" w:sz="0" w:space="0" w:color="auto"/>
      </w:divBdr>
    </w:div>
    <w:div w:id="428232899">
      <w:bodyDiv w:val="1"/>
      <w:marLeft w:val="0"/>
      <w:marRight w:val="0"/>
      <w:marTop w:val="0"/>
      <w:marBottom w:val="0"/>
      <w:divBdr>
        <w:top w:val="none" w:sz="0" w:space="0" w:color="auto"/>
        <w:left w:val="none" w:sz="0" w:space="0" w:color="auto"/>
        <w:bottom w:val="none" w:sz="0" w:space="0" w:color="auto"/>
        <w:right w:val="none" w:sz="0" w:space="0" w:color="auto"/>
      </w:divBdr>
    </w:div>
    <w:div w:id="434595747">
      <w:bodyDiv w:val="1"/>
      <w:marLeft w:val="0"/>
      <w:marRight w:val="0"/>
      <w:marTop w:val="0"/>
      <w:marBottom w:val="0"/>
      <w:divBdr>
        <w:top w:val="none" w:sz="0" w:space="0" w:color="auto"/>
        <w:left w:val="none" w:sz="0" w:space="0" w:color="auto"/>
        <w:bottom w:val="none" w:sz="0" w:space="0" w:color="auto"/>
        <w:right w:val="none" w:sz="0" w:space="0" w:color="auto"/>
      </w:divBdr>
    </w:div>
    <w:div w:id="458837799">
      <w:bodyDiv w:val="1"/>
      <w:marLeft w:val="0"/>
      <w:marRight w:val="0"/>
      <w:marTop w:val="0"/>
      <w:marBottom w:val="0"/>
      <w:divBdr>
        <w:top w:val="none" w:sz="0" w:space="0" w:color="auto"/>
        <w:left w:val="none" w:sz="0" w:space="0" w:color="auto"/>
        <w:bottom w:val="none" w:sz="0" w:space="0" w:color="auto"/>
        <w:right w:val="none" w:sz="0" w:space="0" w:color="auto"/>
      </w:divBdr>
    </w:div>
    <w:div w:id="473445447">
      <w:bodyDiv w:val="1"/>
      <w:marLeft w:val="0"/>
      <w:marRight w:val="0"/>
      <w:marTop w:val="0"/>
      <w:marBottom w:val="0"/>
      <w:divBdr>
        <w:top w:val="none" w:sz="0" w:space="0" w:color="auto"/>
        <w:left w:val="none" w:sz="0" w:space="0" w:color="auto"/>
        <w:bottom w:val="none" w:sz="0" w:space="0" w:color="auto"/>
        <w:right w:val="none" w:sz="0" w:space="0" w:color="auto"/>
      </w:divBdr>
    </w:div>
    <w:div w:id="521475429">
      <w:bodyDiv w:val="1"/>
      <w:marLeft w:val="0"/>
      <w:marRight w:val="0"/>
      <w:marTop w:val="0"/>
      <w:marBottom w:val="0"/>
      <w:divBdr>
        <w:top w:val="none" w:sz="0" w:space="0" w:color="auto"/>
        <w:left w:val="none" w:sz="0" w:space="0" w:color="auto"/>
        <w:bottom w:val="none" w:sz="0" w:space="0" w:color="auto"/>
        <w:right w:val="none" w:sz="0" w:space="0" w:color="auto"/>
      </w:divBdr>
    </w:div>
    <w:div w:id="524056639">
      <w:bodyDiv w:val="1"/>
      <w:marLeft w:val="0"/>
      <w:marRight w:val="0"/>
      <w:marTop w:val="0"/>
      <w:marBottom w:val="0"/>
      <w:divBdr>
        <w:top w:val="none" w:sz="0" w:space="0" w:color="auto"/>
        <w:left w:val="none" w:sz="0" w:space="0" w:color="auto"/>
        <w:bottom w:val="none" w:sz="0" w:space="0" w:color="auto"/>
        <w:right w:val="none" w:sz="0" w:space="0" w:color="auto"/>
      </w:divBdr>
    </w:div>
    <w:div w:id="531234947">
      <w:bodyDiv w:val="1"/>
      <w:marLeft w:val="0"/>
      <w:marRight w:val="0"/>
      <w:marTop w:val="0"/>
      <w:marBottom w:val="0"/>
      <w:divBdr>
        <w:top w:val="none" w:sz="0" w:space="0" w:color="auto"/>
        <w:left w:val="none" w:sz="0" w:space="0" w:color="auto"/>
        <w:bottom w:val="none" w:sz="0" w:space="0" w:color="auto"/>
        <w:right w:val="none" w:sz="0" w:space="0" w:color="auto"/>
      </w:divBdr>
    </w:div>
    <w:div w:id="543100796">
      <w:bodyDiv w:val="1"/>
      <w:marLeft w:val="0"/>
      <w:marRight w:val="0"/>
      <w:marTop w:val="0"/>
      <w:marBottom w:val="0"/>
      <w:divBdr>
        <w:top w:val="none" w:sz="0" w:space="0" w:color="auto"/>
        <w:left w:val="none" w:sz="0" w:space="0" w:color="auto"/>
        <w:bottom w:val="none" w:sz="0" w:space="0" w:color="auto"/>
        <w:right w:val="none" w:sz="0" w:space="0" w:color="auto"/>
      </w:divBdr>
    </w:div>
    <w:div w:id="579411334">
      <w:bodyDiv w:val="1"/>
      <w:marLeft w:val="0"/>
      <w:marRight w:val="0"/>
      <w:marTop w:val="0"/>
      <w:marBottom w:val="0"/>
      <w:divBdr>
        <w:top w:val="none" w:sz="0" w:space="0" w:color="auto"/>
        <w:left w:val="none" w:sz="0" w:space="0" w:color="auto"/>
        <w:bottom w:val="none" w:sz="0" w:space="0" w:color="auto"/>
        <w:right w:val="none" w:sz="0" w:space="0" w:color="auto"/>
      </w:divBdr>
    </w:div>
    <w:div w:id="620495811">
      <w:bodyDiv w:val="1"/>
      <w:marLeft w:val="0"/>
      <w:marRight w:val="0"/>
      <w:marTop w:val="0"/>
      <w:marBottom w:val="0"/>
      <w:divBdr>
        <w:top w:val="none" w:sz="0" w:space="0" w:color="auto"/>
        <w:left w:val="none" w:sz="0" w:space="0" w:color="auto"/>
        <w:bottom w:val="none" w:sz="0" w:space="0" w:color="auto"/>
        <w:right w:val="none" w:sz="0" w:space="0" w:color="auto"/>
      </w:divBdr>
    </w:div>
    <w:div w:id="650669459">
      <w:bodyDiv w:val="1"/>
      <w:marLeft w:val="0"/>
      <w:marRight w:val="0"/>
      <w:marTop w:val="0"/>
      <w:marBottom w:val="0"/>
      <w:divBdr>
        <w:top w:val="none" w:sz="0" w:space="0" w:color="auto"/>
        <w:left w:val="none" w:sz="0" w:space="0" w:color="auto"/>
        <w:bottom w:val="none" w:sz="0" w:space="0" w:color="auto"/>
        <w:right w:val="none" w:sz="0" w:space="0" w:color="auto"/>
      </w:divBdr>
    </w:div>
    <w:div w:id="650717026">
      <w:bodyDiv w:val="1"/>
      <w:marLeft w:val="0"/>
      <w:marRight w:val="0"/>
      <w:marTop w:val="0"/>
      <w:marBottom w:val="0"/>
      <w:divBdr>
        <w:top w:val="none" w:sz="0" w:space="0" w:color="auto"/>
        <w:left w:val="none" w:sz="0" w:space="0" w:color="auto"/>
        <w:bottom w:val="none" w:sz="0" w:space="0" w:color="auto"/>
        <w:right w:val="none" w:sz="0" w:space="0" w:color="auto"/>
      </w:divBdr>
    </w:div>
    <w:div w:id="683672993">
      <w:bodyDiv w:val="1"/>
      <w:marLeft w:val="0"/>
      <w:marRight w:val="0"/>
      <w:marTop w:val="0"/>
      <w:marBottom w:val="0"/>
      <w:divBdr>
        <w:top w:val="none" w:sz="0" w:space="0" w:color="auto"/>
        <w:left w:val="none" w:sz="0" w:space="0" w:color="auto"/>
        <w:bottom w:val="none" w:sz="0" w:space="0" w:color="auto"/>
        <w:right w:val="none" w:sz="0" w:space="0" w:color="auto"/>
      </w:divBdr>
    </w:div>
    <w:div w:id="692415510">
      <w:bodyDiv w:val="1"/>
      <w:marLeft w:val="0"/>
      <w:marRight w:val="0"/>
      <w:marTop w:val="0"/>
      <w:marBottom w:val="0"/>
      <w:divBdr>
        <w:top w:val="none" w:sz="0" w:space="0" w:color="auto"/>
        <w:left w:val="none" w:sz="0" w:space="0" w:color="auto"/>
        <w:bottom w:val="none" w:sz="0" w:space="0" w:color="auto"/>
        <w:right w:val="none" w:sz="0" w:space="0" w:color="auto"/>
      </w:divBdr>
    </w:div>
    <w:div w:id="758983791">
      <w:bodyDiv w:val="1"/>
      <w:marLeft w:val="0"/>
      <w:marRight w:val="0"/>
      <w:marTop w:val="0"/>
      <w:marBottom w:val="0"/>
      <w:divBdr>
        <w:top w:val="none" w:sz="0" w:space="0" w:color="auto"/>
        <w:left w:val="none" w:sz="0" w:space="0" w:color="auto"/>
        <w:bottom w:val="none" w:sz="0" w:space="0" w:color="auto"/>
        <w:right w:val="none" w:sz="0" w:space="0" w:color="auto"/>
      </w:divBdr>
    </w:div>
    <w:div w:id="759255090">
      <w:bodyDiv w:val="1"/>
      <w:marLeft w:val="0"/>
      <w:marRight w:val="0"/>
      <w:marTop w:val="0"/>
      <w:marBottom w:val="0"/>
      <w:divBdr>
        <w:top w:val="none" w:sz="0" w:space="0" w:color="auto"/>
        <w:left w:val="none" w:sz="0" w:space="0" w:color="auto"/>
        <w:bottom w:val="none" w:sz="0" w:space="0" w:color="auto"/>
        <w:right w:val="none" w:sz="0" w:space="0" w:color="auto"/>
      </w:divBdr>
    </w:div>
    <w:div w:id="767509133">
      <w:bodyDiv w:val="1"/>
      <w:marLeft w:val="0"/>
      <w:marRight w:val="0"/>
      <w:marTop w:val="0"/>
      <w:marBottom w:val="0"/>
      <w:divBdr>
        <w:top w:val="none" w:sz="0" w:space="0" w:color="auto"/>
        <w:left w:val="none" w:sz="0" w:space="0" w:color="auto"/>
        <w:bottom w:val="none" w:sz="0" w:space="0" w:color="auto"/>
        <w:right w:val="none" w:sz="0" w:space="0" w:color="auto"/>
      </w:divBdr>
    </w:div>
    <w:div w:id="767699084">
      <w:bodyDiv w:val="1"/>
      <w:marLeft w:val="0"/>
      <w:marRight w:val="0"/>
      <w:marTop w:val="0"/>
      <w:marBottom w:val="0"/>
      <w:divBdr>
        <w:top w:val="none" w:sz="0" w:space="0" w:color="auto"/>
        <w:left w:val="none" w:sz="0" w:space="0" w:color="auto"/>
        <w:bottom w:val="none" w:sz="0" w:space="0" w:color="auto"/>
        <w:right w:val="none" w:sz="0" w:space="0" w:color="auto"/>
      </w:divBdr>
    </w:div>
    <w:div w:id="771629387">
      <w:bodyDiv w:val="1"/>
      <w:marLeft w:val="0"/>
      <w:marRight w:val="0"/>
      <w:marTop w:val="0"/>
      <w:marBottom w:val="0"/>
      <w:divBdr>
        <w:top w:val="none" w:sz="0" w:space="0" w:color="auto"/>
        <w:left w:val="none" w:sz="0" w:space="0" w:color="auto"/>
        <w:bottom w:val="none" w:sz="0" w:space="0" w:color="auto"/>
        <w:right w:val="none" w:sz="0" w:space="0" w:color="auto"/>
      </w:divBdr>
    </w:div>
    <w:div w:id="779834086">
      <w:bodyDiv w:val="1"/>
      <w:marLeft w:val="0"/>
      <w:marRight w:val="0"/>
      <w:marTop w:val="0"/>
      <w:marBottom w:val="0"/>
      <w:divBdr>
        <w:top w:val="none" w:sz="0" w:space="0" w:color="auto"/>
        <w:left w:val="none" w:sz="0" w:space="0" w:color="auto"/>
        <w:bottom w:val="none" w:sz="0" w:space="0" w:color="auto"/>
        <w:right w:val="none" w:sz="0" w:space="0" w:color="auto"/>
      </w:divBdr>
    </w:div>
    <w:div w:id="801310614">
      <w:bodyDiv w:val="1"/>
      <w:marLeft w:val="0"/>
      <w:marRight w:val="0"/>
      <w:marTop w:val="0"/>
      <w:marBottom w:val="0"/>
      <w:divBdr>
        <w:top w:val="none" w:sz="0" w:space="0" w:color="auto"/>
        <w:left w:val="none" w:sz="0" w:space="0" w:color="auto"/>
        <w:bottom w:val="none" w:sz="0" w:space="0" w:color="auto"/>
        <w:right w:val="none" w:sz="0" w:space="0" w:color="auto"/>
      </w:divBdr>
    </w:div>
    <w:div w:id="807239201">
      <w:bodyDiv w:val="1"/>
      <w:marLeft w:val="0"/>
      <w:marRight w:val="0"/>
      <w:marTop w:val="0"/>
      <w:marBottom w:val="0"/>
      <w:divBdr>
        <w:top w:val="none" w:sz="0" w:space="0" w:color="auto"/>
        <w:left w:val="none" w:sz="0" w:space="0" w:color="auto"/>
        <w:bottom w:val="none" w:sz="0" w:space="0" w:color="auto"/>
        <w:right w:val="none" w:sz="0" w:space="0" w:color="auto"/>
      </w:divBdr>
    </w:div>
    <w:div w:id="833883521">
      <w:bodyDiv w:val="1"/>
      <w:marLeft w:val="0"/>
      <w:marRight w:val="0"/>
      <w:marTop w:val="0"/>
      <w:marBottom w:val="0"/>
      <w:divBdr>
        <w:top w:val="none" w:sz="0" w:space="0" w:color="auto"/>
        <w:left w:val="none" w:sz="0" w:space="0" w:color="auto"/>
        <w:bottom w:val="none" w:sz="0" w:space="0" w:color="auto"/>
        <w:right w:val="none" w:sz="0" w:space="0" w:color="auto"/>
      </w:divBdr>
    </w:div>
    <w:div w:id="851651019">
      <w:bodyDiv w:val="1"/>
      <w:marLeft w:val="0"/>
      <w:marRight w:val="0"/>
      <w:marTop w:val="0"/>
      <w:marBottom w:val="0"/>
      <w:divBdr>
        <w:top w:val="none" w:sz="0" w:space="0" w:color="auto"/>
        <w:left w:val="none" w:sz="0" w:space="0" w:color="auto"/>
        <w:bottom w:val="none" w:sz="0" w:space="0" w:color="auto"/>
        <w:right w:val="none" w:sz="0" w:space="0" w:color="auto"/>
      </w:divBdr>
    </w:div>
    <w:div w:id="905457916">
      <w:bodyDiv w:val="1"/>
      <w:marLeft w:val="0"/>
      <w:marRight w:val="0"/>
      <w:marTop w:val="0"/>
      <w:marBottom w:val="0"/>
      <w:divBdr>
        <w:top w:val="none" w:sz="0" w:space="0" w:color="auto"/>
        <w:left w:val="none" w:sz="0" w:space="0" w:color="auto"/>
        <w:bottom w:val="none" w:sz="0" w:space="0" w:color="auto"/>
        <w:right w:val="none" w:sz="0" w:space="0" w:color="auto"/>
      </w:divBdr>
    </w:div>
    <w:div w:id="910384142">
      <w:bodyDiv w:val="1"/>
      <w:marLeft w:val="0"/>
      <w:marRight w:val="0"/>
      <w:marTop w:val="0"/>
      <w:marBottom w:val="0"/>
      <w:divBdr>
        <w:top w:val="none" w:sz="0" w:space="0" w:color="auto"/>
        <w:left w:val="none" w:sz="0" w:space="0" w:color="auto"/>
        <w:bottom w:val="none" w:sz="0" w:space="0" w:color="auto"/>
        <w:right w:val="none" w:sz="0" w:space="0" w:color="auto"/>
      </w:divBdr>
    </w:div>
    <w:div w:id="928657210">
      <w:bodyDiv w:val="1"/>
      <w:marLeft w:val="0"/>
      <w:marRight w:val="0"/>
      <w:marTop w:val="0"/>
      <w:marBottom w:val="0"/>
      <w:divBdr>
        <w:top w:val="none" w:sz="0" w:space="0" w:color="auto"/>
        <w:left w:val="none" w:sz="0" w:space="0" w:color="auto"/>
        <w:bottom w:val="none" w:sz="0" w:space="0" w:color="auto"/>
        <w:right w:val="none" w:sz="0" w:space="0" w:color="auto"/>
      </w:divBdr>
    </w:div>
    <w:div w:id="954678094">
      <w:bodyDiv w:val="1"/>
      <w:marLeft w:val="0"/>
      <w:marRight w:val="0"/>
      <w:marTop w:val="0"/>
      <w:marBottom w:val="0"/>
      <w:divBdr>
        <w:top w:val="none" w:sz="0" w:space="0" w:color="auto"/>
        <w:left w:val="none" w:sz="0" w:space="0" w:color="auto"/>
        <w:bottom w:val="none" w:sz="0" w:space="0" w:color="auto"/>
        <w:right w:val="none" w:sz="0" w:space="0" w:color="auto"/>
      </w:divBdr>
    </w:div>
    <w:div w:id="955601253">
      <w:bodyDiv w:val="1"/>
      <w:marLeft w:val="0"/>
      <w:marRight w:val="0"/>
      <w:marTop w:val="0"/>
      <w:marBottom w:val="0"/>
      <w:divBdr>
        <w:top w:val="none" w:sz="0" w:space="0" w:color="auto"/>
        <w:left w:val="none" w:sz="0" w:space="0" w:color="auto"/>
        <w:bottom w:val="none" w:sz="0" w:space="0" w:color="auto"/>
        <w:right w:val="none" w:sz="0" w:space="0" w:color="auto"/>
      </w:divBdr>
    </w:div>
    <w:div w:id="967592027">
      <w:bodyDiv w:val="1"/>
      <w:marLeft w:val="0"/>
      <w:marRight w:val="0"/>
      <w:marTop w:val="0"/>
      <w:marBottom w:val="0"/>
      <w:divBdr>
        <w:top w:val="none" w:sz="0" w:space="0" w:color="auto"/>
        <w:left w:val="none" w:sz="0" w:space="0" w:color="auto"/>
        <w:bottom w:val="none" w:sz="0" w:space="0" w:color="auto"/>
        <w:right w:val="none" w:sz="0" w:space="0" w:color="auto"/>
      </w:divBdr>
    </w:div>
    <w:div w:id="982999316">
      <w:bodyDiv w:val="1"/>
      <w:marLeft w:val="0"/>
      <w:marRight w:val="0"/>
      <w:marTop w:val="0"/>
      <w:marBottom w:val="0"/>
      <w:divBdr>
        <w:top w:val="none" w:sz="0" w:space="0" w:color="auto"/>
        <w:left w:val="none" w:sz="0" w:space="0" w:color="auto"/>
        <w:bottom w:val="none" w:sz="0" w:space="0" w:color="auto"/>
        <w:right w:val="none" w:sz="0" w:space="0" w:color="auto"/>
      </w:divBdr>
    </w:div>
    <w:div w:id="1000350188">
      <w:bodyDiv w:val="1"/>
      <w:marLeft w:val="0"/>
      <w:marRight w:val="0"/>
      <w:marTop w:val="0"/>
      <w:marBottom w:val="0"/>
      <w:divBdr>
        <w:top w:val="none" w:sz="0" w:space="0" w:color="auto"/>
        <w:left w:val="none" w:sz="0" w:space="0" w:color="auto"/>
        <w:bottom w:val="none" w:sz="0" w:space="0" w:color="auto"/>
        <w:right w:val="none" w:sz="0" w:space="0" w:color="auto"/>
      </w:divBdr>
    </w:div>
    <w:div w:id="1024986593">
      <w:bodyDiv w:val="1"/>
      <w:marLeft w:val="0"/>
      <w:marRight w:val="0"/>
      <w:marTop w:val="0"/>
      <w:marBottom w:val="0"/>
      <w:divBdr>
        <w:top w:val="none" w:sz="0" w:space="0" w:color="auto"/>
        <w:left w:val="none" w:sz="0" w:space="0" w:color="auto"/>
        <w:bottom w:val="none" w:sz="0" w:space="0" w:color="auto"/>
        <w:right w:val="none" w:sz="0" w:space="0" w:color="auto"/>
      </w:divBdr>
    </w:div>
    <w:div w:id="1025400901">
      <w:bodyDiv w:val="1"/>
      <w:marLeft w:val="0"/>
      <w:marRight w:val="0"/>
      <w:marTop w:val="0"/>
      <w:marBottom w:val="0"/>
      <w:divBdr>
        <w:top w:val="none" w:sz="0" w:space="0" w:color="auto"/>
        <w:left w:val="none" w:sz="0" w:space="0" w:color="auto"/>
        <w:bottom w:val="none" w:sz="0" w:space="0" w:color="auto"/>
        <w:right w:val="none" w:sz="0" w:space="0" w:color="auto"/>
      </w:divBdr>
    </w:div>
    <w:div w:id="1033380440">
      <w:bodyDiv w:val="1"/>
      <w:marLeft w:val="0"/>
      <w:marRight w:val="0"/>
      <w:marTop w:val="0"/>
      <w:marBottom w:val="0"/>
      <w:divBdr>
        <w:top w:val="none" w:sz="0" w:space="0" w:color="auto"/>
        <w:left w:val="none" w:sz="0" w:space="0" w:color="auto"/>
        <w:bottom w:val="none" w:sz="0" w:space="0" w:color="auto"/>
        <w:right w:val="none" w:sz="0" w:space="0" w:color="auto"/>
      </w:divBdr>
    </w:div>
    <w:div w:id="1045712471">
      <w:bodyDiv w:val="1"/>
      <w:marLeft w:val="0"/>
      <w:marRight w:val="0"/>
      <w:marTop w:val="0"/>
      <w:marBottom w:val="0"/>
      <w:divBdr>
        <w:top w:val="none" w:sz="0" w:space="0" w:color="auto"/>
        <w:left w:val="none" w:sz="0" w:space="0" w:color="auto"/>
        <w:bottom w:val="none" w:sz="0" w:space="0" w:color="auto"/>
        <w:right w:val="none" w:sz="0" w:space="0" w:color="auto"/>
      </w:divBdr>
    </w:div>
    <w:div w:id="1092123944">
      <w:bodyDiv w:val="1"/>
      <w:marLeft w:val="0"/>
      <w:marRight w:val="0"/>
      <w:marTop w:val="0"/>
      <w:marBottom w:val="0"/>
      <w:divBdr>
        <w:top w:val="none" w:sz="0" w:space="0" w:color="auto"/>
        <w:left w:val="none" w:sz="0" w:space="0" w:color="auto"/>
        <w:bottom w:val="none" w:sz="0" w:space="0" w:color="auto"/>
        <w:right w:val="none" w:sz="0" w:space="0" w:color="auto"/>
      </w:divBdr>
    </w:div>
    <w:div w:id="1131248978">
      <w:bodyDiv w:val="1"/>
      <w:marLeft w:val="0"/>
      <w:marRight w:val="0"/>
      <w:marTop w:val="0"/>
      <w:marBottom w:val="0"/>
      <w:divBdr>
        <w:top w:val="none" w:sz="0" w:space="0" w:color="auto"/>
        <w:left w:val="none" w:sz="0" w:space="0" w:color="auto"/>
        <w:bottom w:val="none" w:sz="0" w:space="0" w:color="auto"/>
        <w:right w:val="none" w:sz="0" w:space="0" w:color="auto"/>
      </w:divBdr>
    </w:div>
    <w:div w:id="1150052449">
      <w:bodyDiv w:val="1"/>
      <w:marLeft w:val="0"/>
      <w:marRight w:val="0"/>
      <w:marTop w:val="0"/>
      <w:marBottom w:val="0"/>
      <w:divBdr>
        <w:top w:val="none" w:sz="0" w:space="0" w:color="auto"/>
        <w:left w:val="none" w:sz="0" w:space="0" w:color="auto"/>
        <w:bottom w:val="none" w:sz="0" w:space="0" w:color="auto"/>
        <w:right w:val="none" w:sz="0" w:space="0" w:color="auto"/>
      </w:divBdr>
    </w:div>
    <w:div w:id="1152992027">
      <w:bodyDiv w:val="1"/>
      <w:marLeft w:val="0"/>
      <w:marRight w:val="0"/>
      <w:marTop w:val="0"/>
      <w:marBottom w:val="0"/>
      <w:divBdr>
        <w:top w:val="none" w:sz="0" w:space="0" w:color="auto"/>
        <w:left w:val="none" w:sz="0" w:space="0" w:color="auto"/>
        <w:bottom w:val="none" w:sz="0" w:space="0" w:color="auto"/>
        <w:right w:val="none" w:sz="0" w:space="0" w:color="auto"/>
      </w:divBdr>
    </w:div>
    <w:div w:id="1160266008">
      <w:bodyDiv w:val="1"/>
      <w:marLeft w:val="0"/>
      <w:marRight w:val="0"/>
      <w:marTop w:val="0"/>
      <w:marBottom w:val="0"/>
      <w:divBdr>
        <w:top w:val="none" w:sz="0" w:space="0" w:color="auto"/>
        <w:left w:val="none" w:sz="0" w:space="0" w:color="auto"/>
        <w:bottom w:val="none" w:sz="0" w:space="0" w:color="auto"/>
        <w:right w:val="none" w:sz="0" w:space="0" w:color="auto"/>
      </w:divBdr>
    </w:div>
    <w:div w:id="1169177641">
      <w:bodyDiv w:val="1"/>
      <w:marLeft w:val="0"/>
      <w:marRight w:val="0"/>
      <w:marTop w:val="0"/>
      <w:marBottom w:val="0"/>
      <w:divBdr>
        <w:top w:val="none" w:sz="0" w:space="0" w:color="auto"/>
        <w:left w:val="none" w:sz="0" w:space="0" w:color="auto"/>
        <w:bottom w:val="none" w:sz="0" w:space="0" w:color="auto"/>
        <w:right w:val="none" w:sz="0" w:space="0" w:color="auto"/>
      </w:divBdr>
    </w:div>
    <w:div w:id="1169826131">
      <w:bodyDiv w:val="1"/>
      <w:marLeft w:val="0"/>
      <w:marRight w:val="0"/>
      <w:marTop w:val="0"/>
      <w:marBottom w:val="0"/>
      <w:divBdr>
        <w:top w:val="none" w:sz="0" w:space="0" w:color="auto"/>
        <w:left w:val="none" w:sz="0" w:space="0" w:color="auto"/>
        <w:bottom w:val="none" w:sz="0" w:space="0" w:color="auto"/>
        <w:right w:val="none" w:sz="0" w:space="0" w:color="auto"/>
      </w:divBdr>
    </w:div>
    <w:div w:id="1204757194">
      <w:bodyDiv w:val="1"/>
      <w:marLeft w:val="0"/>
      <w:marRight w:val="0"/>
      <w:marTop w:val="0"/>
      <w:marBottom w:val="0"/>
      <w:divBdr>
        <w:top w:val="none" w:sz="0" w:space="0" w:color="auto"/>
        <w:left w:val="none" w:sz="0" w:space="0" w:color="auto"/>
        <w:bottom w:val="none" w:sz="0" w:space="0" w:color="auto"/>
        <w:right w:val="none" w:sz="0" w:space="0" w:color="auto"/>
      </w:divBdr>
    </w:div>
    <w:div w:id="1238441321">
      <w:bodyDiv w:val="1"/>
      <w:marLeft w:val="0"/>
      <w:marRight w:val="0"/>
      <w:marTop w:val="0"/>
      <w:marBottom w:val="0"/>
      <w:divBdr>
        <w:top w:val="none" w:sz="0" w:space="0" w:color="auto"/>
        <w:left w:val="none" w:sz="0" w:space="0" w:color="auto"/>
        <w:bottom w:val="none" w:sz="0" w:space="0" w:color="auto"/>
        <w:right w:val="none" w:sz="0" w:space="0" w:color="auto"/>
      </w:divBdr>
    </w:div>
    <w:div w:id="1242720957">
      <w:bodyDiv w:val="1"/>
      <w:marLeft w:val="0"/>
      <w:marRight w:val="0"/>
      <w:marTop w:val="0"/>
      <w:marBottom w:val="0"/>
      <w:divBdr>
        <w:top w:val="none" w:sz="0" w:space="0" w:color="auto"/>
        <w:left w:val="none" w:sz="0" w:space="0" w:color="auto"/>
        <w:bottom w:val="none" w:sz="0" w:space="0" w:color="auto"/>
        <w:right w:val="none" w:sz="0" w:space="0" w:color="auto"/>
      </w:divBdr>
    </w:div>
    <w:div w:id="1248733667">
      <w:bodyDiv w:val="1"/>
      <w:marLeft w:val="0"/>
      <w:marRight w:val="0"/>
      <w:marTop w:val="0"/>
      <w:marBottom w:val="0"/>
      <w:divBdr>
        <w:top w:val="none" w:sz="0" w:space="0" w:color="auto"/>
        <w:left w:val="none" w:sz="0" w:space="0" w:color="auto"/>
        <w:bottom w:val="none" w:sz="0" w:space="0" w:color="auto"/>
        <w:right w:val="none" w:sz="0" w:space="0" w:color="auto"/>
      </w:divBdr>
    </w:div>
    <w:div w:id="1261719785">
      <w:bodyDiv w:val="1"/>
      <w:marLeft w:val="0"/>
      <w:marRight w:val="0"/>
      <w:marTop w:val="0"/>
      <w:marBottom w:val="0"/>
      <w:divBdr>
        <w:top w:val="none" w:sz="0" w:space="0" w:color="auto"/>
        <w:left w:val="none" w:sz="0" w:space="0" w:color="auto"/>
        <w:bottom w:val="none" w:sz="0" w:space="0" w:color="auto"/>
        <w:right w:val="none" w:sz="0" w:space="0" w:color="auto"/>
      </w:divBdr>
    </w:div>
    <w:div w:id="1263103533">
      <w:bodyDiv w:val="1"/>
      <w:marLeft w:val="0"/>
      <w:marRight w:val="0"/>
      <w:marTop w:val="0"/>
      <w:marBottom w:val="0"/>
      <w:divBdr>
        <w:top w:val="none" w:sz="0" w:space="0" w:color="auto"/>
        <w:left w:val="none" w:sz="0" w:space="0" w:color="auto"/>
        <w:bottom w:val="none" w:sz="0" w:space="0" w:color="auto"/>
        <w:right w:val="none" w:sz="0" w:space="0" w:color="auto"/>
      </w:divBdr>
    </w:div>
    <w:div w:id="1275483339">
      <w:bodyDiv w:val="1"/>
      <w:marLeft w:val="0"/>
      <w:marRight w:val="0"/>
      <w:marTop w:val="0"/>
      <w:marBottom w:val="0"/>
      <w:divBdr>
        <w:top w:val="none" w:sz="0" w:space="0" w:color="auto"/>
        <w:left w:val="none" w:sz="0" w:space="0" w:color="auto"/>
        <w:bottom w:val="none" w:sz="0" w:space="0" w:color="auto"/>
        <w:right w:val="none" w:sz="0" w:space="0" w:color="auto"/>
      </w:divBdr>
    </w:div>
    <w:div w:id="1310861369">
      <w:bodyDiv w:val="1"/>
      <w:marLeft w:val="0"/>
      <w:marRight w:val="0"/>
      <w:marTop w:val="0"/>
      <w:marBottom w:val="0"/>
      <w:divBdr>
        <w:top w:val="none" w:sz="0" w:space="0" w:color="auto"/>
        <w:left w:val="none" w:sz="0" w:space="0" w:color="auto"/>
        <w:bottom w:val="none" w:sz="0" w:space="0" w:color="auto"/>
        <w:right w:val="none" w:sz="0" w:space="0" w:color="auto"/>
      </w:divBdr>
    </w:div>
    <w:div w:id="1355309244">
      <w:bodyDiv w:val="1"/>
      <w:marLeft w:val="0"/>
      <w:marRight w:val="0"/>
      <w:marTop w:val="0"/>
      <w:marBottom w:val="0"/>
      <w:divBdr>
        <w:top w:val="none" w:sz="0" w:space="0" w:color="auto"/>
        <w:left w:val="none" w:sz="0" w:space="0" w:color="auto"/>
        <w:bottom w:val="none" w:sz="0" w:space="0" w:color="auto"/>
        <w:right w:val="none" w:sz="0" w:space="0" w:color="auto"/>
      </w:divBdr>
    </w:div>
    <w:div w:id="1364743363">
      <w:bodyDiv w:val="1"/>
      <w:marLeft w:val="0"/>
      <w:marRight w:val="0"/>
      <w:marTop w:val="0"/>
      <w:marBottom w:val="0"/>
      <w:divBdr>
        <w:top w:val="none" w:sz="0" w:space="0" w:color="auto"/>
        <w:left w:val="none" w:sz="0" w:space="0" w:color="auto"/>
        <w:bottom w:val="none" w:sz="0" w:space="0" w:color="auto"/>
        <w:right w:val="none" w:sz="0" w:space="0" w:color="auto"/>
      </w:divBdr>
    </w:div>
    <w:div w:id="1365138326">
      <w:bodyDiv w:val="1"/>
      <w:marLeft w:val="0"/>
      <w:marRight w:val="0"/>
      <w:marTop w:val="0"/>
      <w:marBottom w:val="0"/>
      <w:divBdr>
        <w:top w:val="none" w:sz="0" w:space="0" w:color="auto"/>
        <w:left w:val="none" w:sz="0" w:space="0" w:color="auto"/>
        <w:bottom w:val="none" w:sz="0" w:space="0" w:color="auto"/>
        <w:right w:val="none" w:sz="0" w:space="0" w:color="auto"/>
      </w:divBdr>
    </w:div>
    <w:div w:id="1384015303">
      <w:bodyDiv w:val="1"/>
      <w:marLeft w:val="0"/>
      <w:marRight w:val="0"/>
      <w:marTop w:val="0"/>
      <w:marBottom w:val="0"/>
      <w:divBdr>
        <w:top w:val="none" w:sz="0" w:space="0" w:color="auto"/>
        <w:left w:val="none" w:sz="0" w:space="0" w:color="auto"/>
        <w:bottom w:val="none" w:sz="0" w:space="0" w:color="auto"/>
        <w:right w:val="none" w:sz="0" w:space="0" w:color="auto"/>
      </w:divBdr>
    </w:div>
    <w:div w:id="1385251917">
      <w:bodyDiv w:val="1"/>
      <w:marLeft w:val="0"/>
      <w:marRight w:val="0"/>
      <w:marTop w:val="0"/>
      <w:marBottom w:val="0"/>
      <w:divBdr>
        <w:top w:val="none" w:sz="0" w:space="0" w:color="auto"/>
        <w:left w:val="none" w:sz="0" w:space="0" w:color="auto"/>
        <w:bottom w:val="none" w:sz="0" w:space="0" w:color="auto"/>
        <w:right w:val="none" w:sz="0" w:space="0" w:color="auto"/>
      </w:divBdr>
    </w:div>
    <w:div w:id="1385714366">
      <w:bodyDiv w:val="1"/>
      <w:marLeft w:val="0"/>
      <w:marRight w:val="0"/>
      <w:marTop w:val="0"/>
      <w:marBottom w:val="0"/>
      <w:divBdr>
        <w:top w:val="none" w:sz="0" w:space="0" w:color="auto"/>
        <w:left w:val="none" w:sz="0" w:space="0" w:color="auto"/>
        <w:bottom w:val="none" w:sz="0" w:space="0" w:color="auto"/>
        <w:right w:val="none" w:sz="0" w:space="0" w:color="auto"/>
      </w:divBdr>
    </w:div>
    <w:div w:id="1389113863">
      <w:bodyDiv w:val="1"/>
      <w:marLeft w:val="0"/>
      <w:marRight w:val="0"/>
      <w:marTop w:val="0"/>
      <w:marBottom w:val="0"/>
      <w:divBdr>
        <w:top w:val="none" w:sz="0" w:space="0" w:color="auto"/>
        <w:left w:val="none" w:sz="0" w:space="0" w:color="auto"/>
        <w:bottom w:val="none" w:sz="0" w:space="0" w:color="auto"/>
        <w:right w:val="none" w:sz="0" w:space="0" w:color="auto"/>
      </w:divBdr>
    </w:div>
    <w:div w:id="1396276515">
      <w:bodyDiv w:val="1"/>
      <w:marLeft w:val="0"/>
      <w:marRight w:val="0"/>
      <w:marTop w:val="0"/>
      <w:marBottom w:val="0"/>
      <w:divBdr>
        <w:top w:val="none" w:sz="0" w:space="0" w:color="auto"/>
        <w:left w:val="none" w:sz="0" w:space="0" w:color="auto"/>
        <w:bottom w:val="none" w:sz="0" w:space="0" w:color="auto"/>
        <w:right w:val="none" w:sz="0" w:space="0" w:color="auto"/>
      </w:divBdr>
    </w:div>
    <w:div w:id="1466390047">
      <w:bodyDiv w:val="1"/>
      <w:marLeft w:val="0"/>
      <w:marRight w:val="0"/>
      <w:marTop w:val="0"/>
      <w:marBottom w:val="0"/>
      <w:divBdr>
        <w:top w:val="none" w:sz="0" w:space="0" w:color="auto"/>
        <w:left w:val="none" w:sz="0" w:space="0" w:color="auto"/>
        <w:bottom w:val="none" w:sz="0" w:space="0" w:color="auto"/>
        <w:right w:val="none" w:sz="0" w:space="0" w:color="auto"/>
      </w:divBdr>
    </w:div>
    <w:div w:id="1481730719">
      <w:bodyDiv w:val="1"/>
      <w:marLeft w:val="0"/>
      <w:marRight w:val="0"/>
      <w:marTop w:val="0"/>
      <w:marBottom w:val="0"/>
      <w:divBdr>
        <w:top w:val="none" w:sz="0" w:space="0" w:color="auto"/>
        <w:left w:val="none" w:sz="0" w:space="0" w:color="auto"/>
        <w:bottom w:val="none" w:sz="0" w:space="0" w:color="auto"/>
        <w:right w:val="none" w:sz="0" w:space="0" w:color="auto"/>
      </w:divBdr>
    </w:div>
    <w:div w:id="1488519934">
      <w:bodyDiv w:val="1"/>
      <w:marLeft w:val="0"/>
      <w:marRight w:val="0"/>
      <w:marTop w:val="0"/>
      <w:marBottom w:val="0"/>
      <w:divBdr>
        <w:top w:val="none" w:sz="0" w:space="0" w:color="auto"/>
        <w:left w:val="none" w:sz="0" w:space="0" w:color="auto"/>
        <w:bottom w:val="none" w:sz="0" w:space="0" w:color="auto"/>
        <w:right w:val="none" w:sz="0" w:space="0" w:color="auto"/>
      </w:divBdr>
    </w:div>
    <w:div w:id="1499466260">
      <w:bodyDiv w:val="1"/>
      <w:marLeft w:val="0"/>
      <w:marRight w:val="0"/>
      <w:marTop w:val="0"/>
      <w:marBottom w:val="0"/>
      <w:divBdr>
        <w:top w:val="none" w:sz="0" w:space="0" w:color="auto"/>
        <w:left w:val="none" w:sz="0" w:space="0" w:color="auto"/>
        <w:bottom w:val="none" w:sz="0" w:space="0" w:color="auto"/>
        <w:right w:val="none" w:sz="0" w:space="0" w:color="auto"/>
      </w:divBdr>
    </w:div>
    <w:div w:id="1513759167">
      <w:bodyDiv w:val="1"/>
      <w:marLeft w:val="0"/>
      <w:marRight w:val="0"/>
      <w:marTop w:val="0"/>
      <w:marBottom w:val="0"/>
      <w:divBdr>
        <w:top w:val="none" w:sz="0" w:space="0" w:color="auto"/>
        <w:left w:val="none" w:sz="0" w:space="0" w:color="auto"/>
        <w:bottom w:val="none" w:sz="0" w:space="0" w:color="auto"/>
        <w:right w:val="none" w:sz="0" w:space="0" w:color="auto"/>
      </w:divBdr>
    </w:div>
    <w:div w:id="1518034600">
      <w:bodyDiv w:val="1"/>
      <w:marLeft w:val="0"/>
      <w:marRight w:val="0"/>
      <w:marTop w:val="0"/>
      <w:marBottom w:val="0"/>
      <w:divBdr>
        <w:top w:val="none" w:sz="0" w:space="0" w:color="auto"/>
        <w:left w:val="none" w:sz="0" w:space="0" w:color="auto"/>
        <w:bottom w:val="none" w:sz="0" w:space="0" w:color="auto"/>
        <w:right w:val="none" w:sz="0" w:space="0" w:color="auto"/>
      </w:divBdr>
    </w:div>
    <w:div w:id="1527594662">
      <w:bodyDiv w:val="1"/>
      <w:marLeft w:val="0"/>
      <w:marRight w:val="0"/>
      <w:marTop w:val="0"/>
      <w:marBottom w:val="0"/>
      <w:divBdr>
        <w:top w:val="none" w:sz="0" w:space="0" w:color="auto"/>
        <w:left w:val="none" w:sz="0" w:space="0" w:color="auto"/>
        <w:bottom w:val="none" w:sz="0" w:space="0" w:color="auto"/>
        <w:right w:val="none" w:sz="0" w:space="0" w:color="auto"/>
      </w:divBdr>
    </w:div>
    <w:div w:id="1528903881">
      <w:bodyDiv w:val="1"/>
      <w:marLeft w:val="0"/>
      <w:marRight w:val="0"/>
      <w:marTop w:val="0"/>
      <w:marBottom w:val="0"/>
      <w:divBdr>
        <w:top w:val="none" w:sz="0" w:space="0" w:color="auto"/>
        <w:left w:val="none" w:sz="0" w:space="0" w:color="auto"/>
        <w:bottom w:val="none" w:sz="0" w:space="0" w:color="auto"/>
        <w:right w:val="none" w:sz="0" w:space="0" w:color="auto"/>
      </w:divBdr>
    </w:div>
    <w:div w:id="1597782517">
      <w:bodyDiv w:val="1"/>
      <w:marLeft w:val="0"/>
      <w:marRight w:val="0"/>
      <w:marTop w:val="0"/>
      <w:marBottom w:val="0"/>
      <w:divBdr>
        <w:top w:val="none" w:sz="0" w:space="0" w:color="auto"/>
        <w:left w:val="none" w:sz="0" w:space="0" w:color="auto"/>
        <w:bottom w:val="none" w:sz="0" w:space="0" w:color="auto"/>
        <w:right w:val="none" w:sz="0" w:space="0" w:color="auto"/>
      </w:divBdr>
    </w:div>
    <w:div w:id="1641423372">
      <w:bodyDiv w:val="1"/>
      <w:marLeft w:val="0"/>
      <w:marRight w:val="0"/>
      <w:marTop w:val="0"/>
      <w:marBottom w:val="0"/>
      <w:divBdr>
        <w:top w:val="none" w:sz="0" w:space="0" w:color="auto"/>
        <w:left w:val="none" w:sz="0" w:space="0" w:color="auto"/>
        <w:bottom w:val="none" w:sz="0" w:space="0" w:color="auto"/>
        <w:right w:val="none" w:sz="0" w:space="0" w:color="auto"/>
      </w:divBdr>
    </w:div>
    <w:div w:id="1650590885">
      <w:bodyDiv w:val="1"/>
      <w:marLeft w:val="0"/>
      <w:marRight w:val="0"/>
      <w:marTop w:val="0"/>
      <w:marBottom w:val="0"/>
      <w:divBdr>
        <w:top w:val="none" w:sz="0" w:space="0" w:color="auto"/>
        <w:left w:val="none" w:sz="0" w:space="0" w:color="auto"/>
        <w:bottom w:val="none" w:sz="0" w:space="0" w:color="auto"/>
        <w:right w:val="none" w:sz="0" w:space="0" w:color="auto"/>
      </w:divBdr>
    </w:div>
    <w:div w:id="1655644373">
      <w:bodyDiv w:val="1"/>
      <w:marLeft w:val="0"/>
      <w:marRight w:val="0"/>
      <w:marTop w:val="0"/>
      <w:marBottom w:val="0"/>
      <w:divBdr>
        <w:top w:val="none" w:sz="0" w:space="0" w:color="auto"/>
        <w:left w:val="none" w:sz="0" w:space="0" w:color="auto"/>
        <w:bottom w:val="none" w:sz="0" w:space="0" w:color="auto"/>
        <w:right w:val="none" w:sz="0" w:space="0" w:color="auto"/>
      </w:divBdr>
    </w:div>
    <w:div w:id="1714227208">
      <w:bodyDiv w:val="1"/>
      <w:marLeft w:val="0"/>
      <w:marRight w:val="0"/>
      <w:marTop w:val="0"/>
      <w:marBottom w:val="0"/>
      <w:divBdr>
        <w:top w:val="none" w:sz="0" w:space="0" w:color="auto"/>
        <w:left w:val="none" w:sz="0" w:space="0" w:color="auto"/>
        <w:bottom w:val="none" w:sz="0" w:space="0" w:color="auto"/>
        <w:right w:val="none" w:sz="0" w:space="0" w:color="auto"/>
      </w:divBdr>
    </w:div>
    <w:div w:id="1718550854">
      <w:bodyDiv w:val="1"/>
      <w:marLeft w:val="0"/>
      <w:marRight w:val="0"/>
      <w:marTop w:val="0"/>
      <w:marBottom w:val="0"/>
      <w:divBdr>
        <w:top w:val="none" w:sz="0" w:space="0" w:color="auto"/>
        <w:left w:val="none" w:sz="0" w:space="0" w:color="auto"/>
        <w:bottom w:val="none" w:sz="0" w:space="0" w:color="auto"/>
        <w:right w:val="none" w:sz="0" w:space="0" w:color="auto"/>
      </w:divBdr>
    </w:div>
    <w:div w:id="1748919071">
      <w:bodyDiv w:val="1"/>
      <w:marLeft w:val="0"/>
      <w:marRight w:val="0"/>
      <w:marTop w:val="0"/>
      <w:marBottom w:val="0"/>
      <w:divBdr>
        <w:top w:val="none" w:sz="0" w:space="0" w:color="auto"/>
        <w:left w:val="none" w:sz="0" w:space="0" w:color="auto"/>
        <w:bottom w:val="none" w:sz="0" w:space="0" w:color="auto"/>
        <w:right w:val="none" w:sz="0" w:space="0" w:color="auto"/>
      </w:divBdr>
    </w:div>
    <w:div w:id="1753817328">
      <w:bodyDiv w:val="1"/>
      <w:marLeft w:val="0"/>
      <w:marRight w:val="0"/>
      <w:marTop w:val="0"/>
      <w:marBottom w:val="0"/>
      <w:divBdr>
        <w:top w:val="none" w:sz="0" w:space="0" w:color="auto"/>
        <w:left w:val="none" w:sz="0" w:space="0" w:color="auto"/>
        <w:bottom w:val="none" w:sz="0" w:space="0" w:color="auto"/>
        <w:right w:val="none" w:sz="0" w:space="0" w:color="auto"/>
      </w:divBdr>
    </w:div>
    <w:div w:id="1754084358">
      <w:bodyDiv w:val="1"/>
      <w:marLeft w:val="0"/>
      <w:marRight w:val="0"/>
      <w:marTop w:val="0"/>
      <w:marBottom w:val="0"/>
      <w:divBdr>
        <w:top w:val="none" w:sz="0" w:space="0" w:color="auto"/>
        <w:left w:val="none" w:sz="0" w:space="0" w:color="auto"/>
        <w:bottom w:val="none" w:sz="0" w:space="0" w:color="auto"/>
        <w:right w:val="none" w:sz="0" w:space="0" w:color="auto"/>
      </w:divBdr>
    </w:div>
    <w:div w:id="1776441285">
      <w:bodyDiv w:val="1"/>
      <w:marLeft w:val="0"/>
      <w:marRight w:val="0"/>
      <w:marTop w:val="0"/>
      <w:marBottom w:val="0"/>
      <w:divBdr>
        <w:top w:val="none" w:sz="0" w:space="0" w:color="auto"/>
        <w:left w:val="none" w:sz="0" w:space="0" w:color="auto"/>
        <w:bottom w:val="none" w:sz="0" w:space="0" w:color="auto"/>
        <w:right w:val="none" w:sz="0" w:space="0" w:color="auto"/>
      </w:divBdr>
    </w:div>
    <w:div w:id="1784109933">
      <w:bodyDiv w:val="1"/>
      <w:marLeft w:val="0"/>
      <w:marRight w:val="0"/>
      <w:marTop w:val="0"/>
      <w:marBottom w:val="0"/>
      <w:divBdr>
        <w:top w:val="none" w:sz="0" w:space="0" w:color="auto"/>
        <w:left w:val="none" w:sz="0" w:space="0" w:color="auto"/>
        <w:bottom w:val="none" w:sz="0" w:space="0" w:color="auto"/>
        <w:right w:val="none" w:sz="0" w:space="0" w:color="auto"/>
      </w:divBdr>
    </w:div>
    <w:div w:id="1798714436">
      <w:bodyDiv w:val="1"/>
      <w:marLeft w:val="0"/>
      <w:marRight w:val="0"/>
      <w:marTop w:val="0"/>
      <w:marBottom w:val="0"/>
      <w:divBdr>
        <w:top w:val="none" w:sz="0" w:space="0" w:color="auto"/>
        <w:left w:val="none" w:sz="0" w:space="0" w:color="auto"/>
        <w:bottom w:val="none" w:sz="0" w:space="0" w:color="auto"/>
        <w:right w:val="none" w:sz="0" w:space="0" w:color="auto"/>
      </w:divBdr>
    </w:div>
    <w:div w:id="1833830186">
      <w:bodyDiv w:val="1"/>
      <w:marLeft w:val="0"/>
      <w:marRight w:val="0"/>
      <w:marTop w:val="0"/>
      <w:marBottom w:val="0"/>
      <w:divBdr>
        <w:top w:val="none" w:sz="0" w:space="0" w:color="auto"/>
        <w:left w:val="none" w:sz="0" w:space="0" w:color="auto"/>
        <w:bottom w:val="none" w:sz="0" w:space="0" w:color="auto"/>
        <w:right w:val="none" w:sz="0" w:space="0" w:color="auto"/>
      </w:divBdr>
    </w:div>
    <w:div w:id="1850677149">
      <w:bodyDiv w:val="1"/>
      <w:marLeft w:val="0"/>
      <w:marRight w:val="0"/>
      <w:marTop w:val="0"/>
      <w:marBottom w:val="0"/>
      <w:divBdr>
        <w:top w:val="none" w:sz="0" w:space="0" w:color="auto"/>
        <w:left w:val="none" w:sz="0" w:space="0" w:color="auto"/>
        <w:bottom w:val="none" w:sz="0" w:space="0" w:color="auto"/>
        <w:right w:val="none" w:sz="0" w:space="0" w:color="auto"/>
      </w:divBdr>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
    <w:div w:id="1862163749">
      <w:bodyDiv w:val="1"/>
      <w:marLeft w:val="0"/>
      <w:marRight w:val="0"/>
      <w:marTop w:val="0"/>
      <w:marBottom w:val="0"/>
      <w:divBdr>
        <w:top w:val="none" w:sz="0" w:space="0" w:color="auto"/>
        <w:left w:val="none" w:sz="0" w:space="0" w:color="auto"/>
        <w:bottom w:val="none" w:sz="0" w:space="0" w:color="auto"/>
        <w:right w:val="none" w:sz="0" w:space="0" w:color="auto"/>
      </w:divBdr>
    </w:div>
    <w:div w:id="1886865302">
      <w:bodyDiv w:val="1"/>
      <w:marLeft w:val="0"/>
      <w:marRight w:val="0"/>
      <w:marTop w:val="0"/>
      <w:marBottom w:val="0"/>
      <w:divBdr>
        <w:top w:val="none" w:sz="0" w:space="0" w:color="auto"/>
        <w:left w:val="none" w:sz="0" w:space="0" w:color="auto"/>
        <w:bottom w:val="none" w:sz="0" w:space="0" w:color="auto"/>
        <w:right w:val="none" w:sz="0" w:space="0" w:color="auto"/>
      </w:divBdr>
    </w:div>
    <w:div w:id="1907522414">
      <w:bodyDiv w:val="1"/>
      <w:marLeft w:val="0"/>
      <w:marRight w:val="0"/>
      <w:marTop w:val="0"/>
      <w:marBottom w:val="0"/>
      <w:divBdr>
        <w:top w:val="none" w:sz="0" w:space="0" w:color="auto"/>
        <w:left w:val="none" w:sz="0" w:space="0" w:color="auto"/>
        <w:bottom w:val="none" w:sz="0" w:space="0" w:color="auto"/>
        <w:right w:val="none" w:sz="0" w:space="0" w:color="auto"/>
      </w:divBdr>
    </w:div>
    <w:div w:id="1915894645">
      <w:bodyDiv w:val="1"/>
      <w:marLeft w:val="0"/>
      <w:marRight w:val="0"/>
      <w:marTop w:val="0"/>
      <w:marBottom w:val="0"/>
      <w:divBdr>
        <w:top w:val="none" w:sz="0" w:space="0" w:color="auto"/>
        <w:left w:val="none" w:sz="0" w:space="0" w:color="auto"/>
        <w:bottom w:val="none" w:sz="0" w:space="0" w:color="auto"/>
        <w:right w:val="none" w:sz="0" w:space="0" w:color="auto"/>
      </w:divBdr>
    </w:div>
    <w:div w:id="1924415705">
      <w:bodyDiv w:val="1"/>
      <w:marLeft w:val="0"/>
      <w:marRight w:val="0"/>
      <w:marTop w:val="0"/>
      <w:marBottom w:val="0"/>
      <w:divBdr>
        <w:top w:val="none" w:sz="0" w:space="0" w:color="auto"/>
        <w:left w:val="none" w:sz="0" w:space="0" w:color="auto"/>
        <w:bottom w:val="none" w:sz="0" w:space="0" w:color="auto"/>
        <w:right w:val="none" w:sz="0" w:space="0" w:color="auto"/>
      </w:divBdr>
    </w:div>
    <w:div w:id="1927183900">
      <w:bodyDiv w:val="1"/>
      <w:marLeft w:val="0"/>
      <w:marRight w:val="0"/>
      <w:marTop w:val="0"/>
      <w:marBottom w:val="0"/>
      <w:divBdr>
        <w:top w:val="none" w:sz="0" w:space="0" w:color="auto"/>
        <w:left w:val="none" w:sz="0" w:space="0" w:color="auto"/>
        <w:bottom w:val="none" w:sz="0" w:space="0" w:color="auto"/>
        <w:right w:val="none" w:sz="0" w:space="0" w:color="auto"/>
      </w:divBdr>
    </w:div>
    <w:div w:id="1946578048">
      <w:bodyDiv w:val="1"/>
      <w:marLeft w:val="0"/>
      <w:marRight w:val="0"/>
      <w:marTop w:val="0"/>
      <w:marBottom w:val="0"/>
      <w:divBdr>
        <w:top w:val="none" w:sz="0" w:space="0" w:color="auto"/>
        <w:left w:val="none" w:sz="0" w:space="0" w:color="auto"/>
        <w:bottom w:val="none" w:sz="0" w:space="0" w:color="auto"/>
        <w:right w:val="none" w:sz="0" w:space="0" w:color="auto"/>
      </w:divBdr>
    </w:div>
    <w:div w:id="1960378494">
      <w:bodyDiv w:val="1"/>
      <w:marLeft w:val="0"/>
      <w:marRight w:val="0"/>
      <w:marTop w:val="0"/>
      <w:marBottom w:val="0"/>
      <w:divBdr>
        <w:top w:val="none" w:sz="0" w:space="0" w:color="auto"/>
        <w:left w:val="none" w:sz="0" w:space="0" w:color="auto"/>
        <w:bottom w:val="none" w:sz="0" w:space="0" w:color="auto"/>
        <w:right w:val="none" w:sz="0" w:space="0" w:color="auto"/>
      </w:divBdr>
    </w:div>
    <w:div w:id="1963222615">
      <w:bodyDiv w:val="1"/>
      <w:marLeft w:val="0"/>
      <w:marRight w:val="0"/>
      <w:marTop w:val="0"/>
      <w:marBottom w:val="0"/>
      <w:divBdr>
        <w:top w:val="none" w:sz="0" w:space="0" w:color="auto"/>
        <w:left w:val="none" w:sz="0" w:space="0" w:color="auto"/>
        <w:bottom w:val="none" w:sz="0" w:space="0" w:color="auto"/>
        <w:right w:val="none" w:sz="0" w:space="0" w:color="auto"/>
      </w:divBdr>
    </w:div>
    <w:div w:id="1969898497">
      <w:bodyDiv w:val="1"/>
      <w:marLeft w:val="0"/>
      <w:marRight w:val="0"/>
      <w:marTop w:val="0"/>
      <w:marBottom w:val="0"/>
      <w:divBdr>
        <w:top w:val="none" w:sz="0" w:space="0" w:color="auto"/>
        <w:left w:val="none" w:sz="0" w:space="0" w:color="auto"/>
        <w:bottom w:val="none" w:sz="0" w:space="0" w:color="auto"/>
        <w:right w:val="none" w:sz="0" w:space="0" w:color="auto"/>
      </w:divBdr>
    </w:div>
    <w:div w:id="1973248230">
      <w:bodyDiv w:val="1"/>
      <w:marLeft w:val="0"/>
      <w:marRight w:val="0"/>
      <w:marTop w:val="0"/>
      <w:marBottom w:val="0"/>
      <w:divBdr>
        <w:top w:val="none" w:sz="0" w:space="0" w:color="auto"/>
        <w:left w:val="none" w:sz="0" w:space="0" w:color="auto"/>
        <w:bottom w:val="none" w:sz="0" w:space="0" w:color="auto"/>
        <w:right w:val="none" w:sz="0" w:space="0" w:color="auto"/>
      </w:divBdr>
    </w:div>
    <w:div w:id="2022513250">
      <w:bodyDiv w:val="1"/>
      <w:marLeft w:val="0"/>
      <w:marRight w:val="0"/>
      <w:marTop w:val="0"/>
      <w:marBottom w:val="0"/>
      <w:divBdr>
        <w:top w:val="none" w:sz="0" w:space="0" w:color="auto"/>
        <w:left w:val="none" w:sz="0" w:space="0" w:color="auto"/>
        <w:bottom w:val="none" w:sz="0" w:space="0" w:color="auto"/>
        <w:right w:val="none" w:sz="0" w:space="0" w:color="auto"/>
      </w:divBdr>
    </w:div>
    <w:div w:id="2038506597">
      <w:bodyDiv w:val="1"/>
      <w:marLeft w:val="0"/>
      <w:marRight w:val="0"/>
      <w:marTop w:val="0"/>
      <w:marBottom w:val="0"/>
      <w:divBdr>
        <w:top w:val="none" w:sz="0" w:space="0" w:color="auto"/>
        <w:left w:val="none" w:sz="0" w:space="0" w:color="auto"/>
        <w:bottom w:val="none" w:sz="0" w:space="0" w:color="auto"/>
        <w:right w:val="none" w:sz="0" w:space="0" w:color="auto"/>
      </w:divBdr>
    </w:div>
    <w:div w:id="2058704388">
      <w:bodyDiv w:val="1"/>
      <w:marLeft w:val="0"/>
      <w:marRight w:val="0"/>
      <w:marTop w:val="0"/>
      <w:marBottom w:val="0"/>
      <w:divBdr>
        <w:top w:val="none" w:sz="0" w:space="0" w:color="auto"/>
        <w:left w:val="none" w:sz="0" w:space="0" w:color="auto"/>
        <w:bottom w:val="none" w:sz="0" w:space="0" w:color="auto"/>
        <w:right w:val="none" w:sz="0" w:space="0" w:color="auto"/>
      </w:divBdr>
    </w:div>
    <w:div w:id="2077320501">
      <w:bodyDiv w:val="1"/>
      <w:marLeft w:val="0"/>
      <w:marRight w:val="0"/>
      <w:marTop w:val="0"/>
      <w:marBottom w:val="0"/>
      <w:divBdr>
        <w:top w:val="none" w:sz="0" w:space="0" w:color="auto"/>
        <w:left w:val="none" w:sz="0" w:space="0" w:color="auto"/>
        <w:bottom w:val="none" w:sz="0" w:space="0" w:color="auto"/>
        <w:right w:val="none" w:sz="0" w:space="0" w:color="auto"/>
      </w:divBdr>
    </w:div>
    <w:div w:id="2088770742">
      <w:bodyDiv w:val="1"/>
      <w:marLeft w:val="0"/>
      <w:marRight w:val="0"/>
      <w:marTop w:val="0"/>
      <w:marBottom w:val="0"/>
      <w:divBdr>
        <w:top w:val="none" w:sz="0" w:space="0" w:color="auto"/>
        <w:left w:val="none" w:sz="0" w:space="0" w:color="auto"/>
        <w:bottom w:val="none" w:sz="0" w:space="0" w:color="auto"/>
        <w:right w:val="none" w:sz="0" w:space="0" w:color="auto"/>
      </w:divBdr>
    </w:div>
    <w:div w:id="2094351088">
      <w:bodyDiv w:val="1"/>
      <w:marLeft w:val="0"/>
      <w:marRight w:val="0"/>
      <w:marTop w:val="0"/>
      <w:marBottom w:val="0"/>
      <w:divBdr>
        <w:top w:val="none" w:sz="0" w:space="0" w:color="auto"/>
        <w:left w:val="none" w:sz="0" w:space="0" w:color="auto"/>
        <w:bottom w:val="none" w:sz="0" w:space="0" w:color="auto"/>
        <w:right w:val="none" w:sz="0" w:space="0" w:color="auto"/>
      </w:divBdr>
    </w:div>
    <w:div w:id="2101026201">
      <w:bodyDiv w:val="1"/>
      <w:marLeft w:val="0"/>
      <w:marRight w:val="0"/>
      <w:marTop w:val="0"/>
      <w:marBottom w:val="0"/>
      <w:divBdr>
        <w:top w:val="none" w:sz="0" w:space="0" w:color="auto"/>
        <w:left w:val="none" w:sz="0" w:space="0" w:color="auto"/>
        <w:bottom w:val="none" w:sz="0" w:space="0" w:color="auto"/>
        <w:right w:val="none" w:sz="0" w:space="0" w:color="auto"/>
      </w:divBdr>
    </w:div>
    <w:div w:id="2133867460">
      <w:bodyDiv w:val="1"/>
      <w:marLeft w:val="0"/>
      <w:marRight w:val="0"/>
      <w:marTop w:val="0"/>
      <w:marBottom w:val="0"/>
      <w:divBdr>
        <w:top w:val="none" w:sz="0" w:space="0" w:color="auto"/>
        <w:left w:val="none" w:sz="0" w:space="0" w:color="auto"/>
        <w:bottom w:val="none" w:sz="0" w:space="0" w:color="auto"/>
        <w:right w:val="none" w:sz="0" w:space="0" w:color="auto"/>
      </w:divBdr>
    </w:div>
    <w:div w:id="21450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sobotyuk@mhp.com.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m.closir.com/slides?id=64598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BFA2-9EDD-43C2-8377-397957BD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18373</Words>
  <Characters>10473</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mhp</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n.klimchuk</dc:creator>
  <cp:keywords/>
  <dc:description/>
  <cp:lastModifiedBy>Анастасія Соботюк</cp:lastModifiedBy>
  <cp:revision>13</cp:revision>
  <cp:lastPrinted>2021-05-17T10:50:00Z</cp:lastPrinted>
  <dcterms:created xsi:type="dcterms:W3CDTF">2023-04-04T14:58:00Z</dcterms:created>
  <dcterms:modified xsi:type="dcterms:W3CDTF">2023-04-11T04:54:00Z</dcterms:modified>
</cp:coreProperties>
</file>