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866" w14:textId="77777777" w:rsidR="00E50776" w:rsidRPr="00113315" w:rsidRDefault="005814E2" w:rsidP="005814E2">
      <w:pPr>
        <w:pStyle w:val="c3"/>
        <w:tabs>
          <w:tab w:val="center" w:pos="4995"/>
        </w:tabs>
        <w:jc w:val="center"/>
        <w:rPr>
          <w:b/>
          <w:bCs/>
          <w:sz w:val="22"/>
          <w:szCs w:val="22"/>
          <w:lang w:val="en-US"/>
        </w:rPr>
      </w:pPr>
      <w:r w:rsidRPr="00113315">
        <w:rPr>
          <w:b/>
          <w:noProof/>
          <w:lang w:val="en-US" w:eastAsia="en-US"/>
        </w:rPr>
        <w:drawing>
          <wp:inline distT="0" distB="0" distL="0" distR="0" wp14:anchorId="4F0A0117" wp14:editId="03978057">
            <wp:extent cx="1394460" cy="625893"/>
            <wp:effectExtent l="0" t="0" r="0" b="3175"/>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105" cy="636506"/>
                    </a:xfrm>
                    <a:prstGeom prst="rect">
                      <a:avLst/>
                    </a:prstGeom>
                    <a:noFill/>
                    <a:ln>
                      <a:noFill/>
                    </a:ln>
                  </pic:spPr>
                </pic:pic>
              </a:graphicData>
            </a:graphic>
          </wp:inline>
        </w:drawing>
      </w:r>
    </w:p>
    <w:p w14:paraId="5A1D36D9" w14:textId="0609EFA2" w:rsidR="00E50776" w:rsidRPr="00113315" w:rsidRDefault="001427FE" w:rsidP="005814E2">
      <w:pPr>
        <w:pStyle w:val="c3"/>
        <w:jc w:val="center"/>
        <w:rPr>
          <w:sz w:val="22"/>
          <w:szCs w:val="22"/>
          <w:lang w:val="en-US"/>
        </w:rPr>
      </w:pPr>
      <w:r>
        <w:rPr>
          <w:sz w:val="22"/>
          <w:szCs w:val="22"/>
          <w:lang w:val="uk-UA"/>
        </w:rPr>
        <w:t>2</w:t>
      </w:r>
      <w:r w:rsidR="00706A7F">
        <w:rPr>
          <w:sz w:val="22"/>
          <w:szCs w:val="22"/>
          <w:lang w:val="uk-UA"/>
        </w:rPr>
        <w:t>3</w:t>
      </w:r>
      <w:r w:rsidR="000F678E">
        <w:rPr>
          <w:sz w:val="22"/>
          <w:szCs w:val="22"/>
          <w:lang w:val="en-US"/>
        </w:rPr>
        <w:t xml:space="preserve"> </w:t>
      </w:r>
      <w:r w:rsidR="00005C58">
        <w:rPr>
          <w:sz w:val="22"/>
          <w:szCs w:val="22"/>
          <w:lang w:val="en-US"/>
        </w:rPr>
        <w:t>December</w:t>
      </w:r>
      <w:r w:rsidR="00151E75">
        <w:rPr>
          <w:sz w:val="22"/>
          <w:szCs w:val="22"/>
          <w:lang w:val="en-US"/>
        </w:rPr>
        <w:t xml:space="preserve"> </w:t>
      </w:r>
      <w:r w:rsidR="00BE3378">
        <w:rPr>
          <w:sz w:val="22"/>
          <w:szCs w:val="22"/>
          <w:lang w:val="en-US"/>
        </w:rPr>
        <w:t>202</w:t>
      </w:r>
      <w:r w:rsidR="000F678E">
        <w:rPr>
          <w:sz w:val="22"/>
          <w:szCs w:val="22"/>
          <w:lang w:val="en-US"/>
        </w:rPr>
        <w:t>2</w:t>
      </w:r>
      <w:r w:rsidR="00E50776" w:rsidRPr="00113315">
        <w:rPr>
          <w:sz w:val="22"/>
          <w:szCs w:val="22"/>
          <w:lang w:val="en-US"/>
        </w:rPr>
        <w:t xml:space="preserve">, </w:t>
      </w:r>
      <w:r w:rsidR="004864E5" w:rsidRPr="00113315">
        <w:rPr>
          <w:sz w:val="22"/>
          <w:szCs w:val="22"/>
          <w:lang w:val="en-US"/>
        </w:rPr>
        <w:t>Limassol, Cyprus</w:t>
      </w:r>
    </w:p>
    <w:p w14:paraId="2DCDFBD9" w14:textId="77777777" w:rsidR="00E50776" w:rsidRPr="00DD4510" w:rsidRDefault="00E50776" w:rsidP="00E50776">
      <w:pPr>
        <w:pStyle w:val="c3"/>
        <w:jc w:val="both"/>
        <w:rPr>
          <w:sz w:val="22"/>
          <w:szCs w:val="22"/>
          <w:lang w:val="en-US"/>
        </w:rPr>
      </w:pPr>
    </w:p>
    <w:p w14:paraId="52438594" w14:textId="3262E541" w:rsidR="00E50776" w:rsidRPr="00113315" w:rsidRDefault="00E50776" w:rsidP="00E50776">
      <w:pPr>
        <w:pStyle w:val="c3"/>
        <w:jc w:val="center"/>
        <w:rPr>
          <w:b/>
          <w:bCs/>
          <w:sz w:val="22"/>
          <w:szCs w:val="22"/>
          <w:lang w:val="en-US"/>
        </w:rPr>
      </w:pPr>
      <w:r w:rsidRPr="00113315">
        <w:rPr>
          <w:b/>
          <w:bCs/>
          <w:sz w:val="22"/>
          <w:szCs w:val="22"/>
        </w:rPr>
        <w:t>MHP</w:t>
      </w:r>
      <w:r w:rsidRPr="00113315">
        <w:rPr>
          <w:b/>
          <w:bCs/>
          <w:sz w:val="22"/>
          <w:szCs w:val="22"/>
          <w:lang w:val="en-US"/>
        </w:rPr>
        <w:t xml:space="preserve"> </w:t>
      </w:r>
      <w:r w:rsidRPr="00113315">
        <w:rPr>
          <w:b/>
          <w:bCs/>
          <w:sz w:val="22"/>
          <w:szCs w:val="22"/>
        </w:rPr>
        <w:t>S</w:t>
      </w:r>
      <w:r w:rsidR="005814E2" w:rsidRPr="00113315">
        <w:rPr>
          <w:b/>
          <w:bCs/>
          <w:sz w:val="22"/>
          <w:szCs w:val="22"/>
        </w:rPr>
        <w:t>E</w:t>
      </w:r>
      <w:r w:rsidRPr="00113315">
        <w:rPr>
          <w:b/>
          <w:bCs/>
          <w:sz w:val="22"/>
          <w:szCs w:val="22"/>
          <w:lang w:val="en-US"/>
        </w:rPr>
        <w:br/>
      </w:r>
      <w:r w:rsidR="000F678E">
        <w:rPr>
          <w:b/>
          <w:bCs/>
          <w:sz w:val="22"/>
          <w:szCs w:val="22"/>
          <w:lang w:val="en-US"/>
        </w:rPr>
        <w:t xml:space="preserve">Monthly </w:t>
      </w:r>
      <w:r w:rsidR="00924469">
        <w:rPr>
          <w:b/>
          <w:bCs/>
          <w:sz w:val="22"/>
          <w:szCs w:val="22"/>
          <w:lang w:val="en-US"/>
        </w:rPr>
        <w:t>Operational</w:t>
      </w:r>
      <w:r w:rsidRPr="00113315">
        <w:rPr>
          <w:b/>
          <w:bCs/>
          <w:sz w:val="22"/>
          <w:szCs w:val="22"/>
          <w:lang w:val="en-US"/>
        </w:rPr>
        <w:t xml:space="preserve"> </w:t>
      </w:r>
      <w:r w:rsidR="000F678E">
        <w:rPr>
          <w:b/>
          <w:bCs/>
          <w:sz w:val="22"/>
          <w:szCs w:val="22"/>
          <w:lang w:val="en-US"/>
        </w:rPr>
        <w:t>U</w:t>
      </w:r>
      <w:r w:rsidRPr="00113315">
        <w:rPr>
          <w:b/>
          <w:bCs/>
          <w:sz w:val="22"/>
          <w:szCs w:val="22"/>
          <w:lang w:val="en-US"/>
        </w:rPr>
        <w:t xml:space="preserve">pdate for </w:t>
      </w:r>
      <w:r w:rsidR="000F678E">
        <w:rPr>
          <w:b/>
          <w:bCs/>
          <w:sz w:val="22"/>
          <w:szCs w:val="22"/>
          <w:lang w:val="en-US"/>
        </w:rPr>
        <w:t>the period</w:t>
      </w:r>
      <w:r w:rsidR="00C412CE" w:rsidRPr="00113315">
        <w:rPr>
          <w:b/>
          <w:sz w:val="22"/>
          <w:szCs w:val="22"/>
          <w:lang w:val="en-US"/>
        </w:rPr>
        <w:t xml:space="preserve"> </w:t>
      </w:r>
      <w:r w:rsidR="000F678E">
        <w:rPr>
          <w:b/>
          <w:sz w:val="22"/>
          <w:szCs w:val="22"/>
          <w:lang w:val="en-US"/>
        </w:rPr>
        <w:t xml:space="preserve">ended </w:t>
      </w:r>
      <w:r w:rsidR="00C412CE" w:rsidRPr="00113315">
        <w:rPr>
          <w:b/>
          <w:sz w:val="22"/>
          <w:szCs w:val="22"/>
          <w:lang w:val="en-US"/>
        </w:rPr>
        <w:t>3</w:t>
      </w:r>
      <w:r w:rsidR="00005C58">
        <w:rPr>
          <w:b/>
          <w:sz w:val="22"/>
          <w:szCs w:val="22"/>
          <w:lang w:val="en-US"/>
        </w:rPr>
        <w:t>0</w:t>
      </w:r>
      <w:r w:rsidR="005B4410">
        <w:rPr>
          <w:b/>
          <w:sz w:val="22"/>
          <w:szCs w:val="22"/>
          <w:lang w:val="en-US"/>
        </w:rPr>
        <w:t xml:space="preserve"> </w:t>
      </w:r>
      <w:r w:rsidR="00005C58">
        <w:rPr>
          <w:b/>
          <w:sz w:val="22"/>
          <w:szCs w:val="22"/>
          <w:lang w:val="en-US"/>
        </w:rPr>
        <w:t>Novem</w:t>
      </w:r>
      <w:r w:rsidR="00A01CAC">
        <w:rPr>
          <w:b/>
          <w:sz w:val="22"/>
          <w:szCs w:val="22"/>
          <w:lang w:val="en-US"/>
        </w:rPr>
        <w:t>ber</w:t>
      </w:r>
      <w:r w:rsidR="00BE3378">
        <w:rPr>
          <w:b/>
          <w:sz w:val="22"/>
          <w:szCs w:val="22"/>
          <w:lang w:val="en-US"/>
        </w:rPr>
        <w:t xml:space="preserve"> 202</w:t>
      </w:r>
      <w:r w:rsidR="000F678E">
        <w:rPr>
          <w:b/>
          <w:sz w:val="22"/>
          <w:szCs w:val="22"/>
          <w:lang w:val="en-US"/>
        </w:rPr>
        <w:t>2</w:t>
      </w:r>
    </w:p>
    <w:p w14:paraId="73B02605" w14:textId="3042C291" w:rsidR="000C0A0B" w:rsidRDefault="005814E2" w:rsidP="005814E2">
      <w:pPr>
        <w:autoSpaceDE w:val="0"/>
        <w:autoSpaceDN w:val="0"/>
        <w:adjustRightInd w:val="0"/>
        <w:jc w:val="both"/>
        <w:rPr>
          <w:rFonts w:ascii="Arial" w:hAnsi="Arial" w:cs="Arial"/>
          <w:szCs w:val="20"/>
          <w:lang w:val="en-US"/>
        </w:rPr>
      </w:pPr>
      <w:r w:rsidRPr="00113315">
        <w:rPr>
          <w:rFonts w:ascii="Arial" w:hAnsi="Arial" w:cs="Arial"/>
          <w:szCs w:val="20"/>
          <w:lang w:val="en-US"/>
        </w:rPr>
        <w:t>MHP SE (LSE: MHPC</w:t>
      </w:r>
      <w:r w:rsidRPr="00CD602D">
        <w:rPr>
          <w:rFonts w:ascii="Arial" w:hAnsi="Arial" w:cs="Arial"/>
          <w:lang w:val="en-US"/>
        </w:rPr>
        <w:t xml:space="preserve">), </w:t>
      </w:r>
      <w:r w:rsidR="00CD602D" w:rsidRPr="00CD602D">
        <w:rPr>
          <w:rFonts w:ascii="Arial" w:hAnsi="Arial" w:cs="Arial"/>
          <w:lang w:val="en-US"/>
        </w:rPr>
        <w:t xml:space="preserve">the parent company of a leading international food &amp; </w:t>
      </w:r>
      <w:proofErr w:type="spellStart"/>
      <w:r w:rsidR="00CD602D" w:rsidRPr="00CD602D">
        <w:rPr>
          <w:rFonts w:ascii="Arial" w:hAnsi="Arial" w:cs="Arial"/>
          <w:lang w:val="en-US"/>
        </w:rPr>
        <w:t>agrotech</w:t>
      </w:r>
      <w:proofErr w:type="spellEnd"/>
      <w:r w:rsidR="00CD602D" w:rsidRPr="00CD602D">
        <w:rPr>
          <w:rFonts w:ascii="Arial" w:hAnsi="Arial" w:cs="Arial"/>
          <w:lang w:val="en-US"/>
        </w:rPr>
        <w:t xml:space="preserve"> group with headquarters in Ukraine</w:t>
      </w:r>
      <w:r w:rsidRPr="00CD602D">
        <w:rPr>
          <w:rFonts w:ascii="Arial" w:hAnsi="Arial" w:cs="Arial"/>
          <w:lang w:val="en-US"/>
        </w:rPr>
        <w:t xml:space="preserve">, today </w:t>
      </w:r>
      <w:r w:rsidRPr="00113315">
        <w:rPr>
          <w:rFonts w:ascii="Arial" w:hAnsi="Arial" w:cs="Arial"/>
          <w:lang w:val="en-US"/>
        </w:rPr>
        <w:t xml:space="preserve">announces its </w:t>
      </w:r>
      <w:r w:rsidR="000F678E">
        <w:rPr>
          <w:rFonts w:ascii="Arial" w:hAnsi="Arial" w:cs="Arial"/>
          <w:lang w:val="en-US"/>
        </w:rPr>
        <w:t xml:space="preserve">monthly </w:t>
      </w:r>
      <w:r w:rsidR="00AC3051">
        <w:rPr>
          <w:rFonts w:ascii="Arial" w:hAnsi="Arial" w:cs="Arial"/>
          <w:lang w:val="en-US"/>
        </w:rPr>
        <w:t xml:space="preserve">operational </w:t>
      </w:r>
      <w:r w:rsidRPr="00113315">
        <w:rPr>
          <w:rFonts w:ascii="Arial" w:hAnsi="Arial" w:cs="Arial"/>
          <w:lang w:val="en-US"/>
        </w:rPr>
        <w:t>update for</w:t>
      </w:r>
      <w:r w:rsidR="003C0FC9">
        <w:rPr>
          <w:rFonts w:ascii="Arial" w:hAnsi="Arial" w:cs="Arial"/>
          <w:lang w:val="en-US"/>
        </w:rPr>
        <w:t xml:space="preserve"> </w:t>
      </w:r>
      <w:r w:rsidR="00005C58">
        <w:rPr>
          <w:rFonts w:ascii="Arial" w:hAnsi="Arial" w:cs="Arial"/>
          <w:lang w:val="en-US"/>
        </w:rPr>
        <w:t>Novem</w:t>
      </w:r>
      <w:r w:rsidR="00A01CAC">
        <w:rPr>
          <w:rFonts w:ascii="Arial" w:hAnsi="Arial" w:cs="Arial"/>
          <w:lang w:val="en-US"/>
        </w:rPr>
        <w:t>ber</w:t>
      </w:r>
      <w:r w:rsidR="00BE3378">
        <w:rPr>
          <w:rFonts w:ascii="Arial" w:hAnsi="Arial" w:cs="Arial"/>
          <w:lang w:val="en-US"/>
        </w:rPr>
        <w:t xml:space="preserve"> 202</w:t>
      </w:r>
      <w:r w:rsidR="000F678E">
        <w:rPr>
          <w:rFonts w:ascii="Arial" w:hAnsi="Arial" w:cs="Arial"/>
          <w:lang w:val="en-US"/>
        </w:rPr>
        <w:t>2</w:t>
      </w:r>
      <w:r w:rsidRPr="00113315">
        <w:rPr>
          <w:rFonts w:ascii="Arial" w:hAnsi="Arial" w:cs="Arial"/>
          <w:lang w:val="en-US"/>
        </w:rPr>
        <w:t xml:space="preserve">. </w:t>
      </w:r>
    </w:p>
    <w:p w14:paraId="561618BA" w14:textId="3CF74A2E" w:rsidR="00E50776" w:rsidRDefault="002B3E92" w:rsidP="00E50776">
      <w:pPr>
        <w:pStyle w:val="c3"/>
        <w:jc w:val="both"/>
        <w:rPr>
          <w:b/>
          <w:sz w:val="22"/>
          <w:szCs w:val="22"/>
        </w:rPr>
      </w:pPr>
      <w:r>
        <w:rPr>
          <w:b/>
          <w:sz w:val="22"/>
          <w:szCs w:val="22"/>
        </w:rPr>
        <w:t xml:space="preserve">1. </w:t>
      </w:r>
      <w:r w:rsidR="00490A1F" w:rsidRPr="00113315">
        <w:rPr>
          <w:b/>
          <w:sz w:val="22"/>
          <w:szCs w:val="22"/>
        </w:rPr>
        <w:t>POULTRY AND RELATED OPERATIONS</w:t>
      </w:r>
      <w:r w:rsidR="002D2776">
        <w:rPr>
          <w:b/>
          <w:sz w:val="22"/>
          <w:szCs w:val="22"/>
        </w:rPr>
        <w:t xml:space="preserve"> (w/o PP)</w:t>
      </w:r>
    </w:p>
    <w:tbl>
      <w:tblPr>
        <w:tblW w:w="9498" w:type="dxa"/>
        <w:tblLook w:val="04A0" w:firstRow="1" w:lastRow="0" w:firstColumn="1" w:lastColumn="0" w:noHBand="0" w:noVBand="1"/>
      </w:tblPr>
      <w:tblGrid>
        <w:gridCol w:w="3163"/>
        <w:gridCol w:w="262"/>
        <w:gridCol w:w="216"/>
        <w:gridCol w:w="1195"/>
        <w:gridCol w:w="1240"/>
        <w:gridCol w:w="1159"/>
        <w:gridCol w:w="1355"/>
        <w:gridCol w:w="917"/>
      </w:tblGrid>
      <w:tr w:rsidR="001427FE" w:rsidRPr="0095040D" w14:paraId="6B523662" w14:textId="77777777" w:rsidTr="00A01CAC">
        <w:trPr>
          <w:trHeight w:val="646"/>
        </w:trPr>
        <w:tc>
          <w:tcPr>
            <w:tcW w:w="3163" w:type="dxa"/>
            <w:tcBorders>
              <w:top w:val="nil"/>
              <w:left w:val="nil"/>
              <w:bottom w:val="single" w:sz="12" w:space="0" w:color="auto"/>
              <w:right w:val="nil"/>
            </w:tcBorders>
            <w:shd w:val="clear" w:color="auto" w:fill="auto"/>
            <w:noWrap/>
            <w:vAlign w:val="center"/>
            <w:hideMark/>
          </w:tcPr>
          <w:p w14:paraId="61BBA5FF" w14:textId="77777777" w:rsidR="001427FE" w:rsidRPr="0095040D" w:rsidRDefault="001427FE" w:rsidP="001427FE">
            <w:pPr>
              <w:spacing w:after="0" w:line="240" w:lineRule="auto"/>
              <w:rPr>
                <w:rFonts w:ascii="Arial" w:hAnsi="Arial" w:cs="Arial"/>
                <w:b/>
                <w:sz w:val="20"/>
                <w:szCs w:val="20"/>
                <w:lang w:val="en-US"/>
              </w:rPr>
            </w:pPr>
            <w:bookmarkStart w:id="0" w:name="RANGE!AH624"/>
            <w:bookmarkStart w:id="1" w:name="OLE_LINK7" w:colFirst="1" w:colLast="6"/>
            <w:r w:rsidRPr="0095040D">
              <w:rPr>
                <w:rFonts w:ascii="Arial" w:hAnsi="Arial" w:cs="Arial"/>
                <w:b/>
                <w:sz w:val="20"/>
                <w:szCs w:val="20"/>
                <w:lang w:val="en-US"/>
              </w:rPr>
              <w:t>Poultry</w:t>
            </w:r>
            <w:bookmarkEnd w:id="0"/>
          </w:p>
        </w:tc>
        <w:tc>
          <w:tcPr>
            <w:tcW w:w="478" w:type="dxa"/>
            <w:gridSpan w:val="2"/>
            <w:tcBorders>
              <w:top w:val="nil"/>
              <w:left w:val="nil"/>
              <w:bottom w:val="single" w:sz="12" w:space="0" w:color="auto"/>
              <w:right w:val="nil"/>
            </w:tcBorders>
            <w:shd w:val="clear" w:color="auto" w:fill="auto"/>
            <w:noWrap/>
            <w:vAlign w:val="center"/>
            <w:hideMark/>
          </w:tcPr>
          <w:p w14:paraId="76DC0D9C"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single" w:sz="12" w:space="0" w:color="auto"/>
              <w:left w:val="nil"/>
              <w:bottom w:val="single" w:sz="12" w:space="0" w:color="auto"/>
              <w:right w:val="nil"/>
            </w:tcBorders>
            <w:shd w:val="clear" w:color="auto" w:fill="auto"/>
            <w:noWrap/>
            <w:vAlign w:val="center"/>
            <w:hideMark/>
          </w:tcPr>
          <w:p w14:paraId="01C02346" w14:textId="69C9A9F9" w:rsidR="001427FE" w:rsidRDefault="00005C58" w:rsidP="001427FE">
            <w:pPr>
              <w:spacing w:after="0" w:line="240" w:lineRule="auto"/>
              <w:jc w:val="center"/>
              <w:rPr>
                <w:rFonts w:ascii="Arial" w:hAnsi="Arial" w:cs="Arial"/>
                <w:b/>
                <w:sz w:val="20"/>
                <w:szCs w:val="20"/>
                <w:lang w:val="en-US"/>
              </w:rPr>
            </w:pPr>
            <w:r>
              <w:rPr>
                <w:rFonts w:ascii="Arial" w:hAnsi="Arial" w:cs="Arial"/>
                <w:b/>
                <w:sz w:val="20"/>
                <w:szCs w:val="20"/>
                <w:lang w:val="en-US"/>
              </w:rPr>
              <w:t>Novem</w:t>
            </w:r>
            <w:r w:rsidR="00A01CAC">
              <w:rPr>
                <w:rFonts w:ascii="Arial" w:hAnsi="Arial" w:cs="Arial"/>
                <w:b/>
                <w:sz w:val="20"/>
                <w:szCs w:val="20"/>
                <w:lang w:val="en-US"/>
              </w:rPr>
              <w:t>ber</w:t>
            </w:r>
          </w:p>
          <w:p w14:paraId="7303220A" w14:textId="4315EA4E"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1240" w:type="dxa"/>
            <w:tcBorders>
              <w:top w:val="single" w:sz="12" w:space="0" w:color="auto"/>
              <w:left w:val="nil"/>
              <w:bottom w:val="single" w:sz="12" w:space="0" w:color="auto"/>
              <w:right w:val="nil"/>
            </w:tcBorders>
            <w:shd w:val="clear" w:color="auto" w:fill="auto"/>
            <w:noWrap/>
            <w:vAlign w:val="center"/>
            <w:hideMark/>
          </w:tcPr>
          <w:p w14:paraId="5A3DC9F3" w14:textId="0A9E5C36" w:rsidR="001427FE" w:rsidRPr="0095040D" w:rsidRDefault="00005C58" w:rsidP="001427FE">
            <w:pPr>
              <w:spacing w:after="0" w:line="240" w:lineRule="auto"/>
              <w:jc w:val="center"/>
              <w:rPr>
                <w:rFonts w:ascii="Arial" w:hAnsi="Arial" w:cs="Arial"/>
                <w:b/>
                <w:sz w:val="20"/>
                <w:szCs w:val="20"/>
                <w:lang w:val="en-US"/>
              </w:rPr>
            </w:pPr>
            <w:r>
              <w:rPr>
                <w:rFonts w:ascii="Arial" w:hAnsi="Arial" w:cs="Arial"/>
                <w:b/>
                <w:sz w:val="20"/>
                <w:szCs w:val="20"/>
                <w:lang w:val="en-US"/>
              </w:rPr>
              <w:t>Novem</w:t>
            </w:r>
            <w:r w:rsidR="00A01CAC">
              <w:rPr>
                <w:rFonts w:ascii="Arial" w:hAnsi="Arial" w:cs="Arial"/>
                <w:b/>
                <w:sz w:val="20"/>
                <w:szCs w:val="20"/>
                <w:lang w:val="en-US"/>
              </w:rPr>
              <w:t>ber</w:t>
            </w:r>
            <w:r w:rsidR="001427FE" w:rsidRPr="0095040D">
              <w:rPr>
                <w:rFonts w:ascii="Arial" w:hAnsi="Arial" w:cs="Arial"/>
                <w:b/>
                <w:sz w:val="20"/>
                <w:szCs w:val="20"/>
                <w:lang w:val="en-US"/>
              </w:rPr>
              <w:t xml:space="preserve"> 2021</w:t>
            </w:r>
          </w:p>
        </w:tc>
        <w:tc>
          <w:tcPr>
            <w:tcW w:w="1159" w:type="dxa"/>
            <w:tcBorders>
              <w:top w:val="single" w:sz="12" w:space="0" w:color="auto"/>
              <w:left w:val="nil"/>
              <w:bottom w:val="single" w:sz="12" w:space="0" w:color="auto"/>
              <w:right w:val="nil"/>
            </w:tcBorders>
            <w:shd w:val="clear" w:color="auto" w:fill="auto"/>
            <w:vAlign w:val="center"/>
            <w:hideMark/>
          </w:tcPr>
          <w:p w14:paraId="0F7953E9" w14:textId="77777777"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YoY</w:t>
            </w:r>
          </w:p>
        </w:tc>
        <w:tc>
          <w:tcPr>
            <w:tcW w:w="1355" w:type="dxa"/>
            <w:tcBorders>
              <w:top w:val="single" w:sz="12" w:space="0" w:color="auto"/>
              <w:left w:val="nil"/>
              <w:bottom w:val="single" w:sz="12" w:space="0" w:color="auto"/>
              <w:right w:val="nil"/>
            </w:tcBorders>
            <w:shd w:val="clear" w:color="auto" w:fill="auto"/>
            <w:vAlign w:val="center"/>
            <w:hideMark/>
          </w:tcPr>
          <w:p w14:paraId="740EAB88" w14:textId="679AA91D" w:rsidR="00A01CAC" w:rsidRDefault="00005C58" w:rsidP="00A01CAC">
            <w:pPr>
              <w:spacing w:after="0" w:line="240" w:lineRule="auto"/>
              <w:jc w:val="center"/>
              <w:rPr>
                <w:rFonts w:ascii="Arial" w:hAnsi="Arial" w:cs="Arial"/>
                <w:b/>
                <w:sz w:val="20"/>
                <w:szCs w:val="20"/>
                <w:lang w:val="en-US"/>
              </w:rPr>
            </w:pPr>
            <w:r>
              <w:rPr>
                <w:rFonts w:ascii="Arial" w:hAnsi="Arial" w:cs="Arial"/>
                <w:b/>
                <w:sz w:val="20"/>
                <w:szCs w:val="20"/>
                <w:lang w:val="en-US"/>
              </w:rPr>
              <w:t>October</w:t>
            </w:r>
          </w:p>
          <w:p w14:paraId="3C94C2F3" w14:textId="71D76748" w:rsidR="001427FE" w:rsidRPr="0095040D" w:rsidRDefault="00A01CAC" w:rsidP="00A01CAC">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1059" w:type="dxa"/>
            <w:tcBorders>
              <w:top w:val="single" w:sz="12" w:space="0" w:color="auto"/>
              <w:left w:val="nil"/>
              <w:bottom w:val="single" w:sz="12" w:space="0" w:color="auto"/>
              <w:right w:val="nil"/>
            </w:tcBorders>
            <w:shd w:val="clear" w:color="auto" w:fill="auto"/>
            <w:vAlign w:val="center"/>
            <w:hideMark/>
          </w:tcPr>
          <w:p w14:paraId="3207ABAF" w14:textId="203D9358"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MoM</w:t>
            </w:r>
          </w:p>
        </w:tc>
      </w:tr>
      <w:tr w:rsidR="00005C58" w:rsidRPr="0095040D" w14:paraId="2A703C88" w14:textId="77777777" w:rsidTr="00A01CAC">
        <w:trPr>
          <w:trHeight w:val="353"/>
        </w:trPr>
        <w:tc>
          <w:tcPr>
            <w:tcW w:w="3163" w:type="dxa"/>
            <w:tcBorders>
              <w:top w:val="nil"/>
              <w:left w:val="nil"/>
              <w:bottom w:val="single" w:sz="8" w:space="0" w:color="auto"/>
              <w:right w:val="nil"/>
            </w:tcBorders>
            <w:shd w:val="clear" w:color="auto" w:fill="auto"/>
            <w:noWrap/>
            <w:vAlign w:val="center"/>
            <w:hideMark/>
          </w:tcPr>
          <w:p w14:paraId="4BFD3753" w14:textId="77777777" w:rsidR="00005C58" w:rsidRPr="0095040D" w:rsidRDefault="00005C58" w:rsidP="00005C58">
            <w:pPr>
              <w:spacing w:after="0" w:line="240" w:lineRule="auto"/>
              <w:rPr>
                <w:rFonts w:ascii="Arial" w:hAnsi="Arial" w:cs="Arial"/>
                <w:sz w:val="20"/>
                <w:szCs w:val="20"/>
                <w:lang w:val="en-US"/>
              </w:rPr>
            </w:pPr>
            <w:r w:rsidRPr="0095040D">
              <w:rPr>
                <w:rFonts w:ascii="Arial" w:hAnsi="Arial" w:cs="Arial"/>
                <w:sz w:val="20"/>
                <w:szCs w:val="20"/>
                <w:lang w:val="en-US"/>
              </w:rPr>
              <w:t xml:space="preserve">Production volume,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8" w:space="0" w:color="auto"/>
              <w:right w:val="nil"/>
            </w:tcBorders>
            <w:shd w:val="clear" w:color="auto" w:fill="auto"/>
            <w:noWrap/>
            <w:vAlign w:val="center"/>
            <w:hideMark/>
          </w:tcPr>
          <w:p w14:paraId="4C405061" w14:textId="77777777" w:rsidR="00005C58" w:rsidRPr="0095040D" w:rsidRDefault="00005C58" w:rsidP="00005C58">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8" w:space="0" w:color="auto"/>
              <w:right w:val="nil"/>
            </w:tcBorders>
            <w:shd w:val="clear" w:color="auto" w:fill="auto"/>
            <w:noWrap/>
            <w:vAlign w:val="center"/>
          </w:tcPr>
          <w:p w14:paraId="5A588249" w14:textId="75166369" w:rsidR="00005C58" w:rsidRPr="00005C58"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64,896</w:t>
            </w:r>
          </w:p>
        </w:tc>
        <w:tc>
          <w:tcPr>
            <w:tcW w:w="1240" w:type="dxa"/>
            <w:tcBorders>
              <w:top w:val="nil"/>
              <w:left w:val="nil"/>
              <w:bottom w:val="single" w:sz="8" w:space="0" w:color="auto"/>
              <w:right w:val="nil"/>
            </w:tcBorders>
            <w:shd w:val="clear" w:color="auto" w:fill="auto"/>
            <w:noWrap/>
            <w:vAlign w:val="center"/>
          </w:tcPr>
          <w:p w14:paraId="108B1DB0" w14:textId="171B3E94" w:rsidR="00005C58" w:rsidRPr="00005C58" w:rsidRDefault="00005C58" w:rsidP="00005C58">
            <w:pPr>
              <w:spacing w:after="0" w:line="240" w:lineRule="auto"/>
              <w:jc w:val="center"/>
              <w:rPr>
                <w:rFonts w:ascii="Arial" w:hAnsi="Arial" w:cs="Arial"/>
                <w:sz w:val="20"/>
                <w:szCs w:val="20"/>
                <w:lang w:val="en-US"/>
              </w:rPr>
            </w:pPr>
            <w:r>
              <w:rPr>
                <w:rFonts w:ascii="Arial" w:hAnsi="Arial" w:cs="Arial"/>
                <w:sz w:val="20"/>
                <w:szCs w:val="20"/>
                <w:lang w:val="uk-UA"/>
              </w:rPr>
              <w:t>6</w:t>
            </w:r>
            <w:r>
              <w:rPr>
                <w:rFonts w:ascii="Arial" w:hAnsi="Arial" w:cs="Arial"/>
                <w:sz w:val="20"/>
                <w:szCs w:val="20"/>
                <w:lang w:val="en-US"/>
              </w:rPr>
              <w:t>5</w:t>
            </w:r>
            <w:r>
              <w:rPr>
                <w:rFonts w:ascii="Arial" w:hAnsi="Arial" w:cs="Arial"/>
                <w:sz w:val="20"/>
                <w:szCs w:val="20"/>
                <w:lang w:val="uk-UA"/>
              </w:rPr>
              <w:t>,8</w:t>
            </w:r>
            <w:r>
              <w:rPr>
                <w:rFonts w:ascii="Arial" w:hAnsi="Arial" w:cs="Arial"/>
                <w:sz w:val="20"/>
                <w:szCs w:val="20"/>
                <w:lang w:val="en-US"/>
              </w:rPr>
              <w:t>63</w:t>
            </w:r>
          </w:p>
        </w:tc>
        <w:tc>
          <w:tcPr>
            <w:tcW w:w="1159" w:type="dxa"/>
            <w:tcBorders>
              <w:top w:val="nil"/>
              <w:left w:val="nil"/>
              <w:bottom w:val="single" w:sz="8" w:space="0" w:color="auto"/>
              <w:right w:val="nil"/>
            </w:tcBorders>
            <w:shd w:val="clear" w:color="auto" w:fill="auto"/>
            <w:noWrap/>
            <w:vAlign w:val="center"/>
            <w:hideMark/>
          </w:tcPr>
          <w:p w14:paraId="43FEA362" w14:textId="0B3C5FE7" w:rsidR="00005C58" w:rsidRPr="0095040D" w:rsidRDefault="00005C58" w:rsidP="00005C58">
            <w:pPr>
              <w:spacing w:after="0" w:line="240" w:lineRule="auto"/>
              <w:jc w:val="center"/>
              <w:rPr>
                <w:rFonts w:ascii="Arial" w:hAnsi="Arial" w:cs="Arial"/>
                <w:sz w:val="20"/>
                <w:szCs w:val="20"/>
                <w:lang w:val="en-US"/>
              </w:rPr>
            </w:pPr>
            <w:r w:rsidRPr="004B519A">
              <w:rPr>
                <w:rFonts w:ascii="Arial" w:hAnsi="Arial" w:cs="Arial"/>
                <w:sz w:val="20"/>
                <w:szCs w:val="20"/>
                <w:lang w:val="en-US"/>
              </w:rPr>
              <w:t>-</w:t>
            </w:r>
            <w:r>
              <w:rPr>
                <w:rFonts w:ascii="Arial" w:hAnsi="Arial" w:cs="Arial"/>
                <w:sz w:val="20"/>
                <w:szCs w:val="20"/>
                <w:lang w:val="en-US"/>
              </w:rPr>
              <w:t>1</w:t>
            </w:r>
            <w:r w:rsidRPr="004B519A">
              <w:rPr>
                <w:rFonts w:ascii="Arial" w:hAnsi="Arial" w:cs="Arial"/>
                <w:sz w:val="20"/>
                <w:szCs w:val="20"/>
                <w:lang w:val="en-US"/>
              </w:rPr>
              <w:t>%</w:t>
            </w:r>
          </w:p>
        </w:tc>
        <w:tc>
          <w:tcPr>
            <w:tcW w:w="1355" w:type="dxa"/>
            <w:tcBorders>
              <w:top w:val="nil"/>
              <w:left w:val="nil"/>
              <w:bottom w:val="single" w:sz="8" w:space="0" w:color="auto"/>
              <w:right w:val="nil"/>
            </w:tcBorders>
            <w:shd w:val="clear" w:color="auto" w:fill="auto"/>
            <w:noWrap/>
            <w:vAlign w:val="center"/>
            <w:hideMark/>
          </w:tcPr>
          <w:p w14:paraId="1ACEB428" w14:textId="762AF64B"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uk-UA"/>
              </w:rPr>
              <w:t>59,612</w:t>
            </w:r>
          </w:p>
        </w:tc>
        <w:tc>
          <w:tcPr>
            <w:tcW w:w="1059" w:type="dxa"/>
            <w:tcBorders>
              <w:top w:val="nil"/>
              <w:left w:val="nil"/>
              <w:bottom w:val="single" w:sz="8" w:space="0" w:color="auto"/>
              <w:right w:val="nil"/>
            </w:tcBorders>
            <w:shd w:val="clear" w:color="auto" w:fill="auto"/>
            <w:vAlign w:val="center"/>
            <w:hideMark/>
          </w:tcPr>
          <w:p w14:paraId="06E215F0" w14:textId="46C7D945"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9</w:t>
            </w:r>
            <w:r w:rsidRPr="0095040D">
              <w:rPr>
                <w:rFonts w:ascii="Arial" w:hAnsi="Arial" w:cs="Arial"/>
                <w:sz w:val="20"/>
                <w:szCs w:val="20"/>
                <w:lang w:val="en-US"/>
              </w:rPr>
              <w:t>%</w:t>
            </w:r>
          </w:p>
        </w:tc>
      </w:tr>
      <w:tr w:rsidR="00005C58" w:rsidRPr="0095040D" w14:paraId="094E772E" w14:textId="77777777" w:rsidTr="00A01CAC">
        <w:trPr>
          <w:trHeight w:val="338"/>
        </w:trPr>
        <w:tc>
          <w:tcPr>
            <w:tcW w:w="3163" w:type="dxa"/>
            <w:tcBorders>
              <w:top w:val="nil"/>
              <w:left w:val="nil"/>
              <w:bottom w:val="single" w:sz="8" w:space="0" w:color="auto"/>
              <w:right w:val="nil"/>
            </w:tcBorders>
            <w:shd w:val="clear" w:color="auto" w:fill="auto"/>
            <w:noWrap/>
            <w:vAlign w:val="center"/>
            <w:hideMark/>
          </w:tcPr>
          <w:p w14:paraId="2ECEE48E" w14:textId="77777777" w:rsidR="00005C58" w:rsidRPr="0095040D" w:rsidRDefault="00005C58" w:rsidP="00005C58">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parties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8" w:space="0" w:color="auto"/>
              <w:right w:val="nil"/>
            </w:tcBorders>
            <w:shd w:val="clear" w:color="auto" w:fill="auto"/>
            <w:noWrap/>
            <w:vAlign w:val="center"/>
            <w:hideMark/>
          </w:tcPr>
          <w:p w14:paraId="5222E970" w14:textId="77777777" w:rsidR="00005C58" w:rsidRPr="0095040D" w:rsidRDefault="00005C58" w:rsidP="00005C58">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8" w:space="0" w:color="auto"/>
              <w:right w:val="nil"/>
            </w:tcBorders>
            <w:shd w:val="clear" w:color="auto" w:fill="auto"/>
            <w:noWrap/>
            <w:vAlign w:val="center"/>
          </w:tcPr>
          <w:p w14:paraId="20623CF7" w14:textId="33F7AD92" w:rsidR="00005C58" w:rsidRPr="00005C58" w:rsidRDefault="00005C58" w:rsidP="00005C58">
            <w:pPr>
              <w:spacing w:after="0" w:line="240" w:lineRule="auto"/>
              <w:jc w:val="center"/>
              <w:rPr>
                <w:rFonts w:ascii="Arial" w:hAnsi="Arial" w:cs="Arial"/>
                <w:sz w:val="20"/>
                <w:szCs w:val="20"/>
                <w:lang w:val="en-US"/>
              </w:rPr>
            </w:pPr>
            <w:r>
              <w:rPr>
                <w:rFonts w:ascii="Arial" w:hAnsi="Arial" w:cs="Arial"/>
                <w:sz w:val="20"/>
                <w:szCs w:val="20"/>
                <w:lang w:val="uk-UA"/>
              </w:rPr>
              <w:t>6</w:t>
            </w:r>
            <w:r>
              <w:rPr>
                <w:rFonts w:ascii="Arial" w:hAnsi="Arial" w:cs="Arial"/>
                <w:sz w:val="20"/>
                <w:szCs w:val="20"/>
                <w:lang w:val="en-US"/>
              </w:rPr>
              <w:t>0</w:t>
            </w:r>
            <w:r>
              <w:rPr>
                <w:rFonts w:ascii="Arial" w:hAnsi="Arial" w:cs="Arial"/>
                <w:sz w:val="20"/>
                <w:szCs w:val="20"/>
                <w:lang w:val="uk-UA"/>
              </w:rPr>
              <w:t>,</w:t>
            </w:r>
            <w:r>
              <w:rPr>
                <w:rFonts w:ascii="Arial" w:hAnsi="Arial" w:cs="Arial"/>
                <w:sz w:val="20"/>
                <w:szCs w:val="20"/>
                <w:lang w:val="en-US"/>
              </w:rPr>
              <w:t>699</w:t>
            </w:r>
          </w:p>
        </w:tc>
        <w:tc>
          <w:tcPr>
            <w:tcW w:w="1240" w:type="dxa"/>
            <w:tcBorders>
              <w:top w:val="nil"/>
              <w:left w:val="nil"/>
              <w:bottom w:val="single" w:sz="8" w:space="0" w:color="auto"/>
              <w:right w:val="nil"/>
            </w:tcBorders>
            <w:shd w:val="clear" w:color="auto" w:fill="auto"/>
            <w:noWrap/>
            <w:vAlign w:val="center"/>
          </w:tcPr>
          <w:p w14:paraId="73C989F2" w14:textId="15F10192" w:rsidR="00005C58" w:rsidRPr="00005C58"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60</w:t>
            </w:r>
            <w:r>
              <w:rPr>
                <w:rFonts w:ascii="Arial" w:hAnsi="Arial" w:cs="Arial"/>
                <w:sz w:val="20"/>
                <w:szCs w:val="20"/>
                <w:lang w:val="uk-UA"/>
              </w:rPr>
              <w:t>,</w:t>
            </w:r>
            <w:r>
              <w:rPr>
                <w:rFonts w:ascii="Arial" w:hAnsi="Arial" w:cs="Arial"/>
                <w:sz w:val="20"/>
                <w:szCs w:val="20"/>
                <w:lang w:val="en-US"/>
              </w:rPr>
              <w:t>107</w:t>
            </w:r>
          </w:p>
        </w:tc>
        <w:tc>
          <w:tcPr>
            <w:tcW w:w="1159" w:type="dxa"/>
            <w:tcBorders>
              <w:top w:val="nil"/>
              <w:left w:val="nil"/>
              <w:bottom w:val="single" w:sz="8" w:space="0" w:color="auto"/>
              <w:right w:val="nil"/>
            </w:tcBorders>
            <w:shd w:val="clear" w:color="auto" w:fill="auto"/>
            <w:noWrap/>
            <w:vAlign w:val="center"/>
            <w:hideMark/>
          </w:tcPr>
          <w:p w14:paraId="15BE0E4A" w14:textId="59D60991"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1</w:t>
            </w:r>
            <w:r w:rsidRPr="0095040D">
              <w:rPr>
                <w:rFonts w:ascii="Arial" w:hAnsi="Arial" w:cs="Arial"/>
                <w:sz w:val="20"/>
                <w:szCs w:val="20"/>
                <w:lang w:val="en-US"/>
              </w:rPr>
              <w:t>%</w:t>
            </w:r>
          </w:p>
        </w:tc>
        <w:tc>
          <w:tcPr>
            <w:tcW w:w="1355" w:type="dxa"/>
            <w:tcBorders>
              <w:top w:val="nil"/>
              <w:left w:val="nil"/>
              <w:bottom w:val="single" w:sz="8" w:space="0" w:color="auto"/>
              <w:right w:val="nil"/>
            </w:tcBorders>
            <w:shd w:val="clear" w:color="auto" w:fill="auto"/>
            <w:noWrap/>
            <w:vAlign w:val="center"/>
            <w:hideMark/>
          </w:tcPr>
          <w:p w14:paraId="3736ECA6" w14:textId="134B1403"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uk-UA"/>
              </w:rPr>
              <w:t>62,356</w:t>
            </w:r>
          </w:p>
        </w:tc>
        <w:tc>
          <w:tcPr>
            <w:tcW w:w="1059" w:type="dxa"/>
            <w:tcBorders>
              <w:top w:val="nil"/>
              <w:left w:val="nil"/>
              <w:bottom w:val="single" w:sz="8" w:space="0" w:color="auto"/>
              <w:right w:val="nil"/>
            </w:tcBorders>
            <w:shd w:val="clear" w:color="auto" w:fill="auto"/>
            <w:vAlign w:val="center"/>
            <w:hideMark/>
          </w:tcPr>
          <w:p w14:paraId="512165E2" w14:textId="5DE4686A"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-3</w:t>
            </w:r>
            <w:r w:rsidRPr="0095040D">
              <w:rPr>
                <w:rFonts w:ascii="Arial" w:hAnsi="Arial" w:cs="Arial"/>
                <w:sz w:val="20"/>
                <w:szCs w:val="20"/>
                <w:lang w:val="en-US"/>
              </w:rPr>
              <w:t>%</w:t>
            </w:r>
          </w:p>
        </w:tc>
      </w:tr>
      <w:tr w:rsidR="00005C58" w:rsidRPr="0095040D" w14:paraId="1163278F" w14:textId="77777777" w:rsidTr="00A01CAC">
        <w:trPr>
          <w:trHeight w:val="338"/>
        </w:trPr>
        <w:tc>
          <w:tcPr>
            <w:tcW w:w="3163" w:type="dxa"/>
            <w:tcBorders>
              <w:top w:val="nil"/>
              <w:left w:val="nil"/>
              <w:bottom w:val="single" w:sz="8" w:space="0" w:color="auto"/>
              <w:right w:val="nil"/>
            </w:tcBorders>
            <w:shd w:val="clear" w:color="auto" w:fill="auto"/>
            <w:noWrap/>
            <w:vAlign w:val="center"/>
          </w:tcPr>
          <w:p w14:paraId="36CA9870" w14:textId="5D4A4260" w:rsidR="00005C58" w:rsidRPr="0095040D" w:rsidRDefault="00005C58" w:rsidP="00005C58">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Ukraine</w:t>
            </w:r>
          </w:p>
        </w:tc>
        <w:tc>
          <w:tcPr>
            <w:tcW w:w="478" w:type="dxa"/>
            <w:gridSpan w:val="2"/>
            <w:tcBorders>
              <w:top w:val="nil"/>
              <w:left w:val="nil"/>
              <w:bottom w:val="single" w:sz="8" w:space="0" w:color="auto"/>
              <w:right w:val="nil"/>
            </w:tcBorders>
            <w:shd w:val="clear" w:color="auto" w:fill="auto"/>
            <w:noWrap/>
            <w:vAlign w:val="center"/>
          </w:tcPr>
          <w:p w14:paraId="1546D1EA" w14:textId="77777777" w:rsidR="00005C58" w:rsidRPr="0095040D" w:rsidRDefault="00005C58" w:rsidP="00005C58">
            <w:pPr>
              <w:spacing w:after="0" w:line="240" w:lineRule="auto"/>
              <w:rPr>
                <w:rFonts w:ascii="Arial" w:hAnsi="Arial" w:cs="Arial"/>
                <w:i/>
                <w:sz w:val="20"/>
                <w:szCs w:val="20"/>
                <w:lang w:val="en-US"/>
              </w:rPr>
            </w:pPr>
          </w:p>
        </w:tc>
        <w:tc>
          <w:tcPr>
            <w:tcW w:w="1044" w:type="dxa"/>
            <w:tcBorders>
              <w:top w:val="nil"/>
              <w:left w:val="nil"/>
              <w:bottom w:val="single" w:sz="8" w:space="0" w:color="auto"/>
              <w:right w:val="nil"/>
            </w:tcBorders>
            <w:shd w:val="clear" w:color="auto" w:fill="auto"/>
            <w:noWrap/>
            <w:vAlign w:val="center"/>
          </w:tcPr>
          <w:p w14:paraId="58EFAD96" w14:textId="50BB28AA" w:rsidR="00005C58" w:rsidRPr="00005C58"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uk-UA"/>
              </w:rPr>
              <w:t>2</w:t>
            </w:r>
            <w:r>
              <w:rPr>
                <w:rFonts w:ascii="Arial" w:hAnsi="Arial" w:cs="Arial"/>
                <w:i/>
                <w:sz w:val="20"/>
                <w:szCs w:val="20"/>
                <w:lang w:val="en-US"/>
              </w:rPr>
              <w:t>2</w:t>
            </w:r>
            <w:r>
              <w:rPr>
                <w:rFonts w:ascii="Arial" w:hAnsi="Arial" w:cs="Arial"/>
                <w:i/>
                <w:sz w:val="20"/>
                <w:szCs w:val="20"/>
                <w:lang w:val="uk-UA"/>
              </w:rPr>
              <w:t>,</w:t>
            </w:r>
            <w:r>
              <w:rPr>
                <w:rFonts w:ascii="Arial" w:hAnsi="Arial" w:cs="Arial"/>
                <w:i/>
                <w:sz w:val="20"/>
                <w:szCs w:val="20"/>
                <w:lang w:val="en-US"/>
              </w:rPr>
              <w:t>306</w:t>
            </w:r>
          </w:p>
        </w:tc>
        <w:tc>
          <w:tcPr>
            <w:tcW w:w="1240" w:type="dxa"/>
            <w:tcBorders>
              <w:top w:val="nil"/>
              <w:left w:val="nil"/>
              <w:bottom w:val="single" w:sz="8" w:space="0" w:color="auto"/>
              <w:right w:val="nil"/>
            </w:tcBorders>
            <w:shd w:val="clear" w:color="auto" w:fill="auto"/>
            <w:noWrap/>
            <w:vAlign w:val="center"/>
          </w:tcPr>
          <w:p w14:paraId="7DE33A71" w14:textId="63036385" w:rsidR="00005C58" w:rsidRPr="00005C58"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uk-UA"/>
              </w:rPr>
              <w:t>23,</w:t>
            </w:r>
            <w:r>
              <w:rPr>
                <w:rFonts w:ascii="Arial" w:hAnsi="Arial" w:cs="Arial"/>
                <w:i/>
                <w:sz w:val="20"/>
                <w:szCs w:val="20"/>
                <w:lang w:val="en-US"/>
              </w:rPr>
              <w:t>403</w:t>
            </w:r>
          </w:p>
        </w:tc>
        <w:tc>
          <w:tcPr>
            <w:tcW w:w="1159" w:type="dxa"/>
            <w:tcBorders>
              <w:top w:val="nil"/>
              <w:left w:val="nil"/>
              <w:bottom w:val="single" w:sz="8" w:space="0" w:color="auto"/>
              <w:right w:val="nil"/>
            </w:tcBorders>
            <w:shd w:val="clear" w:color="auto" w:fill="auto"/>
            <w:noWrap/>
            <w:vAlign w:val="center"/>
          </w:tcPr>
          <w:p w14:paraId="1145F0EC" w14:textId="6F9BE57E" w:rsidR="00005C58" w:rsidRPr="0095040D"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en-US"/>
              </w:rPr>
              <w:t>-12</w:t>
            </w:r>
            <w:r w:rsidRPr="0095040D">
              <w:rPr>
                <w:rFonts w:ascii="Arial" w:hAnsi="Arial" w:cs="Arial"/>
                <w:i/>
                <w:sz w:val="20"/>
                <w:szCs w:val="20"/>
                <w:lang w:val="en-US"/>
              </w:rPr>
              <w:t>%</w:t>
            </w:r>
          </w:p>
        </w:tc>
        <w:tc>
          <w:tcPr>
            <w:tcW w:w="1355" w:type="dxa"/>
            <w:tcBorders>
              <w:top w:val="nil"/>
              <w:left w:val="nil"/>
              <w:bottom w:val="single" w:sz="8" w:space="0" w:color="auto"/>
              <w:right w:val="nil"/>
            </w:tcBorders>
            <w:shd w:val="clear" w:color="auto" w:fill="auto"/>
            <w:noWrap/>
            <w:vAlign w:val="center"/>
          </w:tcPr>
          <w:p w14:paraId="4338488E" w14:textId="61163BED" w:rsidR="00005C58" w:rsidRPr="0095040D"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uk-UA"/>
              </w:rPr>
              <w:t>24,670</w:t>
            </w:r>
          </w:p>
        </w:tc>
        <w:tc>
          <w:tcPr>
            <w:tcW w:w="1059" w:type="dxa"/>
            <w:tcBorders>
              <w:top w:val="nil"/>
              <w:left w:val="nil"/>
              <w:bottom w:val="single" w:sz="8" w:space="0" w:color="auto"/>
              <w:right w:val="nil"/>
            </w:tcBorders>
            <w:shd w:val="clear" w:color="auto" w:fill="auto"/>
            <w:vAlign w:val="center"/>
          </w:tcPr>
          <w:p w14:paraId="6144399D" w14:textId="435A6CF3" w:rsidR="00005C58" w:rsidRPr="0095040D" w:rsidRDefault="00005C58" w:rsidP="00005C58">
            <w:pPr>
              <w:spacing w:after="0" w:line="240" w:lineRule="auto"/>
              <w:jc w:val="center"/>
              <w:rPr>
                <w:rFonts w:ascii="Arial" w:hAnsi="Arial" w:cs="Arial"/>
                <w:i/>
                <w:sz w:val="20"/>
                <w:szCs w:val="20"/>
                <w:lang w:val="en-US"/>
              </w:rPr>
            </w:pPr>
            <w:r w:rsidRPr="004B519A">
              <w:rPr>
                <w:rFonts w:ascii="Arial" w:hAnsi="Arial" w:cs="Arial"/>
                <w:i/>
                <w:sz w:val="20"/>
                <w:szCs w:val="20"/>
                <w:lang w:val="uk-UA"/>
              </w:rPr>
              <w:t>-1</w:t>
            </w:r>
            <w:r>
              <w:rPr>
                <w:rFonts w:ascii="Arial" w:hAnsi="Arial" w:cs="Arial"/>
                <w:i/>
                <w:sz w:val="20"/>
                <w:szCs w:val="20"/>
                <w:lang w:val="en-US"/>
              </w:rPr>
              <w:t>0</w:t>
            </w:r>
            <w:r w:rsidRPr="004B519A">
              <w:rPr>
                <w:rFonts w:ascii="Arial" w:hAnsi="Arial" w:cs="Arial"/>
                <w:i/>
                <w:sz w:val="20"/>
                <w:szCs w:val="20"/>
                <w:lang w:val="en-US"/>
              </w:rPr>
              <w:t>%</w:t>
            </w:r>
          </w:p>
        </w:tc>
      </w:tr>
      <w:tr w:rsidR="00005C58" w:rsidRPr="0095040D" w14:paraId="79E7496D" w14:textId="77777777" w:rsidTr="00A01CAC">
        <w:trPr>
          <w:trHeight w:val="338"/>
        </w:trPr>
        <w:tc>
          <w:tcPr>
            <w:tcW w:w="3163" w:type="dxa"/>
            <w:tcBorders>
              <w:top w:val="nil"/>
              <w:left w:val="nil"/>
              <w:bottom w:val="single" w:sz="8" w:space="0" w:color="auto"/>
              <w:right w:val="nil"/>
            </w:tcBorders>
            <w:shd w:val="clear" w:color="auto" w:fill="auto"/>
            <w:noWrap/>
            <w:vAlign w:val="center"/>
          </w:tcPr>
          <w:p w14:paraId="67B2F650" w14:textId="3CF07984" w:rsidR="00005C58" w:rsidRPr="0095040D" w:rsidRDefault="00005C58" w:rsidP="00005C58">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Export</w:t>
            </w:r>
          </w:p>
        </w:tc>
        <w:tc>
          <w:tcPr>
            <w:tcW w:w="478" w:type="dxa"/>
            <w:gridSpan w:val="2"/>
            <w:tcBorders>
              <w:top w:val="nil"/>
              <w:left w:val="nil"/>
              <w:bottom w:val="single" w:sz="8" w:space="0" w:color="auto"/>
              <w:right w:val="nil"/>
            </w:tcBorders>
            <w:shd w:val="clear" w:color="auto" w:fill="auto"/>
            <w:noWrap/>
            <w:vAlign w:val="center"/>
          </w:tcPr>
          <w:p w14:paraId="57A03E0B" w14:textId="77777777" w:rsidR="00005C58" w:rsidRPr="0095040D" w:rsidRDefault="00005C58" w:rsidP="00005C58">
            <w:pPr>
              <w:spacing w:after="0" w:line="240" w:lineRule="auto"/>
              <w:rPr>
                <w:rFonts w:ascii="Arial" w:hAnsi="Arial" w:cs="Arial"/>
                <w:i/>
                <w:sz w:val="20"/>
                <w:szCs w:val="20"/>
                <w:lang w:val="en-US"/>
              </w:rPr>
            </w:pPr>
          </w:p>
        </w:tc>
        <w:tc>
          <w:tcPr>
            <w:tcW w:w="1044" w:type="dxa"/>
            <w:tcBorders>
              <w:top w:val="nil"/>
              <w:left w:val="nil"/>
              <w:bottom w:val="single" w:sz="8" w:space="0" w:color="auto"/>
              <w:right w:val="nil"/>
            </w:tcBorders>
            <w:shd w:val="clear" w:color="auto" w:fill="auto"/>
            <w:noWrap/>
            <w:vAlign w:val="center"/>
          </w:tcPr>
          <w:p w14:paraId="397903D0" w14:textId="6137BE2C" w:rsidR="00005C58" w:rsidRPr="00005C58"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en-US"/>
              </w:rPr>
              <w:t>38,393</w:t>
            </w:r>
          </w:p>
        </w:tc>
        <w:tc>
          <w:tcPr>
            <w:tcW w:w="1240" w:type="dxa"/>
            <w:tcBorders>
              <w:top w:val="nil"/>
              <w:left w:val="nil"/>
              <w:bottom w:val="single" w:sz="8" w:space="0" w:color="auto"/>
              <w:right w:val="nil"/>
            </w:tcBorders>
            <w:shd w:val="clear" w:color="auto" w:fill="auto"/>
            <w:noWrap/>
            <w:vAlign w:val="center"/>
          </w:tcPr>
          <w:p w14:paraId="729417E7" w14:textId="4E0F66B8" w:rsidR="00005C58" w:rsidRPr="00005C58"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uk-UA"/>
              </w:rPr>
              <w:t>3</w:t>
            </w:r>
            <w:r>
              <w:rPr>
                <w:rFonts w:ascii="Arial" w:hAnsi="Arial" w:cs="Arial"/>
                <w:i/>
                <w:sz w:val="20"/>
                <w:szCs w:val="20"/>
                <w:lang w:val="en-US"/>
              </w:rPr>
              <w:t>6</w:t>
            </w:r>
            <w:r>
              <w:rPr>
                <w:rFonts w:ascii="Arial" w:hAnsi="Arial" w:cs="Arial"/>
                <w:i/>
                <w:sz w:val="20"/>
                <w:szCs w:val="20"/>
                <w:lang w:val="uk-UA"/>
              </w:rPr>
              <w:t>,</w:t>
            </w:r>
            <w:r>
              <w:rPr>
                <w:rFonts w:ascii="Arial" w:hAnsi="Arial" w:cs="Arial"/>
                <w:i/>
                <w:sz w:val="20"/>
                <w:szCs w:val="20"/>
                <w:lang w:val="en-US"/>
              </w:rPr>
              <w:t>704</w:t>
            </w:r>
          </w:p>
        </w:tc>
        <w:tc>
          <w:tcPr>
            <w:tcW w:w="1159" w:type="dxa"/>
            <w:tcBorders>
              <w:top w:val="nil"/>
              <w:left w:val="nil"/>
              <w:bottom w:val="single" w:sz="8" w:space="0" w:color="auto"/>
              <w:right w:val="nil"/>
            </w:tcBorders>
            <w:shd w:val="clear" w:color="auto" w:fill="auto"/>
            <w:noWrap/>
            <w:vAlign w:val="center"/>
          </w:tcPr>
          <w:p w14:paraId="3665F4DA" w14:textId="7E8C8FBC" w:rsidR="00005C58" w:rsidRPr="0095040D"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en-US"/>
              </w:rPr>
              <w:t>5</w:t>
            </w:r>
            <w:r w:rsidRPr="0095040D">
              <w:rPr>
                <w:rFonts w:ascii="Arial" w:hAnsi="Arial" w:cs="Arial"/>
                <w:i/>
                <w:sz w:val="20"/>
                <w:szCs w:val="20"/>
                <w:lang w:val="en-US"/>
              </w:rPr>
              <w:t>%</w:t>
            </w:r>
          </w:p>
        </w:tc>
        <w:tc>
          <w:tcPr>
            <w:tcW w:w="1355" w:type="dxa"/>
            <w:tcBorders>
              <w:top w:val="nil"/>
              <w:left w:val="nil"/>
              <w:bottom w:val="single" w:sz="8" w:space="0" w:color="auto"/>
              <w:right w:val="nil"/>
            </w:tcBorders>
            <w:shd w:val="clear" w:color="auto" w:fill="auto"/>
            <w:noWrap/>
            <w:vAlign w:val="center"/>
          </w:tcPr>
          <w:p w14:paraId="006F1376" w14:textId="541DB324" w:rsidR="00005C58" w:rsidRPr="0095040D"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en-US"/>
              </w:rPr>
              <w:t>3</w:t>
            </w:r>
            <w:r>
              <w:rPr>
                <w:rFonts w:ascii="Arial" w:hAnsi="Arial" w:cs="Arial"/>
                <w:i/>
                <w:sz w:val="20"/>
                <w:szCs w:val="20"/>
                <w:lang w:val="uk-UA"/>
              </w:rPr>
              <w:t>7</w:t>
            </w:r>
            <w:r>
              <w:rPr>
                <w:rFonts w:ascii="Arial" w:hAnsi="Arial" w:cs="Arial"/>
                <w:i/>
                <w:sz w:val="20"/>
                <w:szCs w:val="20"/>
                <w:lang w:val="en-US"/>
              </w:rPr>
              <w:t>,6</w:t>
            </w:r>
            <w:r>
              <w:rPr>
                <w:rFonts w:ascii="Arial" w:hAnsi="Arial" w:cs="Arial"/>
                <w:i/>
                <w:sz w:val="20"/>
                <w:szCs w:val="20"/>
                <w:lang w:val="uk-UA"/>
              </w:rPr>
              <w:t>86</w:t>
            </w:r>
          </w:p>
        </w:tc>
        <w:tc>
          <w:tcPr>
            <w:tcW w:w="1059" w:type="dxa"/>
            <w:tcBorders>
              <w:top w:val="nil"/>
              <w:left w:val="nil"/>
              <w:bottom w:val="single" w:sz="8" w:space="0" w:color="auto"/>
              <w:right w:val="nil"/>
            </w:tcBorders>
            <w:shd w:val="clear" w:color="auto" w:fill="auto"/>
            <w:vAlign w:val="center"/>
          </w:tcPr>
          <w:p w14:paraId="404A3530" w14:textId="665E9C55" w:rsidR="00005C58" w:rsidRPr="0095040D" w:rsidRDefault="00005C58" w:rsidP="00005C58">
            <w:pPr>
              <w:spacing w:after="0" w:line="240" w:lineRule="auto"/>
              <w:jc w:val="center"/>
              <w:rPr>
                <w:rFonts w:ascii="Arial" w:hAnsi="Arial" w:cs="Arial"/>
                <w:i/>
                <w:sz w:val="20"/>
                <w:szCs w:val="20"/>
                <w:lang w:val="en-US"/>
              </w:rPr>
            </w:pPr>
            <w:r>
              <w:rPr>
                <w:rFonts w:ascii="Arial" w:hAnsi="Arial" w:cs="Arial"/>
                <w:i/>
                <w:sz w:val="20"/>
                <w:szCs w:val="20"/>
                <w:lang w:val="en-US"/>
              </w:rPr>
              <w:t>2</w:t>
            </w:r>
            <w:r w:rsidRPr="0095040D">
              <w:rPr>
                <w:rFonts w:ascii="Arial" w:hAnsi="Arial" w:cs="Arial"/>
                <w:i/>
                <w:sz w:val="20"/>
                <w:szCs w:val="20"/>
                <w:lang w:val="en-US"/>
              </w:rPr>
              <w:t>%</w:t>
            </w:r>
          </w:p>
        </w:tc>
      </w:tr>
      <w:tr w:rsidR="00005C58" w:rsidRPr="0095040D" w14:paraId="30A1A994" w14:textId="77777777" w:rsidTr="00A01CAC">
        <w:trPr>
          <w:trHeight w:val="338"/>
        </w:trPr>
        <w:tc>
          <w:tcPr>
            <w:tcW w:w="3163" w:type="dxa"/>
            <w:tcBorders>
              <w:top w:val="nil"/>
              <w:left w:val="nil"/>
              <w:bottom w:val="single" w:sz="12" w:space="0" w:color="auto"/>
              <w:right w:val="nil"/>
            </w:tcBorders>
            <w:shd w:val="clear" w:color="auto" w:fill="auto"/>
            <w:noWrap/>
            <w:vAlign w:val="center"/>
            <w:hideMark/>
          </w:tcPr>
          <w:p w14:paraId="223EDEA7" w14:textId="77777777" w:rsidR="00005C58" w:rsidRPr="0095040D" w:rsidRDefault="00005C58" w:rsidP="00005C58">
            <w:pPr>
              <w:spacing w:after="0" w:line="240" w:lineRule="auto"/>
              <w:rPr>
                <w:rFonts w:ascii="Arial" w:hAnsi="Arial" w:cs="Arial"/>
                <w:sz w:val="20"/>
                <w:szCs w:val="20"/>
                <w:lang w:val="en-US"/>
              </w:rPr>
            </w:pPr>
            <w:r w:rsidRPr="0095040D">
              <w:rPr>
                <w:rFonts w:ascii="Arial" w:hAnsi="Arial" w:cs="Arial"/>
                <w:sz w:val="20"/>
                <w:szCs w:val="20"/>
                <w:lang w:val="en-US"/>
              </w:rPr>
              <w:t>Share of export sales, %</w:t>
            </w:r>
          </w:p>
        </w:tc>
        <w:tc>
          <w:tcPr>
            <w:tcW w:w="478" w:type="dxa"/>
            <w:gridSpan w:val="2"/>
            <w:tcBorders>
              <w:top w:val="nil"/>
              <w:left w:val="nil"/>
              <w:bottom w:val="single" w:sz="12" w:space="0" w:color="auto"/>
              <w:right w:val="nil"/>
            </w:tcBorders>
            <w:shd w:val="clear" w:color="auto" w:fill="auto"/>
            <w:noWrap/>
            <w:vAlign w:val="center"/>
            <w:hideMark/>
          </w:tcPr>
          <w:p w14:paraId="60F07652" w14:textId="77777777" w:rsidR="00005C58" w:rsidRPr="0095040D" w:rsidRDefault="00005C58" w:rsidP="00005C58">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12" w:space="0" w:color="auto"/>
              <w:right w:val="nil"/>
            </w:tcBorders>
            <w:shd w:val="clear" w:color="auto" w:fill="auto"/>
            <w:vAlign w:val="center"/>
          </w:tcPr>
          <w:p w14:paraId="03F816D6" w14:textId="62FD5B86" w:rsidR="00005C58" w:rsidRPr="003C0FC9"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63%</w:t>
            </w:r>
          </w:p>
        </w:tc>
        <w:tc>
          <w:tcPr>
            <w:tcW w:w="1240" w:type="dxa"/>
            <w:tcBorders>
              <w:top w:val="nil"/>
              <w:left w:val="nil"/>
              <w:bottom w:val="single" w:sz="12" w:space="0" w:color="auto"/>
              <w:right w:val="nil"/>
            </w:tcBorders>
            <w:shd w:val="clear" w:color="auto" w:fill="auto"/>
            <w:vAlign w:val="center"/>
          </w:tcPr>
          <w:p w14:paraId="5F90CA8F" w14:textId="50B43AE2" w:rsidR="00005C58" w:rsidRPr="003C0FC9"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61%</w:t>
            </w:r>
          </w:p>
        </w:tc>
        <w:tc>
          <w:tcPr>
            <w:tcW w:w="1159" w:type="dxa"/>
            <w:tcBorders>
              <w:top w:val="nil"/>
              <w:left w:val="nil"/>
              <w:bottom w:val="single" w:sz="12" w:space="0" w:color="auto"/>
              <w:right w:val="nil"/>
            </w:tcBorders>
            <w:shd w:val="clear" w:color="auto" w:fill="auto"/>
            <w:noWrap/>
            <w:vAlign w:val="center"/>
            <w:hideMark/>
          </w:tcPr>
          <w:p w14:paraId="50B7C057" w14:textId="1F6454AB"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2</w:t>
            </w:r>
            <w:r w:rsidRPr="0095040D">
              <w:rPr>
                <w:rFonts w:ascii="Arial" w:hAnsi="Arial" w:cs="Arial"/>
                <w:sz w:val="20"/>
                <w:szCs w:val="20"/>
                <w:lang w:val="en-US"/>
              </w:rPr>
              <w:t xml:space="preserve"> </w:t>
            </w:r>
            <w:proofErr w:type="spellStart"/>
            <w:r w:rsidRPr="0095040D">
              <w:rPr>
                <w:rFonts w:ascii="Arial" w:hAnsi="Arial" w:cs="Arial"/>
                <w:sz w:val="20"/>
                <w:szCs w:val="20"/>
                <w:lang w:val="en-US"/>
              </w:rPr>
              <w:t>pps</w:t>
            </w:r>
            <w:proofErr w:type="spellEnd"/>
            <w:r w:rsidRPr="0095040D">
              <w:rPr>
                <w:rFonts w:ascii="Arial" w:hAnsi="Arial" w:cs="Arial"/>
                <w:sz w:val="20"/>
                <w:szCs w:val="20"/>
                <w:lang w:val="en-US"/>
              </w:rPr>
              <w:t>**</w:t>
            </w:r>
          </w:p>
        </w:tc>
        <w:tc>
          <w:tcPr>
            <w:tcW w:w="1355" w:type="dxa"/>
            <w:tcBorders>
              <w:top w:val="nil"/>
              <w:left w:val="nil"/>
              <w:bottom w:val="single" w:sz="12" w:space="0" w:color="auto"/>
              <w:right w:val="nil"/>
            </w:tcBorders>
            <w:shd w:val="clear" w:color="auto" w:fill="auto"/>
            <w:vAlign w:val="center"/>
            <w:hideMark/>
          </w:tcPr>
          <w:p w14:paraId="345AB521" w14:textId="2D0CA811"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60%</w:t>
            </w:r>
          </w:p>
        </w:tc>
        <w:tc>
          <w:tcPr>
            <w:tcW w:w="1059" w:type="dxa"/>
            <w:tcBorders>
              <w:top w:val="nil"/>
              <w:left w:val="nil"/>
              <w:bottom w:val="single" w:sz="12" w:space="0" w:color="auto"/>
              <w:right w:val="nil"/>
            </w:tcBorders>
            <w:shd w:val="clear" w:color="auto" w:fill="auto"/>
            <w:vAlign w:val="center"/>
            <w:hideMark/>
          </w:tcPr>
          <w:p w14:paraId="16E37F91" w14:textId="10A3E6C9"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 xml:space="preserve">3 </w:t>
            </w:r>
            <w:proofErr w:type="spellStart"/>
            <w:r w:rsidRPr="0095040D">
              <w:rPr>
                <w:rFonts w:ascii="Arial" w:hAnsi="Arial" w:cs="Arial"/>
                <w:sz w:val="20"/>
                <w:szCs w:val="20"/>
                <w:lang w:val="en-US"/>
              </w:rPr>
              <w:t>pps</w:t>
            </w:r>
            <w:proofErr w:type="spellEnd"/>
          </w:p>
        </w:tc>
      </w:tr>
      <w:tr w:rsidR="00005C58" w:rsidRPr="0095040D" w14:paraId="1B72538A" w14:textId="77777777" w:rsidTr="00A01CAC">
        <w:trPr>
          <w:trHeight w:val="353"/>
        </w:trPr>
        <w:tc>
          <w:tcPr>
            <w:tcW w:w="3425" w:type="dxa"/>
            <w:gridSpan w:val="2"/>
            <w:tcBorders>
              <w:top w:val="nil"/>
              <w:left w:val="nil"/>
              <w:bottom w:val="nil"/>
              <w:right w:val="nil"/>
            </w:tcBorders>
            <w:shd w:val="clear" w:color="auto" w:fill="auto"/>
            <w:noWrap/>
            <w:vAlign w:val="center"/>
            <w:hideMark/>
          </w:tcPr>
          <w:p w14:paraId="44F36CAE" w14:textId="1290F9B6" w:rsidR="00005C58" w:rsidRPr="0095040D" w:rsidRDefault="00005C58" w:rsidP="00005C58">
            <w:pPr>
              <w:spacing w:after="0" w:line="240" w:lineRule="auto"/>
              <w:rPr>
                <w:rFonts w:ascii="Arial" w:hAnsi="Arial" w:cs="Arial"/>
                <w:sz w:val="20"/>
                <w:szCs w:val="20"/>
                <w:lang w:val="en-US"/>
              </w:rPr>
            </w:pPr>
            <w:r w:rsidRPr="0095040D">
              <w:rPr>
                <w:rFonts w:ascii="Arial" w:hAnsi="Arial" w:cs="Arial"/>
                <w:sz w:val="20"/>
                <w:szCs w:val="20"/>
                <w:lang w:val="en-US"/>
              </w:rPr>
              <w:t>Average price per 1 kg net of VAT, US$*</w:t>
            </w:r>
          </w:p>
        </w:tc>
        <w:tc>
          <w:tcPr>
            <w:tcW w:w="1260" w:type="dxa"/>
            <w:gridSpan w:val="2"/>
            <w:tcBorders>
              <w:top w:val="nil"/>
              <w:left w:val="nil"/>
              <w:bottom w:val="nil"/>
              <w:right w:val="nil"/>
            </w:tcBorders>
            <w:shd w:val="clear" w:color="auto" w:fill="auto"/>
            <w:noWrap/>
            <w:vAlign w:val="center"/>
          </w:tcPr>
          <w:p w14:paraId="499D27DA" w14:textId="74473AAB" w:rsidR="00005C58" w:rsidRPr="00706A7F" w:rsidRDefault="00005C58" w:rsidP="00005C58">
            <w:pPr>
              <w:spacing w:after="0" w:line="240" w:lineRule="auto"/>
              <w:jc w:val="center"/>
              <w:rPr>
                <w:rFonts w:ascii="Arial" w:hAnsi="Arial" w:cs="Arial"/>
                <w:sz w:val="20"/>
                <w:szCs w:val="20"/>
                <w:lang w:val="uk-UA"/>
              </w:rPr>
            </w:pPr>
            <w:r>
              <w:rPr>
                <w:rFonts w:ascii="Arial" w:hAnsi="Arial" w:cs="Arial"/>
                <w:sz w:val="20"/>
                <w:szCs w:val="20"/>
                <w:lang w:val="en-US"/>
              </w:rPr>
              <w:t>1.</w:t>
            </w:r>
            <w:r w:rsidR="00706A7F">
              <w:rPr>
                <w:rFonts w:ascii="Arial" w:hAnsi="Arial" w:cs="Arial"/>
                <w:sz w:val="20"/>
                <w:szCs w:val="20"/>
                <w:lang w:val="uk-UA"/>
              </w:rPr>
              <w:t>85</w:t>
            </w:r>
          </w:p>
        </w:tc>
        <w:tc>
          <w:tcPr>
            <w:tcW w:w="1240" w:type="dxa"/>
            <w:tcBorders>
              <w:top w:val="nil"/>
              <w:left w:val="nil"/>
              <w:bottom w:val="nil"/>
              <w:right w:val="nil"/>
            </w:tcBorders>
            <w:shd w:val="clear" w:color="auto" w:fill="auto"/>
            <w:noWrap/>
            <w:vAlign w:val="center"/>
          </w:tcPr>
          <w:p w14:paraId="2D0EAB77" w14:textId="2F96FEE3"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1.75</w:t>
            </w:r>
          </w:p>
        </w:tc>
        <w:tc>
          <w:tcPr>
            <w:tcW w:w="1159" w:type="dxa"/>
            <w:tcBorders>
              <w:top w:val="nil"/>
              <w:left w:val="nil"/>
              <w:bottom w:val="nil"/>
              <w:right w:val="nil"/>
            </w:tcBorders>
            <w:shd w:val="clear" w:color="auto" w:fill="auto"/>
            <w:noWrap/>
            <w:vAlign w:val="center"/>
            <w:hideMark/>
          </w:tcPr>
          <w:p w14:paraId="26D4C2D5" w14:textId="347832AD" w:rsidR="00005C58" w:rsidRPr="0095040D" w:rsidRDefault="00706A7F" w:rsidP="00005C58">
            <w:pPr>
              <w:spacing w:after="0" w:line="240" w:lineRule="auto"/>
              <w:jc w:val="center"/>
              <w:rPr>
                <w:rFonts w:ascii="Arial" w:hAnsi="Arial" w:cs="Arial"/>
                <w:sz w:val="20"/>
                <w:szCs w:val="20"/>
                <w:lang w:val="en-US"/>
              </w:rPr>
            </w:pPr>
            <w:r>
              <w:rPr>
                <w:rFonts w:ascii="Arial" w:hAnsi="Arial" w:cs="Arial"/>
                <w:sz w:val="20"/>
                <w:szCs w:val="20"/>
                <w:lang w:val="en-US"/>
              </w:rPr>
              <w:t>6</w:t>
            </w:r>
            <w:r w:rsidR="00005C58" w:rsidRPr="0095040D">
              <w:rPr>
                <w:rFonts w:ascii="Arial" w:hAnsi="Arial" w:cs="Arial"/>
                <w:sz w:val="20"/>
                <w:szCs w:val="20"/>
                <w:lang w:val="en-US"/>
              </w:rPr>
              <w:t>%</w:t>
            </w:r>
          </w:p>
        </w:tc>
        <w:tc>
          <w:tcPr>
            <w:tcW w:w="1355" w:type="dxa"/>
            <w:tcBorders>
              <w:top w:val="nil"/>
              <w:left w:val="nil"/>
              <w:bottom w:val="nil"/>
              <w:right w:val="nil"/>
            </w:tcBorders>
            <w:shd w:val="clear" w:color="auto" w:fill="auto"/>
            <w:vAlign w:val="center"/>
            <w:hideMark/>
          </w:tcPr>
          <w:p w14:paraId="4B432D9C" w14:textId="615BCBA2"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1.93</w:t>
            </w:r>
          </w:p>
        </w:tc>
        <w:tc>
          <w:tcPr>
            <w:tcW w:w="1059" w:type="dxa"/>
            <w:tcBorders>
              <w:top w:val="nil"/>
              <w:left w:val="nil"/>
              <w:bottom w:val="nil"/>
              <w:right w:val="nil"/>
            </w:tcBorders>
            <w:shd w:val="clear" w:color="auto" w:fill="auto"/>
            <w:vAlign w:val="center"/>
            <w:hideMark/>
          </w:tcPr>
          <w:p w14:paraId="6B399768" w14:textId="73162DB5" w:rsidR="00005C58" w:rsidRPr="0095040D" w:rsidRDefault="00005C58" w:rsidP="00005C58">
            <w:pPr>
              <w:spacing w:after="0" w:line="240" w:lineRule="auto"/>
              <w:jc w:val="center"/>
              <w:rPr>
                <w:rFonts w:ascii="Arial" w:hAnsi="Arial" w:cs="Arial"/>
                <w:sz w:val="20"/>
                <w:szCs w:val="20"/>
                <w:lang w:val="en-US"/>
              </w:rPr>
            </w:pPr>
            <w:r>
              <w:rPr>
                <w:rFonts w:ascii="Arial" w:hAnsi="Arial" w:cs="Arial"/>
                <w:sz w:val="20"/>
                <w:szCs w:val="20"/>
                <w:lang w:val="en-US"/>
              </w:rPr>
              <w:t>-</w:t>
            </w:r>
            <w:r w:rsidR="00706A7F">
              <w:rPr>
                <w:rFonts w:ascii="Arial" w:hAnsi="Arial" w:cs="Arial"/>
                <w:sz w:val="20"/>
                <w:szCs w:val="20"/>
                <w:lang w:val="en-US"/>
              </w:rPr>
              <w:t>4</w:t>
            </w:r>
            <w:r>
              <w:rPr>
                <w:rFonts w:ascii="Arial" w:hAnsi="Arial" w:cs="Arial"/>
                <w:sz w:val="20"/>
                <w:szCs w:val="20"/>
                <w:lang w:val="en-US"/>
              </w:rPr>
              <w:t>%</w:t>
            </w:r>
          </w:p>
        </w:tc>
      </w:tr>
      <w:tr w:rsidR="00A01CAC" w:rsidRPr="0095040D" w14:paraId="3B7711D3" w14:textId="77777777" w:rsidTr="00A01CAC">
        <w:trPr>
          <w:trHeight w:val="338"/>
        </w:trPr>
        <w:tc>
          <w:tcPr>
            <w:tcW w:w="3163" w:type="dxa"/>
            <w:tcBorders>
              <w:top w:val="single" w:sz="12" w:space="0" w:color="auto"/>
              <w:left w:val="nil"/>
              <w:bottom w:val="nil"/>
              <w:right w:val="nil"/>
            </w:tcBorders>
            <w:shd w:val="clear" w:color="auto" w:fill="auto"/>
            <w:noWrap/>
            <w:vAlign w:val="center"/>
          </w:tcPr>
          <w:p w14:paraId="0BFB9832" w14:textId="1CCDD44D" w:rsidR="00A01CAC" w:rsidRPr="0095040D" w:rsidRDefault="00A01CAC" w:rsidP="00A01CAC">
            <w:pPr>
              <w:spacing w:after="0" w:line="240" w:lineRule="auto"/>
              <w:rPr>
                <w:rFonts w:ascii="Arial" w:hAnsi="Arial" w:cs="Arial"/>
                <w:sz w:val="20"/>
                <w:szCs w:val="20"/>
                <w:lang w:val="en-US"/>
              </w:rPr>
            </w:pPr>
          </w:p>
        </w:tc>
        <w:tc>
          <w:tcPr>
            <w:tcW w:w="478" w:type="dxa"/>
            <w:gridSpan w:val="2"/>
            <w:tcBorders>
              <w:top w:val="single" w:sz="12" w:space="0" w:color="auto"/>
              <w:left w:val="nil"/>
              <w:bottom w:val="nil"/>
              <w:right w:val="nil"/>
            </w:tcBorders>
            <w:shd w:val="clear" w:color="auto" w:fill="auto"/>
            <w:noWrap/>
            <w:vAlign w:val="center"/>
          </w:tcPr>
          <w:p w14:paraId="4E0A7F72" w14:textId="2448ED8C" w:rsidR="00A01CAC" w:rsidRPr="0095040D" w:rsidRDefault="00A01CAC" w:rsidP="00A01CAC">
            <w:pPr>
              <w:spacing w:after="0" w:line="240" w:lineRule="auto"/>
              <w:rPr>
                <w:rFonts w:ascii="Arial" w:hAnsi="Arial" w:cs="Arial"/>
                <w:sz w:val="20"/>
                <w:szCs w:val="20"/>
                <w:lang w:val="en-US"/>
              </w:rPr>
            </w:pPr>
          </w:p>
        </w:tc>
        <w:tc>
          <w:tcPr>
            <w:tcW w:w="1044" w:type="dxa"/>
            <w:tcBorders>
              <w:top w:val="single" w:sz="12" w:space="0" w:color="auto"/>
              <w:left w:val="nil"/>
              <w:bottom w:val="nil"/>
              <w:right w:val="nil"/>
            </w:tcBorders>
            <w:shd w:val="clear" w:color="auto" w:fill="auto"/>
            <w:noWrap/>
            <w:vAlign w:val="center"/>
          </w:tcPr>
          <w:p w14:paraId="03C8049F" w14:textId="1CE8A685" w:rsidR="00A01CAC" w:rsidRPr="0095040D" w:rsidRDefault="00A01CAC" w:rsidP="00A01CAC">
            <w:pPr>
              <w:spacing w:after="0" w:line="240" w:lineRule="auto"/>
              <w:jc w:val="center"/>
              <w:rPr>
                <w:rFonts w:ascii="Arial" w:hAnsi="Arial" w:cs="Arial"/>
                <w:sz w:val="20"/>
                <w:szCs w:val="20"/>
                <w:lang w:val="en-US"/>
              </w:rPr>
            </w:pPr>
          </w:p>
        </w:tc>
        <w:tc>
          <w:tcPr>
            <w:tcW w:w="1240" w:type="dxa"/>
            <w:tcBorders>
              <w:top w:val="single" w:sz="12" w:space="0" w:color="auto"/>
              <w:left w:val="nil"/>
              <w:bottom w:val="nil"/>
              <w:right w:val="nil"/>
            </w:tcBorders>
            <w:shd w:val="clear" w:color="auto" w:fill="auto"/>
            <w:noWrap/>
            <w:vAlign w:val="center"/>
          </w:tcPr>
          <w:p w14:paraId="2B65F0D3" w14:textId="5C0A9450" w:rsidR="00A01CAC" w:rsidRPr="0095040D" w:rsidRDefault="00A01CAC" w:rsidP="00A01CAC">
            <w:pPr>
              <w:spacing w:after="0" w:line="240" w:lineRule="auto"/>
              <w:jc w:val="center"/>
              <w:rPr>
                <w:rFonts w:ascii="Arial" w:hAnsi="Arial" w:cs="Arial"/>
                <w:sz w:val="20"/>
                <w:szCs w:val="20"/>
                <w:lang w:val="en-US"/>
              </w:rPr>
            </w:pPr>
          </w:p>
        </w:tc>
        <w:tc>
          <w:tcPr>
            <w:tcW w:w="1159" w:type="dxa"/>
            <w:tcBorders>
              <w:top w:val="single" w:sz="12" w:space="0" w:color="auto"/>
              <w:left w:val="nil"/>
              <w:bottom w:val="nil"/>
              <w:right w:val="nil"/>
            </w:tcBorders>
            <w:shd w:val="clear" w:color="auto" w:fill="auto"/>
            <w:noWrap/>
            <w:vAlign w:val="center"/>
          </w:tcPr>
          <w:p w14:paraId="00D496D0" w14:textId="1F676140" w:rsidR="00A01CAC" w:rsidRPr="0095040D" w:rsidRDefault="00A01CAC" w:rsidP="00A01CAC">
            <w:pPr>
              <w:spacing w:after="0" w:line="240" w:lineRule="auto"/>
              <w:jc w:val="center"/>
              <w:rPr>
                <w:rFonts w:ascii="Arial" w:hAnsi="Arial" w:cs="Arial"/>
                <w:sz w:val="20"/>
                <w:szCs w:val="20"/>
                <w:lang w:val="en-US"/>
              </w:rPr>
            </w:pPr>
          </w:p>
        </w:tc>
        <w:tc>
          <w:tcPr>
            <w:tcW w:w="1355" w:type="dxa"/>
            <w:tcBorders>
              <w:top w:val="single" w:sz="12" w:space="0" w:color="auto"/>
              <w:left w:val="nil"/>
              <w:bottom w:val="nil"/>
              <w:right w:val="nil"/>
            </w:tcBorders>
            <w:shd w:val="clear" w:color="auto" w:fill="auto"/>
            <w:vAlign w:val="center"/>
          </w:tcPr>
          <w:p w14:paraId="76AA59F7" w14:textId="7528202D" w:rsidR="00A01CAC" w:rsidRPr="0095040D" w:rsidRDefault="00A01CAC" w:rsidP="00A01CAC">
            <w:pPr>
              <w:spacing w:after="0" w:line="240" w:lineRule="auto"/>
              <w:jc w:val="center"/>
              <w:rPr>
                <w:rFonts w:ascii="Arial" w:hAnsi="Arial" w:cs="Arial"/>
                <w:sz w:val="20"/>
                <w:szCs w:val="20"/>
                <w:lang w:val="en-US"/>
              </w:rPr>
            </w:pPr>
          </w:p>
        </w:tc>
        <w:tc>
          <w:tcPr>
            <w:tcW w:w="1059" w:type="dxa"/>
            <w:tcBorders>
              <w:top w:val="single" w:sz="12" w:space="0" w:color="auto"/>
              <w:left w:val="nil"/>
              <w:bottom w:val="nil"/>
              <w:right w:val="nil"/>
            </w:tcBorders>
            <w:shd w:val="clear" w:color="auto" w:fill="auto"/>
            <w:vAlign w:val="center"/>
          </w:tcPr>
          <w:p w14:paraId="004A3F9D" w14:textId="3A0BE39F" w:rsidR="00A01CAC" w:rsidRPr="0095040D" w:rsidRDefault="00A01CAC" w:rsidP="00A01CAC">
            <w:pPr>
              <w:spacing w:after="0" w:line="240" w:lineRule="auto"/>
              <w:jc w:val="center"/>
              <w:rPr>
                <w:rFonts w:ascii="Arial" w:hAnsi="Arial" w:cs="Arial"/>
                <w:sz w:val="20"/>
                <w:szCs w:val="20"/>
                <w:lang w:val="en-US"/>
              </w:rPr>
            </w:pPr>
          </w:p>
        </w:tc>
      </w:tr>
      <w:tr w:rsidR="00A01CAC" w:rsidRPr="0095040D" w14:paraId="47E6C4F0" w14:textId="77777777" w:rsidTr="00A01CAC">
        <w:trPr>
          <w:trHeight w:val="338"/>
        </w:trPr>
        <w:tc>
          <w:tcPr>
            <w:tcW w:w="3163" w:type="dxa"/>
            <w:tcBorders>
              <w:top w:val="nil"/>
              <w:left w:val="nil"/>
              <w:bottom w:val="nil"/>
              <w:right w:val="nil"/>
            </w:tcBorders>
            <w:shd w:val="clear" w:color="auto" w:fill="auto"/>
            <w:noWrap/>
            <w:vAlign w:val="center"/>
            <w:hideMark/>
          </w:tcPr>
          <w:p w14:paraId="61F39070" w14:textId="7FBA06FA" w:rsidR="00A01CAC" w:rsidRPr="0095040D" w:rsidRDefault="00A01CAC" w:rsidP="00A01CAC">
            <w:pPr>
              <w:spacing w:after="0" w:line="240" w:lineRule="auto"/>
              <w:rPr>
                <w:rFonts w:ascii="Arial" w:hAnsi="Arial" w:cs="Arial"/>
                <w:b/>
                <w:sz w:val="20"/>
                <w:szCs w:val="20"/>
                <w:lang w:val="en-US"/>
              </w:rPr>
            </w:pPr>
            <w:r w:rsidRPr="0095040D">
              <w:rPr>
                <w:rFonts w:ascii="Arial" w:hAnsi="Arial" w:cs="Arial"/>
                <w:b/>
                <w:sz w:val="20"/>
                <w:szCs w:val="20"/>
                <w:lang w:val="en-US"/>
              </w:rPr>
              <w:t>Sunflower oil</w:t>
            </w:r>
          </w:p>
        </w:tc>
        <w:tc>
          <w:tcPr>
            <w:tcW w:w="478" w:type="dxa"/>
            <w:gridSpan w:val="2"/>
            <w:tcBorders>
              <w:top w:val="nil"/>
              <w:left w:val="nil"/>
              <w:bottom w:val="nil"/>
              <w:right w:val="nil"/>
            </w:tcBorders>
            <w:shd w:val="clear" w:color="auto" w:fill="auto"/>
            <w:noWrap/>
            <w:vAlign w:val="center"/>
            <w:hideMark/>
          </w:tcPr>
          <w:p w14:paraId="57F8F72C" w14:textId="1EAA9777" w:rsidR="00A01CAC" w:rsidRPr="0095040D" w:rsidRDefault="00A01CAC" w:rsidP="00A01CAC">
            <w:pPr>
              <w:spacing w:after="0" w:line="240" w:lineRule="auto"/>
              <w:rPr>
                <w:rFonts w:ascii="Arial" w:hAnsi="Arial" w:cs="Arial"/>
                <w:sz w:val="20"/>
                <w:szCs w:val="20"/>
                <w:lang w:val="en-US"/>
              </w:rPr>
            </w:pPr>
          </w:p>
        </w:tc>
        <w:tc>
          <w:tcPr>
            <w:tcW w:w="1044" w:type="dxa"/>
            <w:tcBorders>
              <w:top w:val="nil"/>
              <w:left w:val="nil"/>
              <w:bottom w:val="nil"/>
              <w:right w:val="nil"/>
            </w:tcBorders>
            <w:shd w:val="clear" w:color="auto" w:fill="auto"/>
            <w:noWrap/>
            <w:vAlign w:val="center"/>
          </w:tcPr>
          <w:p w14:paraId="052F2EB3" w14:textId="1181606A" w:rsidR="00A01CAC" w:rsidRPr="0095040D" w:rsidRDefault="00A01CAC" w:rsidP="00A01CAC">
            <w:pPr>
              <w:spacing w:after="0" w:line="240" w:lineRule="auto"/>
              <w:jc w:val="center"/>
              <w:rPr>
                <w:rFonts w:ascii="Arial" w:hAnsi="Arial" w:cs="Arial"/>
                <w:sz w:val="20"/>
                <w:szCs w:val="20"/>
                <w:lang w:val="en-US"/>
              </w:rPr>
            </w:pPr>
          </w:p>
        </w:tc>
        <w:tc>
          <w:tcPr>
            <w:tcW w:w="1240" w:type="dxa"/>
            <w:tcBorders>
              <w:top w:val="nil"/>
              <w:left w:val="nil"/>
              <w:bottom w:val="nil"/>
              <w:right w:val="nil"/>
            </w:tcBorders>
            <w:shd w:val="clear" w:color="auto" w:fill="auto"/>
            <w:noWrap/>
            <w:vAlign w:val="center"/>
          </w:tcPr>
          <w:p w14:paraId="7E1F4916" w14:textId="2B5C6E1E" w:rsidR="00A01CAC" w:rsidRPr="0095040D" w:rsidRDefault="00A01CAC" w:rsidP="00A01CAC">
            <w:pPr>
              <w:spacing w:after="0" w:line="240" w:lineRule="auto"/>
              <w:jc w:val="center"/>
              <w:rPr>
                <w:rFonts w:ascii="Arial" w:hAnsi="Arial" w:cs="Arial"/>
                <w:sz w:val="20"/>
                <w:szCs w:val="20"/>
                <w:lang w:val="en-US"/>
              </w:rPr>
            </w:pPr>
          </w:p>
        </w:tc>
        <w:tc>
          <w:tcPr>
            <w:tcW w:w="1159" w:type="dxa"/>
            <w:tcBorders>
              <w:top w:val="nil"/>
              <w:left w:val="nil"/>
              <w:bottom w:val="nil"/>
              <w:right w:val="nil"/>
            </w:tcBorders>
            <w:shd w:val="clear" w:color="auto" w:fill="auto"/>
            <w:noWrap/>
            <w:vAlign w:val="center"/>
            <w:hideMark/>
          </w:tcPr>
          <w:p w14:paraId="1143DCD0" w14:textId="13F943CD" w:rsidR="00A01CAC" w:rsidRPr="0095040D" w:rsidRDefault="00A01CAC" w:rsidP="00A01CAC">
            <w:pPr>
              <w:spacing w:after="0" w:line="240" w:lineRule="auto"/>
              <w:jc w:val="center"/>
              <w:rPr>
                <w:rFonts w:ascii="Arial" w:hAnsi="Arial" w:cs="Arial"/>
                <w:sz w:val="20"/>
                <w:szCs w:val="20"/>
                <w:lang w:val="en-US"/>
              </w:rPr>
            </w:pPr>
          </w:p>
        </w:tc>
        <w:tc>
          <w:tcPr>
            <w:tcW w:w="1355" w:type="dxa"/>
            <w:tcBorders>
              <w:top w:val="nil"/>
              <w:left w:val="nil"/>
              <w:bottom w:val="nil"/>
              <w:right w:val="nil"/>
            </w:tcBorders>
            <w:shd w:val="clear" w:color="auto" w:fill="auto"/>
            <w:vAlign w:val="center"/>
            <w:hideMark/>
          </w:tcPr>
          <w:p w14:paraId="737AC8F0" w14:textId="5CAACD36" w:rsidR="00A01CAC" w:rsidRPr="0095040D" w:rsidRDefault="00A01CAC" w:rsidP="00A01CAC">
            <w:pPr>
              <w:spacing w:after="0" w:line="240" w:lineRule="auto"/>
              <w:jc w:val="center"/>
              <w:rPr>
                <w:rFonts w:ascii="Arial" w:hAnsi="Arial" w:cs="Arial"/>
                <w:sz w:val="20"/>
                <w:szCs w:val="20"/>
                <w:lang w:val="en-US"/>
              </w:rPr>
            </w:pPr>
          </w:p>
        </w:tc>
        <w:tc>
          <w:tcPr>
            <w:tcW w:w="1059" w:type="dxa"/>
            <w:tcBorders>
              <w:top w:val="nil"/>
              <w:left w:val="nil"/>
              <w:bottom w:val="nil"/>
              <w:right w:val="nil"/>
            </w:tcBorders>
            <w:shd w:val="clear" w:color="auto" w:fill="auto"/>
            <w:vAlign w:val="center"/>
            <w:hideMark/>
          </w:tcPr>
          <w:p w14:paraId="487B93ED" w14:textId="1F8F843C" w:rsidR="00A01CAC" w:rsidRPr="0095040D" w:rsidRDefault="00A01CAC" w:rsidP="00A01CAC">
            <w:pPr>
              <w:spacing w:after="0" w:line="240" w:lineRule="auto"/>
              <w:jc w:val="center"/>
              <w:rPr>
                <w:rFonts w:ascii="Arial" w:hAnsi="Arial" w:cs="Arial"/>
                <w:sz w:val="20"/>
                <w:szCs w:val="20"/>
                <w:lang w:val="en-US"/>
              </w:rPr>
            </w:pPr>
          </w:p>
        </w:tc>
      </w:tr>
      <w:tr w:rsidR="00A01CAC" w:rsidRPr="0095040D" w14:paraId="2C2D6245" w14:textId="77777777" w:rsidTr="00A01CAC">
        <w:trPr>
          <w:trHeight w:val="322"/>
        </w:trPr>
        <w:tc>
          <w:tcPr>
            <w:tcW w:w="3163" w:type="dxa"/>
            <w:tcBorders>
              <w:top w:val="nil"/>
              <w:left w:val="nil"/>
              <w:bottom w:val="single" w:sz="12" w:space="0" w:color="auto"/>
              <w:right w:val="nil"/>
            </w:tcBorders>
            <w:shd w:val="clear" w:color="auto" w:fill="auto"/>
            <w:noWrap/>
            <w:vAlign w:val="center"/>
            <w:hideMark/>
          </w:tcPr>
          <w:p w14:paraId="7B1DFCDB" w14:textId="63F0CE20"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parties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12" w:space="0" w:color="auto"/>
              <w:right w:val="nil"/>
            </w:tcBorders>
            <w:shd w:val="clear" w:color="auto" w:fill="auto"/>
            <w:noWrap/>
            <w:vAlign w:val="center"/>
            <w:hideMark/>
          </w:tcPr>
          <w:p w14:paraId="487A5D50" w14:textId="28207DA4"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12" w:space="0" w:color="auto"/>
              <w:right w:val="nil"/>
            </w:tcBorders>
            <w:shd w:val="clear" w:color="auto" w:fill="auto"/>
            <w:noWrap/>
            <w:vAlign w:val="center"/>
          </w:tcPr>
          <w:p w14:paraId="195A945E" w14:textId="1DC5060C" w:rsidR="00A01CAC" w:rsidRPr="003C0FC9"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51,195</w:t>
            </w:r>
          </w:p>
        </w:tc>
        <w:tc>
          <w:tcPr>
            <w:tcW w:w="1240" w:type="dxa"/>
            <w:tcBorders>
              <w:top w:val="nil"/>
              <w:left w:val="nil"/>
              <w:bottom w:val="single" w:sz="12" w:space="0" w:color="auto"/>
              <w:right w:val="nil"/>
            </w:tcBorders>
            <w:shd w:val="clear" w:color="auto" w:fill="auto"/>
            <w:noWrap/>
            <w:vAlign w:val="center"/>
          </w:tcPr>
          <w:p w14:paraId="42FA8682" w14:textId="574626B7" w:rsidR="00A01CAC" w:rsidRPr="003C0FC9"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26,8</w:t>
            </w:r>
            <w:r w:rsidR="00005C58">
              <w:rPr>
                <w:rFonts w:ascii="Arial" w:hAnsi="Arial" w:cs="Arial"/>
                <w:sz w:val="20"/>
                <w:szCs w:val="20"/>
                <w:lang w:val="en-US"/>
              </w:rPr>
              <w:t>16</w:t>
            </w:r>
          </w:p>
        </w:tc>
        <w:tc>
          <w:tcPr>
            <w:tcW w:w="1159" w:type="dxa"/>
            <w:tcBorders>
              <w:top w:val="nil"/>
              <w:left w:val="nil"/>
              <w:bottom w:val="single" w:sz="12" w:space="0" w:color="auto"/>
              <w:right w:val="nil"/>
            </w:tcBorders>
            <w:shd w:val="clear" w:color="auto" w:fill="auto"/>
            <w:noWrap/>
            <w:vAlign w:val="center"/>
            <w:hideMark/>
          </w:tcPr>
          <w:p w14:paraId="2006F116" w14:textId="20B66E3C" w:rsidR="00A01CAC" w:rsidRPr="0095040D"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91</w:t>
            </w:r>
            <w:r w:rsidR="00416199">
              <w:rPr>
                <w:rFonts w:ascii="Arial" w:hAnsi="Arial" w:cs="Arial"/>
                <w:sz w:val="20"/>
                <w:szCs w:val="20"/>
                <w:lang w:val="en-US"/>
              </w:rPr>
              <w:t>%</w:t>
            </w:r>
          </w:p>
        </w:tc>
        <w:tc>
          <w:tcPr>
            <w:tcW w:w="1355" w:type="dxa"/>
            <w:tcBorders>
              <w:top w:val="nil"/>
              <w:left w:val="nil"/>
              <w:bottom w:val="single" w:sz="12" w:space="0" w:color="auto"/>
              <w:right w:val="nil"/>
            </w:tcBorders>
            <w:shd w:val="clear" w:color="auto" w:fill="auto"/>
            <w:vAlign w:val="center"/>
            <w:hideMark/>
          </w:tcPr>
          <w:p w14:paraId="455B93E3" w14:textId="322A99E4" w:rsidR="00A01CAC" w:rsidRPr="0095040D"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12,805</w:t>
            </w:r>
          </w:p>
        </w:tc>
        <w:tc>
          <w:tcPr>
            <w:tcW w:w="1059" w:type="dxa"/>
            <w:tcBorders>
              <w:top w:val="nil"/>
              <w:left w:val="nil"/>
              <w:bottom w:val="single" w:sz="12" w:space="0" w:color="auto"/>
              <w:right w:val="nil"/>
            </w:tcBorders>
            <w:shd w:val="clear" w:color="auto" w:fill="auto"/>
            <w:vAlign w:val="center"/>
            <w:hideMark/>
          </w:tcPr>
          <w:p w14:paraId="65453C76" w14:textId="47DAFAB8" w:rsidR="00A01CAC" w:rsidRPr="0095040D"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300</w:t>
            </w:r>
            <w:r w:rsidR="00A01CAC" w:rsidRPr="0095040D">
              <w:rPr>
                <w:rFonts w:ascii="Arial" w:hAnsi="Arial" w:cs="Arial"/>
                <w:sz w:val="20"/>
                <w:szCs w:val="20"/>
                <w:lang w:val="en-US"/>
              </w:rPr>
              <w:t>%</w:t>
            </w:r>
          </w:p>
        </w:tc>
      </w:tr>
      <w:tr w:rsidR="00A01CAC" w:rsidRPr="0095040D" w14:paraId="0DA13BAB" w14:textId="77777777" w:rsidTr="00A01CAC">
        <w:trPr>
          <w:trHeight w:val="338"/>
        </w:trPr>
        <w:tc>
          <w:tcPr>
            <w:tcW w:w="3163" w:type="dxa"/>
            <w:tcBorders>
              <w:top w:val="nil"/>
              <w:left w:val="nil"/>
              <w:bottom w:val="nil"/>
              <w:right w:val="nil"/>
            </w:tcBorders>
            <w:shd w:val="clear" w:color="auto" w:fill="auto"/>
            <w:noWrap/>
            <w:vAlign w:val="center"/>
            <w:hideMark/>
          </w:tcPr>
          <w:p w14:paraId="641FBE04" w14:textId="6E968CF5" w:rsidR="00A01CAC" w:rsidRPr="0095040D" w:rsidRDefault="00A01CAC" w:rsidP="00A01CAC">
            <w:pPr>
              <w:spacing w:after="0" w:line="240" w:lineRule="auto"/>
              <w:rPr>
                <w:rFonts w:ascii="Arial" w:hAnsi="Arial" w:cs="Arial"/>
                <w:b/>
                <w:sz w:val="20"/>
                <w:szCs w:val="20"/>
                <w:lang w:val="en-US"/>
              </w:rPr>
            </w:pPr>
            <w:r w:rsidRPr="0095040D">
              <w:rPr>
                <w:rFonts w:ascii="Arial" w:hAnsi="Arial" w:cs="Arial"/>
                <w:b/>
                <w:sz w:val="20"/>
                <w:szCs w:val="20"/>
                <w:lang w:val="en-US"/>
              </w:rPr>
              <w:t>Soybeans oil</w:t>
            </w:r>
          </w:p>
        </w:tc>
        <w:tc>
          <w:tcPr>
            <w:tcW w:w="478" w:type="dxa"/>
            <w:gridSpan w:val="2"/>
            <w:tcBorders>
              <w:top w:val="nil"/>
              <w:left w:val="nil"/>
              <w:bottom w:val="nil"/>
              <w:right w:val="nil"/>
            </w:tcBorders>
            <w:shd w:val="clear" w:color="auto" w:fill="auto"/>
            <w:noWrap/>
            <w:vAlign w:val="center"/>
            <w:hideMark/>
          </w:tcPr>
          <w:p w14:paraId="30C98E33" w14:textId="20AA91DC" w:rsidR="00A01CAC" w:rsidRPr="0095040D" w:rsidRDefault="00A01CAC" w:rsidP="00A01CAC">
            <w:pPr>
              <w:spacing w:after="0" w:line="240" w:lineRule="auto"/>
              <w:rPr>
                <w:rFonts w:ascii="Arial" w:hAnsi="Arial" w:cs="Arial"/>
                <w:sz w:val="20"/>
                <w:szCs w:val="20"/>
                <w:lang w:val="en-US"/>
              </w:rPr>
            </w:pPr>
          </w:p>
        </w:tc>
        <w:tc>
          <w:tcPr>
            <w:tcW w:w="1044" w:type="dxa"/>
            <w:tcBorders>
              <w:top w:val="nil"/>
              <w:left w:val="nil"/>
              <w:bottom w:val="nil"/>
              <w:right w:val="nil"/>
            </w:tcBorders>
            <w:shd w:val="clear" w:color="auto" w:fill="auto"/>
            <w:noWrap/>
            <w:vAlign w:val="center"/>
          </w:tcPr>
          <w:p w14:paraId="3F60FFD6" w14:textId="4AAA6C54" w:rsidR="00A01CAC" w:rsidRPr="0095040D" w:rsidRDefault="00A01CAC" w:rsidP="00A01CAC">
            <w:pPr>
              <w:spacing w:after="0" w:line="240" w:lineRule="auto"/>
              <w:jc w:val="center"/>
              <w:rPr>
                <w:rFonts w:ascii="Arial" w:hAnsi="Arial" w:cs="Arial"/>
                <w:sz w:val="20"/>
                <w:szCs w:val="20"/>
                <w:lang w:val="en-US"/>
              </w:rPr>
            </w:pPr>
          </w:p>
        </w:tc>
        <w:tc>
          <w:tcPr>
            <w:tcW w:w="1240" w:type="dxa"/>
            <w:tcBorders>
              <w:top w:val="nil"/>
              <w:left w:val="nil"/>
              <w:bottom w:val="nil"/>
              <w:right w:val="nil"/>
            </w:tcBorders>
            <w:shd w:val="clear" w:color="auto" w:fill="auto"/>
            <w:noWrap/>
            <w:vAlign w:val="center"/>
          </w:tcPr>
          <w:p w14:paraId="07438F42" w14:textId="070AB054" w:rsidR="00A01CAC" w:rsidRPr="0095040D" w:rsidRDefault="00A01CAC" w:rsidP="00A01CAC">
            <w:pPr>
              <w:spacing w:after="0" w:line="240" w:lineRule="auto"/>
              <w:jc w:val="center"/>
              <w:rPr>
                <w:rFonts w:ascii="Arial" w:hAnsi="Arial" w:cs="Arial"/>
                <w:sz w:val="20"/>
                <w:szCs w:val="20"/>
                <w:lang w:val="en-US"/>
              </w:rPr>
            </w:pPr>
          </w:p>
        </w:tc>
        <w:tc>
          <w:tcPr>
            <w:tcW w:w="1159" w:type="dxa"/>
            <w:tcBorders>
              <w:top w:val="nil"/>
              <w:left w:val="nil"/>
              <w:bottom w:val="nil"/>
              <w:right w:val="nil"/>
            </w:tcBorders>
            <w:shd w:val="clear" w:color="auto" w:fill="auto"/>
            <w:noWrap/>
            <w:vAlign w:val="center"/>
            <w:hideMark/>
          </w:tcPr>
          <w:p w14:paraId="45DB9AA3" w14:textId="401B49E0" w:rsidR="00A01CAC" w:rsidRPr="0095040D" w:rsidRDefault="00A01CAC" w:rsidP="00A01CAC">
            <w:pPr>
              <w:spacing w:after="0" w:line="240" w:lineRule="auto"/>
              <w:jc w:val="center"/>
              <w:rPr>
                <w:rFonts w:ascii="Arial" w:hAnsi="Arial" w:cs="Arial"/>
                <w:sz w:val="20"/>
                <w:szCs w:val="20"/>
                <w:lang w:val="en-US"/>
              </w:rPr>
            </w:pPr>
          </w:p>
        </w:tc>
        <w:tc>
          <w:tcPr>
            <w:tcW w:w="1355" w:type="dxa"/>
            <w:tcBorders>
              <w:top w:val="nil"/>
              <w:left w:val="nil"/>
              <w:bottom w:val="nil"/>
              <w:right w:val="nil"/>
            </w:tcBorders>
            <w:shd w:val="clear" w:color="auto" w:fill="auto"/>
            <w:vAlign w:val="center"/>
            <w:hideMark/>
          </w:tcPr>
          <w:p w14:paraId="14C839E2" w14:textId="71EDFB87" w:rsidR="00A01CAC" w:rsidRPr="0095040D" w:rsidRDefault="00A01CAC" w:rsidP="00A01CAC">
            <w:pPr>
              <w:spacing w:after="0" w:line="240" w:lineRule="auto"/>
              <w:jc w:val="center"/>
              <w:rPr>
                <w:rFonts w:ascii="Arial" w:hAnsi="Arial" w:cs="Arial"/>
                <w:sz w:val="20"/>
                <w:szCs w:val="20"/>
                <w:lang w:val="en-US"/>
              </w:rPr>
            </w:pPr>
          </w:p>
        </w:tc>
        <w:tc>
          <w:tcPr>
            <w:tcW w:w="1059" w:type="dxa"/>
            <w:tcBorders>
              <w:top w:val="nil"/>
              <w:left w:val="nil"/>
              <w:bottom w:val="nil"/>
              <w:right w:val="nil"/>
            </w:tcBorders>
            <w:shd w:val="clear" w:color="auto" w:fill="auto"/>
            <w:vAlign w:val="center"/>
            <w:hideMark/>
          </w:tcPr>
          <w:p w14:paraId="60613E55" w14:textId="51D74C20" w:rsidR="00A01CAC" w:rsidRPr="0095040D" w:rsidRDefault="00A01CAC" w:rsidP="00A01CAC">
            <w:pPr>
              <w:spacing w:after="0" w:line="240" w:lineRule="auto"/>
              <w:jc w:val="center"/>
              <w:rPr>
                <w:rFonts w:ascii="Arial" w:hAnsi="Arial" w:cs="Arial"/>
                <w:sz w:val="20"/>
                <w:szCs w:val="20"/>
                <w:lang w:val="en-US"/>
              </w:rPr>
            </w:pPr>
          </w:p>
        </w:tc>
      </w:tr>
      <w:tr w:rsidR="00A01CAC" w:rsidRPr="0095040D" w14:paraId="0182BE5B" w14:textId="77777777" w:rsidTr="00A01CAC">
        <w:trPr>
          <w:trHeight w:val="338"/>
        </w:trPr>
        <w:tc>
          <w:tcPr>
            <w:tcW w:w="3163" w:type="dxa"/>
            <w:tcBorders>
              <w:top w:val="nil"/>
              <w:left w:val="nil"/>
              <w:bottom w:val="single" w:sz="12" w:space="0" w:color="auto"/>
              <w:right w:val="nil"/>
            </w:tcBorders>
            <w:shd w:val="clear" w:color="auto" w:fill="auto"/>
            <w:noWrap/>
            <w:vAlign w:val="center"/>
            <w:hideMark/>
          </w:tcPr>
          <w:p w14:paraId="7D7ABB1A" w14:textId="76D91329"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parties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12" w:space="0" w:color="auto"/>
              <w:right w:val="nil"/>
            </w:tcBorders>
            <w:shd w:val="clear" w:color="auto" w:fill="auto"/>
            <w:noWrap/>
            <w:vAlign w:val="center"/>
            <w:hideMark/>
          </w:tcPr>
          <w:p w14:paraId="6868C62F" w14:textId="00C0FF3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12" w:space="0" w:color="auto"/>
              <w:right w:val="nil"/>
            </w:tcBorders>
            <w:shd w:val="clear" w:color="auto" w:fill="auto"/>
            <w:noWrap/>
            <w:vAlign w:val="center"/>
          </w:tcPr>
          <w:p w14:paraId="1687EF17" w14:textId="1E7A35D7" w:rsidR="00A01CAC" w:rsidRPr="003C0FC9"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841</w:t>
            </w:r>
          </w:p>
        </w:tc>
        <w:tc>
          <w:tcPr>
            <w:tcW w:w="1240" w:type="dxa"/>
            <w:tcBorders>
              <w:top w:val="nil"/>
              <w:left w:val="nil"/>
              <w:bottom w:val="single" w:sz="12" w:space="0" w:color="auto"/>
              <w:right w:val="nil"/>
            </w:tcBorders>
            <w:shd w:val="clear" w:color="auto" w:fill="auto"/>
            <w:noWrap/>
            <w:vAlign w:val="center"/>
          </w:tcPr>
          <w:p w14:paraId="77EBFC0D" w14:textId="01121478" w:rsidR="00A01CAC" w:rsidRPr="003C0FC9"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2,330</w:t>
            </w:r>
          </w:p>
        </w:tc>
        <w:tc>
          <w:tcPr>
            <w:tcW w:w="1159" w:type="dxa"/>
            <w:tcBorders>
              <w:top w:val="nil"/>
              <w:left w:val="nil"/>
              <w:bottom w:val="single" w:sz="12" w:space="0" w:color="auto"/>
              <w:right w:val="nil"/>
            </w:tcBorders>
            <w:shd w:val="clear" w:color="auto" w:fill="auto"/>
            <w:noWrap/>
            <w:vAlign w:val="center"/>
            <w:hideMark/>
          </w:tcPr>
          <w:p w14:paraId="33316F7E" w14:textId="7DAA91AF" w:rsidR="00A01CAC" w:rsidRPr="0095040D"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w:t>
            </w:r>
            <w:r w:rsidR="00416199">
              <w:rPr>
                <w:rFonts w:ascii="Arial" w:hAnsi="Arial" w:cs="Arial"/>
                <w:sz w:val="20"/>
                <w:szCs w:val="20"/>
                <w:lang w:val="en-US"/>
              </w:rPr>
              <w:t>6</w:t>
            </w:r>
            <w:r>
              <w:rPr>
                <w:rFonts w:ascii="Arial" w:hAnsi="Arial" w:cs="Arial"/>
                <w:sz w:val="20"/>
                <w:szCs w:val="20"/>
                <w:lang w:val="en-US"/>
              </w:rPr>
              <w:t>4</w:t>
            </w:r>
            <w:r w:rsidR="00A01CAC" w:rsidRPr="0095040D">
              <w:rPr>
                <w:rFonts w:ascii="Arial" w:hAnsi="Arial" w:cs="Arial"/>
                <w:sz w:val="20"/>
                <w:szCs w:val="20"/>
                <w:lang w:val="en-US"/>
              </w:rPr>
              <w:t>%</w:t>
            </w:r>
          </w:p>
        </w:tc>
        <w:tc>
          <w:tcPr>
            <w:tcW w:w="1355" w:type="dxa"/>
            <w:tcBorders>
              <w:top w:val="nil"/>
              <w:left w:val="nil"/>
              <w:bottom w:val="single" w:sz="12" w:space="0" w:color="auto"/>
              <w:right w:val="nil"/>
            </w:tcBorders>
            <w:shd w:val="clear" w:color="auto" w:fill="auto"/>
            <w:vAlign w:val="center"/>
            <w:hideMark/>
          </w:tcPr>
          <w:p w14:paraId="0A8EF67D" w14:textId="482B61A8" w:rsidR="00A01CAC" w:rsidRPr="0095040D"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7,381</w:t>
            </w:r>
          </w:p>
        </w:tc>
        <w:tc>
          <w:tcPr>
            <w:tcW w:w="1059" w:type="dxa"/>
            <w:tcBorders>
              <w:top w:val="nil"/>
              <w:left w:val="nil"/>
              <w:bottom w:val="single" w:sz="12" w:space="0" w:color="auto"/>
              <w:right w:val="nil"/>
            </w:tcBorders>
            <w:shd w:val="clear" w:color="auto" w:fill="auto"/>
            <w:vAlign w:val="center"/>
            <w:hideMark/>
          </w:tcPr>
          <w:p w14:paraId="2992D85A" w14:textId="1BB56AA2" w:rsidR="00A01CAC" w:rsidRPr="0095040D" w:rsidRDefault="00005C58" w:rsidP="00A01CAC">
            <w:pPr>
              <w:spacing w:after="0" w:line="240" w:lineRule="auto"/>
              <w:jc w:val="center"/>
              <w:rPr>
                <w:rFonts w:ascii="Arial" w:hAnsi="Arial" w:cs="Arial"/>
                <w:sz w:val="20"/>
                <w:szCs w:val="20"/>
                <w:lang w:val="en-US"/>
              </w:rPr>
            </w:pPr>
            <w:r>
              <w:rPr>
                <w:rFonts w:ascii="Arial" w:hAnsi="Arial" w:cs="Arial"/>
                <w:sz w:val="20"/>
                <w:szCs w:val="20"/>
                <w:lang w:val="en-US"/>
              </w:rPr>
              <w:t>-89</w:t>
            </w:r>
            <w:r w:rsidR="00A01CAC" w:rsidRPr="0095040D">
              <w:rPr>
                <w:rFonts w:ascii="Arial" w:hAnsi="Arial" w:cs="Arial"/>
                <w:sz w:val="20"/>
                <w:szCs w:val="20"/>
                <w:lang w:val="en-US"/>
              </w:rPr>
              <w:t>%</w:t>
            </w:r>
          </w:p>
        </w:tc>
      </w:tr>
    </w:tbl>
    <w:bookmarkEnd w:id="1"/>
    <w:p w14:paraId="4E2E699E" w14:textId="78BCB884" w:rsidR="000F678E" w:rsidRPr="00ED71F2" w:rsidRDefault="0000754C" w:rsidP="001F29D6">
      <w:pPr>
        <w:rPr>
          <w:lang w:val="en-US"/>
        </w:rPr>
      </w:pPr>
      <w:r>
        <w:rPr>
          <w:lang w:val="en-US"/>
        </w:rPr>
        <w:t>* - including culinary products</w:t>
      </w:r>
      <w:r w:rsidR="00ED71F2">
        <w:rPr>
          <w:lang w:val="en-US"/>
        </w:rPr>
        <w:t xml:space="preserve">; ** - </w:t>
      </w:r>
      <w:proofErr w:type="spellStart"/>
      <w:r w:rsidR="00ED71F2">
        <w:rPr>
          <w:lang w:val="en-US"/>
        </w:rPr>
        <w:t>pps</w:t>
      </w:r>
      <w:proofErr w:type="spellEnd"/>
      <w:r w:rsidR="00ED71F2">
        <w:rPr>
          <w:lang w:val="en-US"/>
        </w:rPr>
        <w:t xml:space="preserve"> – percentage points</w:t>
      </w:r>
    </w:p>
    <w:p w14:paraId="6C287FE8" w14:textId="77777777" w:rsidR="000A0017" w:rsidRPr="00731B28" w:rsidRDefault="000A0017" w:rsidP="00924469">
      <w:pPr>
        <w:pStyle w:val="c3"/>
        <w:jc w:val="both"/>
        <w:rPr>
          <w:b/>
          <w:sz w:val="22"/>
          <w:szCs w:val="22"/>
          <w:lang w:val="uk-UA" w:eastAsia="ru-RU"/>
        </w:rPr>
      </w:pPr>
    </w:p>
    <w:p w14:paraId="20F9863B" w14:textId="5520F374" w:rsidR="00924469" w:rsidRPr="00DD4510" w:rsidRDefault="00924469" w:rsidP="00924469">
      <w:pPr>
        <w:pStyle w:val="c3"/>
        <w:jc w:val="both"/>
        <w:rPr>
          <w:b/>
          <w:sz w:val="22"/>
          <w:szCs w:val="22"/>
          <w:lang w:val="uk-UA" w:eastAsia="ru-RU"/>
        </w:rPr>
      </w:pPr>
      <w:r>
        <w:rPr>
          <w:b/>
          <w:sz w:val="22"/>
          <w:szCs w:val="22"/>
          <w:lang w:val="en-US" w:eastAsia="ru-RU"/>
        </w:rPr>
        <w:t xml:space="preserve">2. </w:t>
      </w:r>
      <w:r w:rsidRPr="00861156">
        <w:rPr>
          <w:b/>
          <w:sz w:val="22"/>
          <w:szCs w:val="22"/>
          <w:lang w:val="en-US" w:eastAsia="ru-RU"/>
        </w:rPr>
        <w:t>GRAIN GROWING OPERATIONS</w:t>
      </w:r>
      <w:r>
        <w:rPr>
          <w:b/>
          <w:sz w:val="22"/>
          <w:szCs w:val="22"/>
          <w:lang w:val="en-US" w:eastAsia="ru-RU"/>
        </w:rPr>
        <w:t xml:space="preserve"> UPDATE</w:t>
      </w:r>
    </w:p>
    <w:p w14:paraId="71A25474" w14:textId="77777777" w:rsidR="00FC7834" w:rsidRPr="00FC7834" w:rsidRDefault="00FC7834" w:rsidP="00FC7834">
      <w:pPr>
        <w:pStyle w:val="c3"/>
        <w:jc w:val="both"/>
        <w:rPr>
          <w:rFonts w:eastAsia="Calibri"/>
          <w:sz w:val="22"/>
          <w:szCs w:val="22"/>
          <w:lang w:val="en-US" w:eastAsia="en-US"/>
        </w:rPr>
      </w:pPr>
      <w:r w:rsidRPr="00FC7834">
        <w:rPr>
          <w:rFonts w:eastAsia="Calibri"/>
          <w:sz w:val="22"/>
          <w:szCs w:val="22"/>
          <w:lang w:val="en-US" w:eastAsia="en-US"/>
        </w:rPr>
        <w:t>In 2022 in grain growing operations segment the Company is to harvest around 335,000 hectares of land.</w:t>
      </w:r>
    </w:p>
    <w:p w14:paraId="7B8ECF1D" w14:textId="6A7F6BC9" w:rsidR="00FC7834" w:rsidRPr="00FC7834" w:rsidRDefault="00FC7834" w:rsidP="00FC7834">
      <w:pPr>
        <w:autoSpaceDE w:val="0"/>
        <w:autoSpaceDN w:val="0"/>
        <w:adjustRightInd w:val="0"/>
        <w:spacing w:before="100" w:after="100" w:line="240" w:lineRule="auto"/>
        <w:jc w:val="both"/>
        <w:rPr>
          <w:rFonts w:ascii="Arial" w:hAnsi="Arial" w:cs="Arial"/>
          <w:lang w:val="en-US"/>
        </w:rPr>
      </w:pPr>
      <w:r w:rsidRPr="00FC7834">
        <w:rPr>
          <w:rFonts w:ascii="Arial" w:hAnsi="Arial" w:cs="Arial"/>
          <w:lang w:val="en-US"/>
        </w:rPr>
        <w:t>As of today, MHP’s harvesting campaign of sunflower</w:t>
      </w:r>
      <w:r w:rsidR="00706A7F">
        <w:rPr>
          <w:rFonts w:ascii="Arial" w:hAnsi="Arial" w:cs="Arial"/>
          <w:lang w:val="en-US"/>
        </w:rPr>
        <w:t xml:space="preserve"> and soya</w:t>
      </w:r>
      <w:r w:rsidRPr="00FC7834">
        <w:rPr>
          <w:rFonts w:ascii="Arial" w:hAnsi="Arial" w:cs="Arial"/>
          <w:lang w:val="en-US"/>
        </w:rPr>
        <w:t xml:space="preserve"> is complete, corn harvesting is </w:t>
      </w:r>
      <w:r w:rsidR="00723FE9">
        <w:rPr>
          <w:rFonts w:ascii="Arial" w:hAnsi="Arial" w:cs="Arial"/>
          <w:lang w:val="uk-UA"/>
        </w:rPr>
        <w:t>90</w:t>
      </w:r>
      <w:r w:rsidRPr="00FC7834">
        <w:rPr>
          <w:rFonts w:ascii="Arial" w:hAnsi="Arial" w:cs="Arial"/>
          <w:lang w:val="en-US"/>
        </w:rPr>
        <w:t>% complet</w:t>
      </w:r>
      <w:r w:rsidR="00706A7F">
        <w:rPr>
          <w:rFonts w:ascii="Arial" w:hAnsi="Arial" w:cs="Arial"/>
          <w:lang w:val="en-US"/>
        </w:rPr>
        <w:t>e</w:t>
      </w:r>
      <w:r w:rsidRPr="00FC7834">
        <w:rPr>
          <w:rFonts w:ascii="Arial" w:hAnsi="Arial" w:cs="Arial"/>
          <w:lang w:val="en-US"/>
        </w:rPr>
        <w:t>.</w:t>
      </w:r>
    </w:p>
    <w:p w14:paraId="6C336110" w14:textId="77777777" w:rsidR="00723FE9" w:rsidRDefault="00723FE9" w:rsidP="00924469">
      <w:pPr>
        <w:pStyle w:val="c3"/>
        <w:jc w:val="both"/>
        <w:rPr>
          <w:b/>
          <w:bCs/>
          <w:sz w:val="22"/>
          <w:szCs w:val="22"/>
          <w:lang w:val="en-US"/>
        </w:rPr>
      </w:pPr>
    </w:p>
    <w:p w14:paraId="585F8D05" w14:textId="4B8C9B6C" w:rsidR="00926F6D" w:rsidRPr="00113315" w:rsidRDefault="002B3E92" w:rsidP="00924469">
      <w:pPr>
        <w:pStyle w:val="c3"/>
        <w:jc w:val="both"/>
        <w:rPr>
          <w:b/>
          <w:bCs/>
          <w:sz w:val="22"/>
          <w:szCs w:val="22"/>
          <w:lang w:val="en-US"/>
        </w:rPr>
      </w:pPr>
      <w:r>
        <w:rPr>
          <w:b/>
          <w:bCs/>
          <w:sz w:val="22"/>
          <w:szCs w:val="22"/>
          <w:lang w:val="en-US"/>
        </w:rPr>
        <w:t xml:space="preserve">3. </w:t>
      </w:r>
      <w:r w:rsidR="00C4137F">
        <w:rPr>
          <w:b/>
          <w:bCs/>
          <w:sz w:val="22"/>
          <w:szCs w:val="22"/>
          <w:lang w:val="en-US"/>
        </w:rPr>
        <w:t xml:space="preserve">MEAT PROCESSING AND </w:t>
      </w:r>
      <w:r w:rsidR="00926F6D" w:rsidRPr="00113315">
        <w:rPr>
          <w:b/>
          <w:bCs/>
          <w:sz w:val="22"/>
          <w:szCs w:val="22"/>
          <w:lang w:val="en-US"/>
        </w:rPr>
        <w:t>OTHER AGRI OPERATIONS</w:t>
      </w:r>
      <w:r>
        <w:rPr>
          <w:b/>
          <w:bCs/>
          <w:sz w:val="22"/>
          <w:szCs w:val="22"/>
          <w:lang w:val="en-US"/>
        </w:rPr>
        <w:t xml:space="preserve"> </w:t>
      </w:r>
    </w:p>
    <w:tbl>
      <w:tblPr>
        <w:tblW w:w="5000" w:type="pct"/>
        <w:tblLayout w:type="fixed"/>
        <w:tblLook w:val="04A0" w:firstRow="1" w:lastRow="0" w:firstColumn="1" w:lastColumn="0" w:noHBand="0" w:noVBand="1"/>
      </w:tblPr>
      <w:tblGrid>
        <w:gridCol w:w="3359"/>
        <w:gridCol w:w="257"/>
        <w:gridCol w:w="1347"/>
        <w:gridCol w:w="1416"/>
        <w:gridCol w:w="992"/>
        <w:gridCol w:w="994"/>
        <w:gridCol w:w="990"/>
      </w:tblGrid>
      <w:tr w:rsidR="00F8251D" w:rsidRPr="00F8251D" w14:paraId="306D8588" w14:textId="77777777" w:rsidTr="007F7CF1">
        <w:trPr>
          <w:trHeight w:val="863"/>
        </w:trPr>
        <w:tc>
          <w:tcPr>
            <w:tcW w:w="1795" w:type="pct"/>
            <w:tcBorders>
              <w:top w:val="nil"/>
              <w:left w:val="nil"/>
              <w:bottom w:val="single" w:sz="12" w:space="0" w:color="auto"/>
              <w:right w:val="nil"/>
            </w:tcBorders>
            <w:shd w:val="clear" w:color="auto" w:fill="auto"/>
            <w:vAlign w:val="center"/>
            <w:hideMark/>
          </w:tcPr>
          <w:p w14:paraId="2525492E" w14:textId="77777777" w:rsidR="00F8251D" w:rsidRPr="00F8251D" w:rsidRDefault="00F8251D" w:rsidP="00F8251D">
            <w:pPr>
              <w:spacing w:after="0" w:line="240" w:lineRule="auto"/>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lastRenderedPageBreak/>
              <w:t>Meat processing products and Convenience Food</w:t>
            </w:r>
          </w:p>
        </w:tc>
        <w:tc>
          <w:tcPr>
            <w:tcW w:w="137" w:type="pct"/>
            <w:tcBorders>
              <w:top w:val="nil"/>
              <w:left w:val="nil"/>
              <w:bottom w:val="single" w:sz="12" w:space="0" w:color="auto"/>
              <w:right w:val="nil"/>
            </w:tcBorders>
            <w:shd w:val="clear" w:color="auto" w:fill="auto"/>
            <w:vAlign w:val="center"/>
            <w:hideMark/>
          </w:tcPr>
          <w:p w14:paraId="22753E02" w14:textId="77777777" w:rsidR="00F8251D" w:rsidRPr="00F8251D" w:rsidRDefault="00F8251D" w:rsidP="00F8251D">
            <w:pPr>
              <w:spacing w:after="0" w:line="240" w:lineRule="auto"/>
              <w:jc w:val="both"/>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 </w:t>
            </w:r>
          </w:p>
        </w:tc>
        <w:tc>
          <w:tcPr>
            <w:tcW w:w="720" w:type="pct"/>
            <w:tcBorders>
              <w:top w:val="single" w:sz="12" w:space="0" w:color="auto"/>
              <w:left w:val="nil"/>
              <w:bottom w:val="single" w:sz="12" w:space="0" w:color="auto"/>
              <w:right w:val="nil"/>
            </w:tcBorders>
            <w:shd w:val="clear" w:color="auto" w:fill="auto"/>
            <w:noWrap/>
            <w:vAlign w:val="center"/>
            <w:hideMark/>
          </w:tcPr>
          <w:p w14:paraId="20D640D9" w14:textId="42740A63" w:rsidR="00492FCE" w:rsidRDefault="009D59EE"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Nov</w:t>
            </w:r>
            <w:r w:rsidR="003C0FC9">
              <w:rPr>
                <w:rFonts w:ascii="Arial" w:eastAsia="Times New Roman" w:hAnsi="Arial" w:cs="Arial"/>
                <w:b/>
                <w:bCs/>
                <w:color w:val="000000"/>
                <w:sz w:val="20"/>
                <w:szCs w:val="20"/>
                <w:lang w:val="en-US"/>
              </w:rPr>
              <w:t>ember</w:t>
            </w:r>
          </w:p>
          <w:p w14:paraId="06D89378" w14:textId="152AAA5C"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757" w:type="pct"/>
            <w:tcBorders>
              <w:top w:val="single" w:sz="12" w:space="0" w:color="auto"/>
              <w:left w:val="nil"/>
              <w:bottom w:val="single" w:sz="12" w:space="0" w:color="auto"/>
              <w:right w:val="nil"/>
            </w:tcBorders>
            <w:shd w:val="clear" w:color="auto" w:fill="auto"/>
            <w:noWrap/>
            <w:vAlign w:val="center"/>
            <w:hideMark/>
          </w:tcPr>
          <w:p w14:paraId="4A8236B4" w14:textId="7C25640D" w:rsidR="000A0017" w:rsidRDefault="009D59EE"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Nov</w:t>
            </w:r>
            <w:r w:rsidR="007F7CF1">
              <w:rPr>
                <w:rFonts w:ascii="Arial" w:eastAsia="Times New Roman" w:hAnsi="Arial" w:cs="Arial"/>
                <w:b/>
                <w:bCs/>
                <w:color w:val="000000"/>
                <w:sz w:val="20"/>
                <w:szCs w:val="20"/>
                <w:lang w:val="en-US"/>
              </w:rPr>
              <w:t>ember</w:t>
            </w:r>
          </w:p>
          <w:p w14:paraId="3D9E13AC" w14:textId="73882F0F"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2021</w:t>
            </w:r>
          </w:p>
        </w:tc>
        <w:tc>
          <w:tcPr>
            <w:tcW w:w="530" w:type="pct"/>
            <w:tcBorders>
              <w:top w:val="single" w:sz="12" w:space="0" w:color="auto"/>
              <w:left w:val="nil"/>
              <w:bottom w:val="single" w:sz="12" w:space="0" w:color="auto"/>
              <w:right w:val="nil"/>
            </w:tcBorders>
            <w:shd w:val="clear" w:color="auto" w:fill="auto"/>
            <w:vAlign w:val="center"/>
            <w:hideMark/>
          </w:tcPr>
          <w:p w14:paraId="74658659" w14:textId="77777777" w:rsidR="00F8251D" w:rsidRPr="00F8251D" w:rsidRDefault="00F8251D" w:rsidP="00F8251D">
            <w:pPr>
              <w:spacing w:after="0" w:line="240" w:lineRule="auto"/>
              <w:jc w:val="center"/>
              <w:rPr>
                <w:rFonts w:ascii="Arial" w:eastAsia="Times New Roman" w:hAnsi="Arial" w:cs="Arial"/>
                <w:b/>
                <w:bCs/>
                <w:i/>
                <w:iCs/>
                <w:color w:val="000000"/>
                <w:sz w:val="20"/>
                <w:szCs w:val="20"/>
                <w:lang w:val="en-US"/>
              </w:rPr>
            </w:pPr>
            <w:r w:rsidRPr="00F8251D">
              <w:rPr>
                <w:rFonts w:ascii="Arial" w:eastAsia="Times New Roman" w:hAnsi="Arial" w:cs="Arial"/>
                <w:b/>
                <w:bCs/>
                <w:i/>
                <w:iCs/>
                <w:color w:val="000000"/>
                <w:sz w:val="20"/>
                <w:szCs w:val="20"/>
                <w:lang w:val="en-US"/>
              </w:rPr>
              <w:t>% change YoY</w:t>
            </w:r>
          </w:p>
        </w:tc>
        <w:tc>
          <w:tcPr>
            <w:tcW w:w="531" w:type="pct"/>
            <w:tcBorders>
              <w:top w:val="single" w:sz="12" w:space="0" w:color="auto"/>
              <w:left w:val="nil"/>
              <w:bottom w:val="single" w:sz="12" w:space="0" w:color="auto"/>
              <w:right w:val="nil"/>
            </w:tcBorders>
            <w:shd w:val="clear" w:color="auto" w:fill="auto"/>
            <w:vAlign w:val="center"/>
            <w:hideMark/>
          </w:tcPr>
          <w:p w14:paraId="03492081" w14:textId="75363104" w:rsidR="003C0FC9" w:rsidRPr="009D59EE" w:rsidRDefault="009D59EE" w:rsidP="003C0FC9">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October</w:t>
            </w:r>
          </w:p>
          <w:p w14:paraId="75DFEE81" w14:textId="2770AF1F" w:rsidR="00F8251D" w:rsidRPr="00F8251D" w:rsidRDefault="003C0FC9" w:rsidP="003C0FC9">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529" w:type="pct"/>
            <w:tcBorders>
              <w:top w:val="single" w:sz="12" w:space="0" w:color="auto"/>
              <w:left w:val="nil"/>
              <w:bottom w:val="single" w:sz="12" w:space="0" w:color="auto"/>
              <w:right w:val="nil"/>
            </w:tcBorders>
            <w:shd w:val="clear" w:color="auto" w:fill="auto"/>
            <w:vAlign w:val="center"/>
            <w:hideMark/>
          </w:tcPr>
          <w:p w14:paraId="2ACDB38A" w14:textId="0621F2E9" w:rsidR="00F8251D" w:rsidRPr="009D59EE" w:rsidRDefault="0037600D" w:rsidP="00F8251D">
            <w:pPr>
              <w:spacing w:after="0" w:line="240" w:lineRule="auto"/>
              <w:jc w:val="center"/>
              <w:rPr>
                <w:rFonts w:ascii="Arial" w:eastAsia="Times New Roman" w:hAnsi="Arial" w:cs="Arial"/>
                <w:b/>
                <w:bCs/>
                <w:i/>
                <w:iCs/>
                <w:color w:val="000000"/>
                <w:sz w:val="20"/>
                <w:szCs w:val="20"/>
                <w:lang w:val="uk-UA"/>
              </w:rPr>
            </w:pPr>
            <w:r>
              <w:rPr>
                <w:rFonts w:ascii="Arial" w:eastAsia="Times New Roman" w:hAnsi="Arial" w:cs="Arial"/>
                <w:b/>
                <w:bCs/>
                <w:i/>
                <w:iCs/>
                <w:color w:val="000000"/>
                <w:sz w:val="20"/>
                <w:szCs w:val="20"/>
                <w:lang w:val="en-US"/>
              </w:rPr>
              <w:t>% change MoM</w:t>
            </w:r>
          </w:p>
        </w:tc>
      </w:tr>
      <w:tr w:rsidR="009D59EE" w:rsidRPr="00F8251D" w14:paraId="726DDE6C" w14:textId="77777777" w:rsidTr="007F7CF1">
        <w:trPr>
          <w:trHeight w:val="301"/>
        </w:trPr>
        <w:tc>
          <w:tcPr>
            <w:tcW w:w="1795" w:type="pct"/>
            <w:tcBorders>
              <w:top w:val="nil"/>
              <w:left w:val="nil"/>
              <w:bottom w:val="nil"/>
              <w:right w:val="nil"/>
            </w:tcBorders>
            <w:shd w:val="clear" w:color="auto" w:fill="auto"/>
            <w:noWrap/>
            <w:vAlign w:val="center"/>
            <w:hideMark/>
          </w:tcPr>
          <w:p w14:paraId="74A8886C" w14:textId="77777777" w:rsidR="009D59EE" w:rsidRPr="00F8251D" w:rsidRDefault="009D59EE" w:rsidP="009D59EE">
            <w:pPr>
              <w:spacing w:after="0" w:line="240" w:lineRule="auto"/>
              <w:rPr>
                <w:rFonts w:ascii="Arial" w:eastAsia="Times New Roman" w:hAnsi="Arial" w:cs="Arial"/>
                <w:color w:val="000000"/>
                <w:sz w:val="20"/>
                <w:szCs w:val="20"/>
                <w:lang w:val="en-US"/>
              </w:rPr>
            </w:pPr>
            <w:r w:rsidRPr="00F8251D">
              <w:rPr>
                <w:rFonts w:ascii="Arial" w:eastAsia="Times New Roman" w:hAnsi="Arial" w:cs="Arial"/>
                <w:bCs/>
                <w:color w:val="000000"/>
                <w:sz w:val="20"/>
                <w:szCs w:val="20"/>
                <w:lang w:val="en-US"/>
              </w:rPr>
              <w:t xml:space="preserve">Sales volume, </w:t>
            </w:r>
            <w:proofErr w:type="spellStart"/>
            <w:r w:rsidRPr="00F8251D">
              <w:rPr>
                <w:rFonts w:ascii="Arial" w:eastAsia="Times New Roman" w:hAnsi="Arial" w:cs="Arial"/>
                <w:bCs/>
                <w:color w:val="000000"/>
                <w:sz w:val="20"/>
                <w:szCs w:val="20"/>
                <w:lang w:val="en-US"/>
              </w:rPr>
              <w:t>tonnes</w:t>
            </w:r>
            <w:proofErr w:type="spellEnd"/>
          </w:p>
        </w:tc>
        <w:tc>
          <w:tcPr>
            <w:tcW w:w="137" w:type="pct"/>
            <w:tcBorders>
              <w:top w:val="nil"/>
              <w:left w:val="nil"/>
              <w:bottom w:val="nil"/>
              <w:right w:val="nil"/>
            </w:tcBorders>
            <w:shd w:val="clear" w:color="auto" w:fill="auto"/>
            <w:vAlign w:val="center"/>
            <w:hideMark/>
          </w:tcPr>
          <w:p w14:paraId="00868529" w14:textId="77777777" w:rsidR="009D59EE" w:rsidRPr="00F8251D" w:rsidRDefault="009D59EE" w:rsidP="009D59EE">
            <w:pPr>
              <w:spacing w:after="0" w:line="240" w:lineRule="auto"/>
              <w:rPr>
                <w:rFonts w:ascii="Arial" w:eastAsia="Times New Roman" w:hAnsi="Arial" w:cs="Arial"/>
                <w:color w:val="000000"/>
                <w:sz w:val="20"/>
                <w:szCs w:val="20"/>
                <w:lang w:val="en-US"/>
              </w:rPr>
            </w:pPr>
          </w:p>
        </w:tc>
        <w:tc>
          <w:tcPr>
            <w:tcW w:w="720" w:type="pct"/>
            <w:tcBorders>
              <w:top w:val="nil"/>
              <w:left w:val="nil"/>
              <w:bottom w:val="nil"/>
              <w:right w:val="nil"/>
            </w:tcBorders>
            <w:shd w:val="clear" w:color="auto" w:fill="auto"/>
            <w:noWrap/>
            <w:vAlign w:val="center"/>
            <w:hideMark/>
          </w:tcPr>
          <w:p w14:paraId="43AF14FD" w14:textId="4331F7BD" w:rsidR="009D59EE" w:rsidRPr="00F8251D" w:rsidRDefault="009D59EE" w:rsidP="009D59EE">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2,507</w:t>
            </w:r>
          </w:p>
        </w:tc>
        <w:tc>
          <w:tcPr>
            <w:tcW w:w="757" w:type="pct"/>
            <w:tcBorders>
              <w:top w:val="nil"/>
              <w:left w:val="nil"/>
              <w:bottom w:val="nil"/>
              <w:right w:val="nil"/>
            </w:tcBorders>
            <w:shd w:val="clear" w:color="auto" w:fill="auto"/>
            <w:noWrap/>
            <w:vAlign w:val="center"/>
            <w:hideMark/>
          </w:tcPr>
          <w:p w14:paraId="2EC5165D" w14:textId="69E2D4EB" w:rsidR="009D59EE" w:rsidRPr="00F8251D" w:rsidRDefault="009D59EE" w:rsidP="009D59EE">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4,414</w:t>
            </w:r>
          </w:p>
        </w:tc>
        <w:tc>
          <w:tcPr>
            <w:tcW w:w="530" w:type="pct"/>
            <w:tcBorders>
              <w:top w:val="nil"/>
              <w:left w:val="nil"/>
              <w:bottom w:val="nil"/>
              <w:right w:val="nil"/>
            </w:tcBorders>
            <w:shd w:val="clear" w:color="auto" w:fill="auto"/>
            <w:noWrap/>
            <w:vAlign w:val="center"/>
            <w:hideMark/>
          </w:tcPr>
          <w:p w14:paraId="59F7B4AB" w14:textId="68A41120" w:rsidR="009D59EE" w:rsidRPr="00F8251D" w:rsidRDefault="009D59EE" w:rsidP="009D59EE">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-43</w:t>
            </w:r>
            <w:r w:rsidRPr="00F8251D">
              <w:rPr>
                <w:rFonts w:ascii="Arial" w:eastAsia="Times New Roman" w:hAnsi="Arial" w:cs="Arial"/>
                <w:bCs/>
                <w:i/>
                <w:iCs/>
                <w:color w:val="000000"/>
                <w:sz w:val="20"/>
                <w:szCs w:val="20"/>
                <w:lang w:val="en-US"/>
              </w:rPr>
              <w:t>%</w:t>
            </w:r>
          </w:p>
        </w:tc>
        <w:tc>
          <w:tcPr>
            <w:tcW w:w="531" w:type="pct"/>
            <w:tcBorders>
              <w:top w:val="nil"/>
              <w:left w:val="nil"/>
              <w:bottom w:val="nil"/>
              <w:right w:val="nil"/>
            </w:tcBorders>
            <w:shd w:val="clear" w:color="auto" w:fill="auto"/>
            <w:vAlign w:val="center"/>
            <w:hideMark/>
          </w:tcPr>
          <w:p w14:paraId="0EDAD785" w14:textId="3B402116" w:rsidR="009D59EE" w:rsidRPr="006E5ACF" w:rsidRDefault="009D59EE" w:rsidP="009D59EE">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2,967</w:t>
            </w:r>
          </w:p>
        </w:tc>
        <w:tc>
          <w:tcPr>
            <w:tcW w:w="529" w:type="pct"/>
            <w:tcBorders>
              <w:top w:val="nil"/>
              <w:left w:val="nil"/>
              <w:bottom w:val="nil"/>
              <w:right w:val="nil"/>
            </w:tcBorders>
            <w:shd w:val="clear" w:color="auto" w:fill="auto"/>
            <w:vAlign w:val="center"/>
            <w:hideMark/>
          </w:tcPr>
          <w:p w14:paraId="7C8AC328" w14:textId="1FA13308" w:rsidR="009D59EE" w:rsidRPr="00F8251D" w:rsidRDefault="009D59EE" w:rsidP="009D59EE">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-15</w:t>
            </w:r>
            <w:r w:rsidRPr="00F8251D">
              <w:rPr>
                <w:rFonts w:ascii="Arial" w:eastAsia="Times New Roman" w:hAnsi="Arial" w:cs="Arial"/>
                <w:bCs/>
                <w:i/>
                <w:iCs/>
                <w:color w:val="000000"/>
                <w:sz w:val="20"/>
                <w:szCs w:val="20"/>
                <w:lang w:val="en-US"/>
              </w:rPr>
              <w:t>%</w:t>
            </w:r>
          </w:p>
        </w:tc>
      </w:tr>
      <w:tr w:rsidR="009D59EE" w:rsidRPr="00F8251D" w14:paraId="3C73A031" w14:textId="77777777" w:rsidTr="007F7CF1">
        <w:trPr>
          <w:trHeight w:val="509"/>
        </w:trPr>
        <w:tc>
          <w:tcPr>
            <w:tcW w:w="1795" w:type="pct"/>
            <w:vMerge w:val="restart"/>
            <w:tcBorders>
              <w:top w:val="nil"/>
              <w:left w:val="nil"/>
              <w:bottom w:val="nil"/>
              <w:right w:val="nil"/>
            </w:tcBorders>
            <w:shd w:val="clear" w:color="auto" w:fill="auto"/>
            <w:noWrap/>
            <w:vAlign w:val="center"/>
            <w:hideMark/>
          </w:tcPr>
          <w:p w14:paraId="7BFAD00A" w14:textId="77777777" w:rsidR="009D59EE" w:rsidRPr="0000754C" w:rsidRDefault="009D59EE" w:rsidP="009D59EE">
            <w:pPr>
              <w:spacing w:after="0" w:line="240" w:lineRule="auto"/>
              <w:rPr>
                <w:rFonts w:ascii="Arial" w:eastAsia="Times New Roman" w:hAnsi="Arial" w:cs="Arial"/>
                <w:color w:val="000000"/>
                <w:sz w:val="20"/>
                <w:szCs w:val="20"/>
                <w:lang w:val="nl-NL"/>
              </w:rPr>
            </w:pPr>
            <w:r w:rsidRPr="00F8251D">
              <w:rPr>
                <w:rFonts w:ascii="Arial" w:eastAsia="Times New Roman" w:hAnsi="Arial" w:cs="Arial"/>
                <w:color w:val="000000"/>
                <w:sz w:val="20"/>
                <w:szCs w:val="20"/>
                <w:lang w:val="nl-NL"/>
              </w:rPr>
              <w:t>Price per 1 kg net VAT, UAH</w:t>
            </w:r>
          </w:p>
        </w:tc>
        <w:tc>
          <w:tcPr>
            <w:tcW w:w="137" w:type="pct"/>
            <w:vMerge w:val="restart"/>
            <w:tcBorders>
              <w:top w:val="nil"/>
              <w:left w:val="nil"/>
              <w:bottom w:val="nil"/>
              <w:right w:val="nil"/>
            </w:tcBorders>
            <w:shd w:val="clear" w:color="auto" w:fill="auto"/>
            <w:vAlign w:val="center"/>
            <w:hideMark/>
          </w:tcPr>
          <w:p w14:paraId="600C04BE" w14:textId="77777777" w:rsidR="009D59EE" w:rsidRPr="0000754C" w:rsidRDefault="009D59EE" w:rsidP="009D59EE">
            <w:pPr>
              <w:spacing w:after="0" w:line="240" w:lineRule="auto"/>
              <w:rPr>
                <w:rFonts w:ascii="Arial" w:eastAsia="Times New Roman" w:hAnsi="Arial" w:cs="Arial"/>
                <w:color w:val="000000"/>
                <w:sz w:val="20"/>
                <w:szCs w:val="20"/>
                <w:lang w:val="nl-NL"/>
              </w:rPr>
            </w:pPr>
          </w:p>
        </w:tc>
        <w:tc>
          <w:tcPr>
            <w:tcW w:w="720" w:type="pct"/>
            <w:vMerge w:val="restart"/>
            <w:tcBorders>
              <w:top w:val="nil"/>
              <w:left w:val="nil"/>
              <w:bottom w:val="nil"/>
              <w:right w:val="nil"/>
            </w:tcBorders>
            <w:shd w:val="clear" w:color="auto" w:fill="auto"/>
            <w:noWrap/>
            <w:vAlign w:val="center"/>
            <w:hideMark/>
          </w:tcPr>
          <w:p w14:paraId="481EE9A1" w14:textId="68AE141D" w:rsidR="009D59EE" w:rsidRPr="00492FCE" w:rsidRDefault="009D59EE" w:rsidP="009D59EE">
            <w:pPr>
              <w:spacing w:after="0" w:line="240" w:lineRule="auto"/>
              <w:jc w:val="center"/>
              <w:rPr>
                <w:rFonts w:ascii="Arial" w:eastAsia="Times New Roman" w:hAnsi="Arial" w:cs="Arial"/>
                <w:bCs/>
                <w:color w:val="000000"/>
                <w:sz w:val="20"/>
                <w:szCs w:val="20"/>
                <w:lang w:val="nl-NL"/>
              </w:rPr>
            </w:pPr>
            <w:r>
              <w:rPr>
                <w:rFonts w:ascii="Arial" w:eastAsia="Times New Roman" w:hAnsi="Arial" w:cs="Arial"/>
                <w:bCs/>
                <w:color w:val="000000"/>
                <w:sz w:val="20"/>
                <w:szCs w:val="20"/>
                <w:lang w:val="nl-NL"/>
              </w:rPr>
              <w:t>91.35</w:t>
            </w:r>
          </w:p>
        </w:tc>
        <w:tc>
          <w:tcPr>
            <w:tcW w:w="757" w:type="pct"/>
            <w:vMerge w:val="restart"/>
            <w:tcBorders>
              <w:top w:val="nil"/>
              <w:left w:val="nil"/>
              <w:bottom w:val="nil"/>
              <w:right w:val="nil"/>
            </w:tcBorders>
            <w:shd w:val="clear" w:color="auto" w:fill="auto"/>
            <w:noWrap/>
            <w:vAlign w:val="center"/>
            <w:hideMark/>
          </w:tcPr>
          <w:p w14:paraId="64F5A1F3" w14:textId="7451FE45" w:rsidR="009D59EE" w:rsidRPr="00F8251D" w:rsidRDefault="009D59EE" w:rsidP="009D59EE">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74.46</w:t>
            </w:r>
          </w:p>
        </w:tc>
        <w:tc>
          <w:tcPr>
            <w:tcW w:w="530" w:type="pct"/>
            <w:vMerge w:val="restart"/>
            <w:tcBorders>
              <w:top w:val="nil"/>
              <w:left w:val="nil"/>
              <w:bottom w:val="nil"/>
              <w:right w:val="nil"/>
            </w:tcBorders>
            <w:shd w:val="clear" w:color="auto" w:fill="auto"/>
            <w:noWrap/>
            <w:vAlign w:val="center"/>
            <w:hideMark/>
          </w:tcPr>
          <w:p w14:paraId="3E52C6A9" w14:textId="07693332" w:rsidR="009D59EE" w:rsidRPr="00F8251D" w:rsidRDefault="009D59EE" w:rsidP="009D59EE">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i/>
                <w:iCs/>
                <w:color w:val="000000"/>
                <w:sz w:val="20"/>
                <w:szCs w:val="20"/>
                <w:lang w:val="en-US"/>
              </w:rPr>
              <w:t>23</w:t>
            </w:r>
            <w:r w:rsidRPr="00F8251D">
              <w:rPr>
                <w:rFonts w:ascii="Arial" w:eastAsia="Times New Roman" w:hAnsi="Arial" w:cs="Arial"/>
                <w:i/>
                <w:iCs/>
                <w:color w:val="000000"/>
                <w:sz w:val="20"/>
                <w:szCs w:val="20"/>
                <w:lang w:val="en-US"/>
              </w:rPr>
              <w:t>%</w:t>
            </w:r>
          </w:p>
        </w:tc>
        <w:tc>
          <w:tcPr>
            <w:tcW w:w="531" w:type="pct"/>
            <w:vMerge w:val="restart"/>
            <w:tcBorders>
              <w:top w:val="nil"/>
              <w:left w:val="nil"/>
              <w:bottom w:val="nil"/>
              <w:right w:val="nil"/>
            </w:tcBorders>
            <w:shd w:val="clear" w:color="auto" w:fill="auto"/>
            <w:vAlign w:val="center"/>
            <w:hideMark/>
          </w:tcPr>
          <w:p w14:paraId="089C2401" w14:textId="5119E43E" w:rsidR="009D59EE" w:rsidRPr="00F8251D" w:rsidRDefault="009D59EE" w:rsidP="009D59EE">
            <w:pPr>
              <w:spacing w:after="0" w:line="240" w:lineRule="auto"/>
              <w:jc w:val="center"/>
              <w:rPr>
                <w:rFonts w:ascii="Arial" w:eastAsia="Times New Roman" w:hAnsi="Arial" w:cs="Arial"/>
                <w:color w:val="000000"/>
                <w:sz w:val="20"/>
                <w:szCs w:val="20"/>
                <w:lang w:val="uk-UA"/>
              </w:rPr>
            </w:pPr>
            <w:r>
              <w:rPr>
                <w:rFonts w:ascii="Arial" w:eastAsia="Times New Roman" w:hAnsi="Arial" w:cs="Arial"/>
                <w:bCs/>
                <w:color w:val="000000"/>
                <w:sz w:val="20"/>
                <w:szCs w:val="20"/>
                <w:lang w:val="nl-NL"/>
              </w:rPr>
              <w:t>83.06</w:t>
            </w:r>
          </w:p>
        </w:tc>
        <w:tc>
          <w:tcPr>
            <w:tcW w:w="529" w:type="pct"/>
            <w:vMerge w:val="restart"/>
            <w:tcBorders>
              <w:top w:val="nil"/>
              <w:left w:val="nil"/>
              <w:bottom w:val="nil"/>
              <w:right w:val="nil"/>
            </w:tcBorders>
            <w:shd w:val="clear" w:color="auto" w:fill="auto"/>
            <w:vAlign w:val="center"/>
            <w:hideMark/>
          </w:tcPr>
          <w:p w14:paraId="691DEF56" w14:textId="7EB9FC81" w:rsidR="009D59EE" w:rsidRPr="00F8251D" w:rsidRDefault="009D59EE" w:rsidP="009D59EE">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10</w:t>
            </w:r>
            <w:r w:rsidRPr="00F8251D">
              <w:rPr>
                <w:rFonts w:ascii="Arial" w:eastAsia="Times New Roman" w:hAnsi="Arial" w:cs="Arial"/>
                <w:bCs/>
                <w:i/>
                <w:iCs/>
                <w:color w:val="000000"/>
                <w:sz w:val="20"/>
                <w:szCs w:val="20"/>
                <w:lang w:val="en-US"/>
              </w:rPr>
              <w:t>%</w:t>
            </w:r>
          </w:p>
        </w:tc>
      </w:tr>
      <w:tr w:rsidR="00F8251D" w:rsidRPr="00F8251D" w14:paraId="0C9C183E" w14:textId="77777777" w:rsidTr="007F7CF1">
        <w:trPr>
          <w:trHeight w:val="509"/>
        </w:trPr>
        <w:tc>
          <w:tcPr>
            <w:tcW w:w="1795" w:type="pct"/>
            <w:vMerge/>
            <w:tcBorders>
              <w:top w:val="nil"/>
              <w:left w:val="nil"/>
              <w:bottom w:val="nil"/>
              <w:right w:val="nil"/>
            </w:tcBorders>
            <w:vAlign w:val="center"/>
            <w:hideMark/>
          </w:tcPr>
          <w:p w14:paraId="3AD54B7F"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137" w:type="pct"/>
            <w:vMerge/>
            <w:tcBorders>
              <w:top w:val="nil"/>
              <w:left w:val="nil"/>
              <w:bottom w:val="nil"/>
              <w:right w:val="nil"/>
            </w:tcBorders>
            <w:vAlign w:val="center"/>
            <w:hideMark/>
          </w:tcPr>
          <w:p w14:paraId="23BE1CD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720" w:type="pct"/>
            <w:vMerge/>
            <w:tcBorders>
              <w:top w:val="nil"/>
              <w:left w:val="nil"/>
              <w:bottom w:val="nil"/>
              <w:right w:val="nil"/>
            </w:tcBorders>
            <w:vAlign w:val="center"/>
            <w:hideMark/>
          </w:tcPr>
          <w:p w14:paraId="4F65CF9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757" w:type="pct"/>
            <w:vMerge/>
            <w:tcBorders>
              <w:top w:val="nil"/>
              <w:left w:val="nil"/>
              <w:bottom w:val="nil"/>
              <w:right w:val="nil"/>
            </w:tcBorders>
            <w:vAlign w:val="center"/>
            <w:hideMark/>
          </w:tcPr>
          <w:p w14:paraId="0FDA432E"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30" w:type="pct"/>
            <w:vMerge/>
            <w:tcBorders>
              <w:top w:val="nil"/>
              <w:left w:val="nil"/>
              <w:bottom w:val="nil"/>
              <w:right w:val="nil"/>
            </w:tcBorders>
            <w:vAlign w:val="center"/>
            <w:hideMark/>
          </w:tcPr>
          <w:p w14:paraId="434FF555"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c>
          <w:tcPr>
            <w:tcW w:w="531" w:type="pct"/>
            <w:vMerge/>
            <w:tcBorders>
              <w:top w:val="nil"/>
              <w:left w:val="nil"/>
              <w:bottom w:val="nil"/>
              <w:right w:val="nil"/>
            </w:tcBorders>
            <w:vAlign w:val="center"/>
            <w:hideMark/>
          </w:tcPr>
          <w:p w14:paraId="6D838B81"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29" w:type="pct"/>
            <w:vMerge/>
            <w:tcBorders>
              <w:top w:val="nil"/>
              <w:left w:val="nil"/>
              <w:bottom w:val="nil"/>
              <w:right w:val="nil"/>
            </w:tcBorders>
            <w:vAlign w:val="center"/>
            <w:hideMark/>
          </w:tcPr>
          <w:p w14:paraId="6A8BB498"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r>
    </w:tbl>
    <w:p w14:paraId="47E66BA9" w14:textId="53DF01CA" w:rsidR="00A1377A" w:rsidRPr="00113315" w:rsidRDefault="00A1377A" w:rsidP="00A1377A">
      <w:pPr>
        <w:spacing w:before="100" w:beforeAutospacing="1" w:after="100" w:afterAutospacing="1"/>
        <w:outlineLvl w:val="0"/>
        <w:rPr>
          <w:rFonts w:ascii="Arial" w:hAnsi="Arial" w:cs="Arial"/>
          <w:b/>
          <w:bCs/>
          <w:color w:val="000000" w:themeColor="text1"/>
          <w:lang w:val="en-GB"/>
        </w:rPr>
      </w:pPr>
      <w:r w:rsidRPr="00113315">
        <w:rPr>
          <w:rFonts w:ascii="Arial" w:hAnsi="Arial" w:cs="Arial"/>
          <w:b/>
          <w:bCs/>
          <w:color w:val="000000" w:themeColor="text1"/>
          <w:lang w:val="en-GB"/>
        </w:rPr>
        <w:t>For further information and Investor Relations enquiries please contact:</w:t>
      </w:r>
    </w:p>
    <w:tbl>
      <w:tblPr>
        <w:tblW w:w="0" w:type="auto"/>
        <w:tblInd w:w="-106" w:type="dxa"/>
        <w:tblLayout w:type="fixed"/>
        <w:tblLook w:val="04A0" w:firstRow="1" w:lastRow="0" w:firstColumn="1" w:lastColumn="0" w:noHBand="0" w:noVBand="1"/>
      </w:tblPr>
      <w:tblGrid>
        <w:gridCol w:w="5328"/>
        <w:gridCol w:w="3060"/>
      </w:tblGrid>
      <w:tr w:rsidR="00A1377A" w:rsidRPr="00CD602D" w14:paraId="4C2D62B6" w14:textId="77777777" w:rsidTr="00E92CD6">
        <w:trPr>
          <w:trHeight w:val="664"/>
        </w:trPr>
        <w:tc>
          <w:tcPr>
            <w:tcW w:w="5328" w:type="dxa"/>
          </w:tcPr>
          <w:p w14:paraId="6DBD1F6A" w14:textId="77777777" w:rsidR="00A1377A" w:rsidRPr="00113315" w:rsidRDefault="00A1377A" w:rsidP="00E92CD6">
            <w:pPr>
              <w:rPr>
                <w:rFonts w:ascii="Arial" w:hAnsi="Arial" w:cs="Arial"/>
                <w:color w:val="000000" w:themeColor="text1"/>
                <w:lang w:val="en-US"/>
              </w:rPr>
            </w:pPr>
          </w:p>
          <w:p w14:paraId="0B6B0A5D" w14:textId="77777777" w:rsidR="00A1377A" w:rsidRPr="00113315" w:rsidRDefault="00A1377A" w:rsidP="00E92CD6">
            <w:pPr>
              <w:rPr>
                <w:rFonts w:ascii="Arial" w:hAnsi="Arial" w:cs="Arial"/>
                <w:color w:val="000000" w:themeColor="text1"/>
                <w:lang w:val="en-US"/>
              </w:rPr>
            </w:pPr>
          </w:p>
          <w:p w14:paraId="24795825" w14:textId="45C59F6F" w:rsidR="00A1377A" w:rsidRPr="00113315" w:rsidRDefault="00A1377A" w:rsidP="00E92CD6">
            <w:pPr>
              <w:rPr>
                <w:rFonts w:ascii="Arial" w:hAnsi="Arial" w:cs="Arial"/>
                <w:color w:val="000000" w:themeColor="text1"/>
              </w:rPr>
            </w:pPr>
            <w:r w:rsidRPr="00113315">
              <w:rPr>
                <w:rFonts w:ascii="Arial" w:hAnsi="Arial" w:cs="Arial"/>
                <w:color w:val="000000" w:themeColor="text1"/>
                <w:lang w:val="en-US"/>
              </w:rPr>
              <w:t>Anastasiya Sobotyuk</w:t>
            </w:r>
            <w:r w:rsidRPr="00113315">
              <w:rPr>
                <w:rFonts w:ascii="Arial" w:hAnsi="Arial" w:cs="Arial"/>
                <w:color w:val="000000" w:themeColor="text1"/>
              </w:rPr>
              <w:t xml:space="preserve">         </w:t>
            </w:r>
          </w:p>
        </w:tc>
        <w:tc>
          <w:tcPr>
            <w:tcW w:w="3060" w:type="dxa"/>
          </w:tcPr>
          <w:p w14:paraId="5E374C6C" w14:textId="77777777" w:rsidR="00A1377A" w:rsidRPr="00113315" w:rsidRDefault="00A1377A" w:rsidP="00E92CD6">
            <w:pPr>
              <w:tabs>
                <w:tab w:val="left" w:pos="237"/>
              </w:tabs>
              <w:rPr>
                <w:rFonts w:ascii="Arial" w:hAnsi="Arial" w:cs="Arial"/>
                <w:color w:val="000000" w:themeColor="text1"/>
              </w:rPr>
            </w:pPr>
          </w:p>
          <w:p w14:paraId="52BB07D3" w14:textId="77777777" w:rsidR="00416199" w:rsidRDefault="00416199" w:rsidP="00E92CD6">
            <w:pPr>
              <w:tabs>
                <w:tab w:val="left" w:pos="237"/>
              </w:tabs>
              <w:rPr>
                <w:rFonts w:ascii="Arial" w:hAnsi="Arial" w:cs="Arial"/>
                <w:color w:val="000000" w:themeColor="text1"/>
              </w:rPr>
            </w:pPr>
          </w:p>
          <w:p w14:paraId="4344FAE5" w14:textId="22CDF84B" w:rsidR="00675ED9" w:rsidRPr="00AD747C" w:rsidRDefault="00675ED9" w:rsidP="00E92CD6">
            <w:pPr>
              <w:tabs>
                <w:tab w:val="left" w:pos="237"/>
              </w:tabs>
              <w:rPr>
                <w:rFonts w:ascii="Arial" w:hAnsi="Arial" w:cs="Arial"/>
                <w:color w:val="000000" w:themeColor="text1"/>
              </w:rPr>
            </w:pPr>
            <w:r w:rsidRPr="00675ED9">
              <w:rPr>
                <w:rFonts w:ascii="Arial" w:hAnsi="Arial" w:cs="Arial"/>
                <w:color w:val="000000" w:themeColor="text1"/>
              </w:rPr>
              <w:t>+3</w:t>
            </w:r>
            <w:r w:rsidR="00CD602D" w:rsidRPr="00AD747C">
              <w:rPr>
                <w:rFonts w:ascii="Arial" w:hAnsi="Arial" w:cs="Arial"/>
                <w:color w:val="000000" w:themeColor="text1"/>
              </w:rPr>
              <w:t>57 99 76 71 26</w:t>
            </w:r>
          </w:p>
          <w:p w14:paraId="4A67D062" w14:textId="77777777" w:rsidR="00A1377A" w:rsidRPr="00AD747C" w:rsidRDefault="006658FA" w:rsidP="00E92CD6">
            <w:pPr>
              <w:tabs>
                <w:tab w:val="left" w:pos="237"/>
              </w:tabs>
              <w:rPr>
                <w:rFonts w:ascii="Arial" w:hAnsi="Arial" w:cs="Arial"/>
                <w:color w:val="000000" w:themeColor="text1"/>
              </w:rPr>
            </w:pPr>
            <w:hyperlink r:id="rId9" w:history="1">
              <w:r w:rsidR="00A1377A" w:rsidRPr="0037600D">
                <w:rPr>
                  <w:rStyle w:val="a8"/>
                  <w:rFonts w:ascii="Arial" w:hAnsi="Arial" w:cs="Arial"/>
                  <w:lang w:val="en-US"/>
                </w:rPr>
                <w:t>a</w:t>
              </w:r>
              <w:r w:rsidR="00A1377A" w:rsidRPr="00AD747C">
                <w:rPr>
                  <w:rStyle w:val="a8"/>
                  <w:rFonts w:ascii="Arial" w:hAnsi="Arial" w:cs="Arial"/>
                </w:rPr>
                <w:t>.</w:t>
              </w:r>
              <w:r w:rsidR="00A1377A" w:rsidRPr="0037600D">
                <w:rPr>
                  <w:rStyle w:val="a8"/>
                  <w:rFonts w:ascii="Arial" w:hAnsi="Arial" w:cs="Arial"/>
                  <w:lang w:val="en-US"/>
                </w:rPr>
                <w:t>sobotyuk</w:t>
              </w:r>
              <w:r w:rsidR="00A1377A" w:rsidRPr="00AD747C">
                <w:rPr>
                  <w:rStyle w:val="a8"/>
                  <w:rFonts w:ascii="Arial" w:hAnsi="Arial" w:cs="Arial"/>
                </w:rPr>
                <w:t>@</w:t>
              </w:r>
              <w:r w:rsidR="00A1377A" w:rsidRPr="0037600D">
                <w:rPr>
                  <w:rStyle w:val="a8"/>
                  <w:rFonts w:ascii="Arial" w:hAnsi="Arial" w:cs="Arial"/>
                  <w:lang w:val="en-US"/>
                </w:rPr>
                <w:t>mhp</w:t>
              </w:r>
              <w:r w:rsidR="00A1377A" w:rsidRPr="00AD747C">
                <w:rPr>
                  <w:rStyle w:val="a8"/>
                  <w:rFonts w:ascii="Arial" w:hAnsi="Arial" w:cs="Arial"/>
                </w:rPr>
                <w:t>.</w:t>
              </w:r>
              <w:r w:rsidR="00A1377A" w:rsidRPr="0037600D">
                <w:rPr>
                  <w:rStyle w:val="a8"/>
                  <w:rFonts w:ascii="Arial" w:hAnsi="Arial" w:cs="Arial"/>
                  <w:lang w:val="en-US"/>
                </w:rPr>
                <w:t>com</w:t>
              </w:r>
              <w:r w:rsidR="00A1377A" w:rsidRPr="00AD747C">
                <w:rPr>
                  <w:rStyle w:val="a8"/>
                  <w:rFonts w:ascii="Arial" w:hAnsi="Arial" w:cs="Arial"/>
                </w:rPr>
                <w:t>.</w:t>
              </w:r>
              <w:proofErr w:type="spellStart"/>
              <w:r w:rsidR="00A1377A" w:rsidRPr="0037600D">
                <w:rPr>
                  <w:rStyle w:val="a8"/>
                  <w:rFonts w:ascii="Arial" w:hAnsi="Arial" w:cs="Arial"/>
                  <w:lang w:val="en-US"/>
                </w:rPr>
                <w:t>ua</w:t>
              </w:r>
              <w:proofErr w:type="spellEnd"/>
            </w:hyperlink>
          </w:p>
          <w:p w14:paraId="0BB22475" w14:textId="77777777" w:rsidR="00A1377A" w:rsidRPr="00AD747C" w:rsidRDefault="00A1377A" w:rsidP="00E92CD6">
            <w:pPr>
              <w:tabs>
                <w:tab w:val="left" w:pos="237"/>
              </w:tabs>
              <w:rPr>
                <w:rFonts w:ascii="Arial" w:hAnsi="Arial" w:cs="Arial"/>
                <w:color w:val="000000" w:themeColor="text1"/>
              </w:rPr>
            </w:pPr>
          </w:p>
        </w:tc>
      </w:tr>
      <w:tr w:rsidR="00A1377A" w:rsidRPr="00CD602D" w14:paraId="0A72E9DE" w14:textId="77777777" w:rsidTr="00E92CD6">
        <w:trPr>
          <w:trHeight w:val="664"/>
        </w:trPr>
        <w:tc>
          <w:tcPr>
            <w:tcW w:w="5328" w:type="dxa"/>
          </w:tcPr>
          <w:p w14:paraId="0430C187" w14:textId="5302C5DC" w:rsidR="00A1377A" w:rsidRPr="00AD747C" w:rsidRDefault="00A1377A" w:rsidP="00E92CD6">
            <w:pPr>
              <w:rPr>
                <w:rFonts w:ascii="Arial" w:hAnsi="Arial" w:cs="Arial"/>
                <w:color w:val="000000" w:themeColor="text1"/>
              </w:rPr>
            </w:pPr>
          </w:p>
        </w:tc>
        <w:tc>
          <w:tcPr>
            <w:tcW w:w="3060" w:type="dxa"/>
          </w:tcPr>
          <w:p w14:paraId="21F33632" w14:textId="106021F1" w:rsidR="00A1377A" w:rsidRPr="00AD747C" w:rsidRDefault="00A1377A" w:rsidP="00E92CD6">
            <w:pPr>
              <w:tabs>
                <w:tab w:val="left" w:pos="237"/>
              </w:tabs>
              <w:rPr>
                <w:rFonts w:ascii="Arial" w:hAnsi="Arial" w:cs="Arial"/>
                <w:color w:val="000000" w:themeColor="text1"/>
              </w:rPr>
            </w:pPr>
          </w:p>
        </w:tc>
      </w:tr>
    </w:tbl>
    <w:p w14:paraId="30E66E5F" w14:textId="19FB85C4" w:rsidR="00A1377A" w:rsidRPr="00113315" w:rsidRDefault="00A1377A" w:rsidP="00A1377A">
      <w:pPr>
        <w:pStyle w:val="a3"/>
        <w:spacing w:before="0" w:after="0"/>
        <w:rPr>
          <w:b/>
          <w:color w:val="000000" w:themeColor="text1"/>
        </w:rPr>
      </w:pPr>
      <w:r w:rsidRPr="00113315">
        <w:rPr>
          <w:b/>
          <w:color w:val="000000" w:themeColor="text1"/>
        </w:rPr>
        <w:t>Notes to Editors:</w:t>
      </w:r>
    </w:p>
    <w:p w14:paraId="132510D9" w14:textId="77777777" w:rsidR="00A1377A" w:rsidRPr="00113315" w:rsidRDefault="00A1377A" w:rsidP="00A1377A">
      <w:pPr>
        <w:pStyle w:val="a3"/>
        <w:spacing w:before="0" w:after="0"/>
        <w:rPr>
          <w:b/>
          <w:color w:val="000000" w:themeColor="text1"/>
        </w:rPr>
      </w:pPr>
    </w:p>
    <w:p w14:paraId="09B082FB" w14:textId="77777777" w:rsidR="00A1377A" w:rsidRPr="00113315" w:rsidRDefault="00A1377A" w:rsidP="00A1377A">
      <w:pPr>
        <w:suppressAutoHyphens/>
        <w:outlineLvl w:val="0"/>
        <w:rPr>
          <w:rFonts w:ascii="Arial" w:hAnsi="Arial" w:cs="Arial"/>
          <w:b/>
          <w:bCs/>
          <w:color w:val="000000" w:themeColor="text1"/>
          <w:spacing w:val="-2"/>
          <w:lang w:val="en-US"/>
        </w:rPr>
      </w:pPr>
      <w:r w:rsidRPr="00113315">
        <w:rPr>
          <w:rFonts w:ascii="Arial" w:hAnsi="Arial" w:cs="Arial"/>
          <w:b/>
          <w:bCs/>
          <w:color w:val="000000" w:themeColor="text1"/>
          <w:spacing w:val="-2"/>
          <w:lang w:val="en-US"/>
        </w:rPr>
        <w:t>About MHP</w:t>
      </w:r>
    </w:p>
    <w:p w14:paraId="249E5725" w14:textId="5D779F61" w:rsidR="00F73FD6" w:rsidRDefault="00F73FD6" w:rsidP="00F73FD6">
      <w:pPr>
        <w:pStyle w:val="bj"/>
        <w:rPr>
          <w:rFonts w:ascii="Arial" w:hAnsi="Arial" w:cs="Arial"/>
        </w:rPr>
      </w:pPr>
      <w:bookmarkStart w:id="2" w:name="_DV_M194"/>
      <w:bookmarkEnd w:id="2"/>
      <w:r w:rsidRPr="00F73FD6">
        <w:rPr>
          <w:rFonts w:ascii="Arial" w:hAnsi="Arial" w:cs="Arial"/>
        </w:rPr>
        <w:t>MHP</w:t>
      </w:r>
      <w:r w:rsidR="00890AAF">
        <w:rPr>
          <w:rFonts w:ascii="Arial" w:hAnsi="Arial" w:cs="Arial"/>
        </w:rPr>
        <w:t xml:space="preserve"> SE</w:t>
      </w:r>
      <w:r w:rsidRPr="00F73FD6">
        <w:rPr>
          <w:rFonts w:ascii="Arial" w:hAnsi="Arial" w:cs="Arial"/>
        </w:rPr>
        <w:t xml:space="preserve"> is </w:t>
      </w:r>
      <w:r w:rsidR="00890AAF" w:rsidRPr="00CD602D">
        <w:rPr>
          <w:rFonts w:ascii="Arial" w:hAnsi="Arial" w:cs="Arial"/>
          <w:lang w:val="en-US"/>
        </w:rPr>
        <w:t xml:space="preserve">the parent company of a leading international food &amp; </w:t>
      </w:r>
      <w:proofErr w:type="spellStart"/>
      <w:r w:rsidR="00890AAF" w:rsidRPr="00CD602D">
        <w:rPr>
          <w:rFonts w:ascii="Arial" w:hAnsi="Arial" w:cs="Arial"/>
          <w:lang w:val="en-US"/>
        </w:rPr>
        <w:t>agrotech</w:t>
      </w:r>
      <w:proofErr w:type="spellEnd"/>
      <w:r w:rsidR="00890AAF" w:rsidRPr="00CD602D">
        <w:rPr>
          <w:rFonts w:ascii="Arial" w:hAnsi="Arial" w:cs="Arial"/>
          <w:lang w:val="en-US"/>
        </w:rPr>
        <w:t xml:space="preserve"> group with headquarters in Ukraine, </w:t>
      </w:r>
      <w:r w:rsidR="00890AAF">
        <w:rPr>
          <w:rFonts w:ascii="Arial" w:hAnsi="Arial" w:cs="Arial"/>
          <w:lang w:val="en-US"/>
        </w:rPr>
        <w:t xml:space="preserve">and production facilities </w:t>
      </w:r>
      <w:r w:rsidRPr="00F73FD6">
        <w:rPr>
          <w:rFonts w:ascii="Arial" w:hAnsi="Arial" w:cs="Arial"/>
        </w:rPr>
        <w:t>not only in Ukraine, but also in the Balkans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Group). </w:t>
      </w:r>
    </w:p>
    <w:p w14:paraId="42C99565" w14:textId="77777777" w:rsidR="00F73FD6" w:rsidRPr="00F73FD6" w:rsidRDefault="00F73FD6" w:rsidP="00F73FD6">
      <w:pPr>
        <w:pStyle w:val="bj"/>
        <w:rPr>
          <w:rFonts w:ascii="Arial" w:hAnsi="Arial" w:cs="Arial"/>
        </w:rPr>
      </w:pPr>
    </w:p>
    <w:p w14:paraId="6981EE12" w14:textId="60E5D9C0" w:rsidR="00F73FD6" w:rsidRDefault="00F73FD6" w:rsidP="00F73FD6">
      <w:pPr>
        <w:pStyle w:val="bj"/>
        <w:rPr>
          <w:rFonts w:ascii="Arial" w:hAnsi="Arial" w:cs="Arial"/>
        </w:rPr>
      </w:pPr>
      <w:r w:rsidRPr="00F73FD6">
        <w:rPr>
          <w:rFonts w:ascii="Arial" w:hAnsi="Arial" w:cs="Arial"/>
          <w:u w:val="single"/>
        </w:rPr>
        <w:t>Ukraine:</w:t>
      </w:r>
      <w:r w:rsidRPr="00F73FD6">
        <w:rPr>
          <w:rFonts w:ascii="Arial" w:hAnsi="Arial" w:cs="Arial"/>
        </w:rPr>
        <w:t xml:space="preserve"> MHP has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w:t>
      </w:r>
      <w:proofErr w:type="spellStart"/>
      <w:r w:rsidRPr="00F73FD6">
        <w:rPr>
          <w:rFonts w:ascii="Arial" w:hAnsi="Arial" w:cs="Arial"/>
        </w:rPr>
        <w:t>centers</w:t>
      </w:r>
      <w:proofErr w:type="spellEnd"/>
      <w:r w:rsidRPr="00F73FD6">
        <w:rPr>
          <w:rFonts w:ascii="Arial" w:hAnsi="Arial" w:cs="Arial"/>
        </w:rPr>
        <w:t xml:space="preserve"> within major Ukrainian cities. MHP uses its own truck fleet to distribute its products, reducing overall transportation costs and delivery times.</w:t>
      </w:r>
    </w:p>
    <w:p w14:paraId="0BCF4700" w14:textId="77777777" w:rsidR="00F73FD6" w:rsidRPr="00F73FD6" w:rsidRDefault="00F73FD6" w:rsidP="00F73FD6">
      <w:pPr>
        <w:pStyle w:val="bj"/>
        <w:rPr>
          <w:rFonts w:ascii="Arial" w:hAnsi="Arial" w:cs="Arial"/>
        </w:rPr>
      </w:pPr>
    </w:p>
    <w:p w14:paraId="38971B41" w14:textId="29E390D6" w:rsidR="00F73FD6" w:rsidRDefault="00F73FD6" w:rsidP="00F73FD6">
      <w:pPr>
        <w:pStyle w:val="bj"/>
        <w:rPr>
          <w:rFonts w:ascii="Arial" w:hAnsi="Arial" w:cs="Arial"/>
        </w:rPr>
      </w:pPr>
      <w:r w:rsidRPr="00F73FD6">
        <w:rPr>
          <w:rFonts w:ascii="Arial" w:hAnsi="Arial" w:cs="Arial"/>
        </w:rPr>
        <w:t>MHP also has a leading grain cultivation business growing corn, soya and sunflower to support the vertical integration of its chicken production and increasingly other grains, such as wheat and rape, for sale to third parties. MHP leases agricultural land located primarily in the highly fertile black soil regions of Ukraine.</w:t>
      </w:r>
    </w:p>
    <w:p w14:paraId="1A38204F" w14:textId="77777777" w:rsidR="00F73FD6" w:rsidRPr="00F73FD6" w:rsidRDefault="00F73FD6" w:rsidP="00F73FD6">
      <w:pPr>
        <w:pStyle w:val="bj"/>
        <w:rPr>
          <w:rFonts w:ascii="Arial" w:hAnsi="Arial" w:cs="Arial"/>
        </w:rPr>
      </w:pPr>
    </w:p>
    <w:p w14:paraId="17FD69FA" w14:textId="763C43DF" w:rsidR="00F73FD6" w:rsidRDefault="00F73FD6" w:rsidP="00F73FD6">
      <w:pPr>
        <w:pStyle w:val="bj"/>
        <w:rPr>
          <w:rFonts w:ascii="Arial" w:hAnsi="Arial" w:cs="Arial"/>
        </w:rPr>
      </w:pPr>
      <w:r w:rsidRPr="00F73FD6">
        <w:rPr>
          <w:rFonts w:ascii="Arial" w:hAnsi="Arial" w:cs="Arial"/>
          <w:u w:val="single"/>
        </w:rPr>
        <w:t>The Balkans:</w:t>
      </w:r>
      <w:r w:rsidRPr="00F73FD6">
        <w:rPr>
          <w:rFonts w:ascii="Arial" w:hAnsi="Arial" w:cs="Arial"/>
        </w:rPr>
        <w:t xml:space="preserve">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(PP) is a leading poultry and meat-processing producer in the Balkans, with production sites in four Balkan countries: Slovenia, Croatia, Serbia, Bosnia and Herzegovina. PP owns distribution companies in Austria, Macedonia and Romania and supplies products to fifteen countries in Europe. PP is vertically integrated across all states of chicken meat production - feed, hatching eggs production and hatching, breeding, slaughtering, sausage production and further poultry processing.</w:t>
      </w:r>
    </w:p>
    <w:p w14:paraId="0104C5AA" w14:textId="77777777" w:rsidR="00F73FD6" w:rsidRPr="00F73FD6" w:rsidRDefault="00F73FD6" w:rsidP="00F73FD6">
      <w:pPr>
        <w:pStyle w:val="bj"/>
        <w:rPr>
          <w:rFonts w:ascii="Arial" w:hAnsi="Arial" w:cs="Arial"/>
        </w:rPr>
      </w:pPr>
    </w:p>
    <w:p w14:paraId="06221771" w14:textId="2F1FC3C8" w:rsidR="0040113B" w:rsidRDefault="00F73FD6" w:rsidP="00F73FD6">
      <w:pPr>
        <w:pStyle w:val="bj"/>
        <w:rPr>
          <w:rFonts w:ascii="Arial" w:hAnsi="Arial" w:cs="Arial"/>
        </w:rPr>
      </w:pPr>
      <w:r w:rsidRPr="00F73FD6">
        <w:rPr>
          <w:rFonts w:ascii="Arial" w:hAnsi="Arial" w:cs="Arial"/>
        </w:rPr>
        <w:lastRenderedPageBreak/>
        <w:t>MHP trades on the London Stock Exchange under the ticker symbol MHPC.</w:t>
      </w:r>
    </w:p>
    <w:p w14:paraId="70A68BE6" w14:textId="77777777" w:rsidR="00F73FD6" w:rsidRDefault="00F73FD6" w:rsidP="00F73FD6">
      <w:pPr>
        <w:pStyle w:val="bj"/>
        <w:rPr>
          <w:rFonts w:ascii="Arial" w:hAnsi="Arial" w:cs="Arial"/>
        </w:rPr>
      </w:pPr>
    </w:p>
    <w:p w14:paraId="21D36BE7" w14:textId="77777777" w:rsidR="00A1377A" w:rsidRPr="00113315" w:rsidRDefault="00A1377A" w:rsidP="00A1377A">
      <w:pPr>
        <w:pStyle w:val="f"/>
        <w:jc w:val="both"/>
        <w:rPr>
          <w:rFonts w:ascii="Arial" w:hAnsi="Arial" w:cs="Arial"/>
          <w:color w:val="auto"/>
          <w:sz w:val="22"/>
          <w:szCs w:val="22"/>
        </w:rPr>
      </w:pPr>
      <w:r w:rsidRPr="00113315">
        <w:rPr>
          <w:rStyle w:val="as"/>
          <w:b/>
          <w:bCs/>
          <w:color w:val="auto"/>
        </w:rPr>
        <w:t>Forward-Looking Statements</w:t>
      </w:r>
    </w:p>
    <w:p w14:paraId="46DF3171" w14:textId="77777777" w:rsidR="00A1377A" w:rsidRPr="00113315" w:rsidRDefault="00A1377A" w:rsidP="00A1377A">
      <w:pPr>
        <w:pStyle w:val="f"/>
        <w:jc w:val="both"/>
        <w:rPr>
          <w:rFonts w:ascii="Arial" w:hAnsi="Arial" w:cs="Arial"/>
          <w:color w:val="auto"/>
          <w:sz w:val="22"/>
          <w:szCs w:val="22"/>
        </w:rPr>
      </w:pPr>
    </w:p>
    <w:p w14:paraId="5CF21B31" w14:textId="36014FFE" w:rsidR="003351E2" w:rsidRPr="00E50776" w:rsidRDefault="00A1377A" w:rsidP="0040113B">
      <w:pPr>
        <w:pStyle w:val="f"/>
        <w:jc w:val="both"/>
        <w:rPr>
          <w:lang w:val="en-US"/>
        </w:rPr>
      </w:pPr>
      <w:r w:rsidRPr="00113315">
        <w:rPr>
          <w:rStyle w:val="as"/>
          <w:color w:val="auto"/>
        </w:rPr>
        <w:t xml:space="preserve">This press release might contain forward-looking statements that refer to future events or forecast </w:t>
      </w:r>
      <w:r w:rsidR="00533DB4">
        <w:rPr>
          <w:rStyle w:val="as"/>
          <w:color w:val="auto"/>
        </w:rPr>
        <w:t>financial indicators for MHP SE</w:t>
      </w:r>
      <w:r w:rsidRPr="00113315">
        <w:rPr>
          <w:rStyle w:val="as"/>
          <w:color w:val="auto"/>
        </w:rPr>
        <w:t>. Such statements do not guarantee that these ar</w:t>
      </w:r>
      <w:r w:rsidR="00533DB4">
        <w:rPr>
          <w:rStyle w:val="as"/>
          <w:color w:val="auto"/>
        </w:rPr>
        <w:t>e actions to be taken by MHP SE</w:t>
      </w:r>
      <w:r w:rsidRPr="00113315">
        <w:rPr>
          <w:rStyle w:val="as"/>
          <w:color w:val="auto"/>
        </w:rPr>
        <w:t xml:space="preserve"> in the future, and estimates can be inaccurate and uncertain. Actual final indicators and results can considerably differ from those declared in any for</w:t>
      </w:r>
      <w:r w:rsidR="00533DB4">
        <w:rPr>
          <w:rStyle w:val="as"/>
          <w:color w:val="auto"/>
        </w:rPr>
        <w:t>ward-looking statements. MHP SE</w:t>
      </w:r>
      <w:r w:rsidRPr="00113315">
        <w:rPr>
          <w:rStyle w:val="as"/>
          <w:color w:val="auto"/>
        </w:rPr>
        <w:t>.</w:t>
      </w:r>
      <w:r w:rsidR="00533DB4">
        <w:rPr>
          <w:rStyle w:val="as"/>
          <w:color w:val="auto"/>
        </w:rPr>
        <w:t xml:space="preserve"> </w:t>
      </w:r>
      <w:r w:rsidRPr="00113315">
        <w:rPr>
          <w:rStyle w:val="as"/>
          <w:color w:val="auto"/>
        </w:rPr>
        <w:t>does not intend to change these statements to reflect actual results</w:t>
      </w:r>
      <w:r w:rsidRPr="00113315">
        <w:rPr>
          <w:rStyle w:val="t"/>
          <w:rFonts w:eastAsia="Calibri"/>
          <w:color w:val="auto"/>
          <w:sz w:val="22"/>
          <w:szCs w:val="22"/>
        </w:rPr>
        <w:t>.</w:t>
      </w:r>
    </w:p>
    <w:sectPr w:rsidR="003351E2" w:rsidRPr="00E50776" w:rsidSect="005B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2258"/>
    <w:multiLevelType w:val="hybridMultilevel"/>
    <w:tmpl w:val="8962D474"/>
    <w:lvl w:ilvl="0" w:tplc="1674C2C4">
      <w:start w:val="1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B522799"/>
    <w:multiLevelType w:val="hybridMultilevel"/>
    <w:tmpl w:val="CCDCACF6"/>
    <w:lvl w:ilvl="0" w:tplc="6AD87EE6">
      <w:start w:val="6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09BA"/>
    <w:multiLevelType w:val="hybridMultilevel"/>
    <w:tmpl w:val="74CAC91E"/>
    <w:lvl w:ilvl="0" w:tplc="DA5CB89A">
      <w:start w:val="27"/>
      <w:numFmt w:val="bullet"/>
      <w:lvlText w:val="-"/>
      <w:lvlJc w:val="left"/>
      <w:pPr>
        <w:ind w:left="420" w:hanging="360"/>
      </w:pPr>
      <w:rPr>
        <w:rFonts w:ascii="Arial" w:eastAsia="Calibr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63E479D2"/>
    <w:multiLevelType w:val="hybridMultilevel"/>
    <w:tmpl w:val="64463F7C"/>
    <w:lvl w:ilvl="0" w:tplc="42AE9E84">
      <w:start w:val="27"/>
      <w:numFmt w:val="bullet"/>
      <w:lvlText w:val="-"/>
      <w:lvlJc w:val="left"/>
      <w:pPr>
        <w:ind w:left="480" w:hanging="360"/>
      </w:pPr>
      <w:rPr>
        <w:rFonts w:ascii="Arial" w:eastAsia="Times New Roman" w:hAnsi="Arial" w:cs="Aria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65DC01A6"/>
    <w:multiLevelType w:val="hybridMultilevel"/>
    <w:tmpl w:val="DB305770"/>
    <w:lvl w:ilvl="0" w:tplc="9D7AEC10">
      <w:start w:val="2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391607D"/>
    <w:multiLevelType w:val="hybridMultilevel"/>
    <w:tmpl w:val="7A4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85090">
    <w:abstractNumId w:val="2"/>
  </w:num>
  <w:num w:numId="2" w16cid:durableId="1918053543">
    <w:abstractNumId w:val="3"/>
  </w:num>
  <w:num w:numId="3" w16cid:durableId="1057510536">
    <w:abstractNumId w:val="0"/>
  </w:num>
  <w:num w:numId="4" w16cid:durableId="748846683">
    <w:abstractNumId w:val="4"/>
  </w:num>
  <w:num w:numId="5" w16cid:durableId="1047416868">
    <w:abstractNumId w:val="1"/>
  </w:num>
  <w:num w:numId="6" w16cid:durableId="63638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nl-NL"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76"/>
    <w:rsid w:val="00005C58"/>
    <w:rsid w:val="00006C69"/>
    <w:rsid w:val="0000754C"/>
    <w:rsid w:val="00013646"/>
    <w:rsid w:val="000151A3"/>
    <w:rsid w:val="000304AE"/>
    <w:rsid w:val="00035646"/>
    <w:rsid w:val="00046528"/>
    <w:rsid w:val="00046DB9"/>
    <w:rsid w:val="00047DD0"/>
    <w:rsid w:val="0005683F"/>
    <w:rsid w:val="00066BE6"/>
    <w:rsid w:val="000936AE"/>
    <w:rsid w:val="00096D7B"/>
    <w:rsid w:val="000A0017"/>
    <w:rsid w:val="000A3E04"/>
    <w:rsid w:val="000C0A0B"/>
    <w:rsid w:val="000D23F2"/>
    <w:rsid w:val="000F298C"/>
    <w:rsid w:val="000F678E"/>
    <w:rsid w:val="0011136B"/>
    <w:rsid w:val="00113315"/>
    <w:rsid w:val="0012184D"/>
    <w:rsid w:val="00131F2E"/>
    <w:rsid w:val="00135278"/>
    <w:rsid w:val="001378A2"/>
    <w:rsid w:val="001427FE"/>
    <w:rsid w:val="00151E75"/>
    <w:rsid w:val="00160000"/>
    <w:rsid w:val="00164AF6"/>
    <w:rsid w:val="001706A4"/>
    <w:rsid w:val="00175B85"/>
    <w:rsid w:val="00180B33"/>
    <w:rsid w:val="00195E79"/>
    <w:rsid w:val="00196A10"/>
    <w:rsid w:val="001A0521"/>
    <w:rsid w:val="001B28C6"/>
    <w:rsid w:val="001B5639"/>
    <w:rsid w:val="001C0637"/>
    <w:rsid w:val="001C63D6"/>
    <w:rsid w:val="001D432A"/>
    <w:rsid w:val="001E13C9"/>
    <w:rsid w:val="001E59E0"/>
    <w:rsid w:val="001F0704"/>
    <w:rsid w:val="001F29D6"/>
    <w:rsid w:val="00211304"/>
    <w:rsid w:val="002310DA"/>
    <w:rsid w:val="00243F8A"/>
    <w:rsid w:val="002448AF"/>
    <w:rsid w:val="00256AA2"/>
    <w:rsid w:val="00287D81"/>
    <w:rsid w:val="00290F00"/>
    <w:rsid w:val="00292880"/>
    <w:rsid w:val="00293233"/>
    <w:rsid w:val="0029571C"/>
    <w:rsid w:val="002B3E92"/>
    <w:rsid w:val="002D2776"/>
    <w:rsid w:val="002E1603"/>
    <w:rsid w:val="002E521F"/>
    <w:rsid w:val="002E7809"/>
    <w:rsid w:val="00300EE4"/>
    <w:rsid w:val="00322C61"/>
    <w:rsid w:val="0033230E"/>
    <w:rsid w:val="003351E2"/>
    <w:rsid w:val="003615EE"/>
    <w:rsid w:val="003649B7"/>
    <w:rsid w:val="00367243"/>
    <w:rsid w:val="00371226"/>
    <w:rsid w:val="0037600D"/>
    <w:rsid w:val="0038543E"/>
    <w:rsid w:val="00392E90"/>
    <w:rsid w:val="00394DDA"/>
    <w:rsid w:val="003963C8"/>
    <w:rsid w:val="003B4E8C"/>
    <w:rsid w:val="003C0FC9"/>
    <w:rsid w:val="0040113B"/>
    <w:rsid w:val="00414523"/>
    <w:rsid w:val="00416199"/>
    <w:rsid w:val="004367C4"/>
    <w:rsid w:val="0044650F"/>
    <w:rsid w:val="00455083"/>
    <w:rsid w:val="00461235"/>
    <w:rsid w:val="0046134F"/>
    <w:rsid w:val="00470BD0"/>
    <w:rsid w:val="004716A4"/>
    <w:rsid w:val="004729D8"/>
    <w:rsid w:val="004864E5"/>
    <w:rsid w:val="00490A1F"/>
    <w:rsid w:val="00492FCE"/>
    <w:rsid w:val="004A507D"/>
    <w:rsid w:val="004B2865"/>
    <w:rsid w:val="004B519A"/>
    <w:rsid w:val="004B692E"/>
    <w:rsid w:val="004C20B7"/>
    <w:rsid w:val="004E0AA0"/>
    <w:rsid w:val="004E6212"/>
    <w:rsid w:val="004F1E07"/>
    <w:rsid w:val="004F3EF0"/>
    <w:rsid w:val="005109B1"/>
    <w:rsid w:val="00516565"/>
    <w:rsid w:val="005209A1"/>
    <w:rsid w:val="005305B1"/>
    <w:rsid w:val="005313A3"/>
    <w:rsid w:val="00533A56"/>
    <w:rsid w:val="00533DB4"/>
    <w:rsid w:val="00544CA0"/>
    <w:rsid w:val="00556B04"/>
    <w:rsid w:val="00562B5A"/>
    <w:rsid w:val="005672D5"/>
    <w:rsid w:val="005773EF"/>
    <w:rsid w:val="00580545"/>
    <w:rsid w:val="005814E2"/>
    <w:rsid w:val="00593B08"/>
    <w:rsid w:val="00595E11"/>
    <w:rsid w:val="005B030D"/>
    <w:rsid w:val="005B4410"/>
    <w:rsid w:val="005B4507"/>
    <w:rsid w:val="005C1ED2"/>
    <w:rsid w:val="005C2216"/>
    <w:rsid w:val="005C295F"/>
    <w:rsid w:val="005C46B8"/>
    <w:rsid w:val="005D0FA3"/>
    <w:rsid w:val="005D22C2"/>
    <w:rsid w:val="005D534F"/>
    <w:rsid w:val="005E4B49"/>
    <w:rsid w:val="005F0A6C"/>
    <w:rsid w:val="006038EA"/>
    <w:rsid w:val="00605C80"/>
    <w:rsid w:val="00607E91"/>
    <w:rsid w:val="00623CAD"/>
    <w:rsid w:val="0063595F"/>
    <w:rsid w:val="00636B96"/>
    <w:rsid w:val="00642279"/>
    <w:rsid w:val="00642540"/>
    <w:rsid w:val="00654021"/>
    <w:rsid w:val="00654873"/>
    <w:rsid w:val="006658FA"/>
    <w:rsid w:val="00675ED9"/>
    <w:rsid w:val="0068700A"/>
    <w:rsid w:val="006B08B8"/>
    <w:rsid w:val="006B3D2B"/>
    <w:rsid w:val="006D7913"/>
    <w:rsid w:val="006E287B"/>
    <w:rsid w:val="006E5ACF"/>
    <w:rsid w:val="00706A7F"/>
    <w:rsid w:val="007074BD"/>
    <w:rsid w:val="00715271"/>
    <w:rsid w:val="007166C8"/>
    <w:rsid w:val="00723FE9"/>
    <w:rsid w:val="007262AE"/>
    <w:rsid w:val="00731B28"/>
    <w:rsid w:val="007342A3"/>
    <w:rsid w:val="00741B12"/>
    <w:rsid w:val="007455FA"/>
    <w:rsid w:val="00746600"/>
    <w:rsid w:val="0075743E"/>
    <w:rsid w:val="00762304"/>
    <w:rsid w:val="007719CE"/>
    <w:rsid w:val="0079010D"/>
    <w:rsid w:val="00790859"/>
    <w:rsid w:val="00792B7D"/>
    <w:rsid w:val="00792DD0"/>
    <w:rsid w:val="007964E6"/>
    <w:rsid w:val="007C1F58"/>
    <w:rsid w:val="007C7980"/>
    <w:rsid w:val="007E5068"/>
    <w:rsid w:val="007E5469"/>
    <w:rsid w:val="007E5C3D"/>
    <w:rsid w:val="007E7C7D"/>
    <w:rsid w:val="007F225D"/>
    <w:rsid w:val="007F5F4D"/>
    <w:rsid w:val="007F7CF1"/>
    <w:rsid w:val="00802212"/>
    <w:rsid w:val="00806C74"/>
    <w:rsid w:val="00807C2B"/>
    <w:rsid w:val="00811F8B"/>
    <w:rsid w:val="00822842"/>
    <w:rsid w:val="0083018D"/>
    <w:rsid w:val="00833F53"/>
    <w:rsid w:val="00843225"/>
    <w:rsid w:val="00847450"/>
    <w:rsid w:val="0085322E"/>
    <w:rsid w:val="00856956"/>
    <w:rsid w:val="00861156"/>
    <w:rsid w:val="0087723E"/>
    <w:rsid w:val="0088488C"/>
    <w:rsid w:val="00890AAF"/>
    <w:rsid w:val="008911E6"/>
    <w:rsid w:val="008A71A9"/>
    <w:rsid w:val="008B4789"/>
    <w:rsid w:val="008C0FF1"/>
    <w:rsid w:val="008D2C08"/>
    <w:rsid w:val="008D3B23"/>
    <w:rsid w:val="008E36CB"/>
    <w:rsid w:val="008E7E0A"/>
    <w:rsid w:val="008F59B1"/>
    <w:rsid w:val="00902230"/>
    <w:rsid w:val="00924469"/>
    <w:rsid w:val="00926F6D"/>
    <w:rsid w:val="0095040D"/>
    <w:rsid w:val="009504DE"/>
    <w:rsid w:val="009507FB"/>
    <w:rsid w:val="0096569F"/>
    <w:rsid w:val="00967798"/>
    <w:rsid w:val="009844E5"/>
    <w:rsid w:val="009A0BE6"/>
    <w:rsid w:val="009A3EFE"/>
    <w:rsid w:val="009A7CE8"/>
    <w:rsid w:val="009C19B5"/>
    <w:rsid w:val="009D09BB"/>
    <w:rsid w:val="009D59EE"/>
    <w:rsid w:val="009F116E"/>
    <w:rsid w:val="00A01CAC"/>
    <w:rsid w:val="00A1377A"/>
    <w:rsid w:val="00A17BA2"/>
    <w:rsid w:val="00A2356D"/>
    <w:rsid w:val="00A30895"/>
    <w:rsid w:val="00A429A7"/>
    <w:rsid w:val="00A47C84"/>
    <w:rsid w:val="00A5369B"/>
    <w:rsid w:val="00A53938"/>
    <w:rsid w:val="00A65DF0"/>
    <w:rsid w:val="00A72077"/>
    <w:rsid w:val="00A732FF"/>
    <w:rsid w:val="00AA725A"/>
    <w:rsid w:val="00AB3ECA"/>
    <w:rsid w:val="00AC3051"/>
    <w:rsid w:val="00AD38B8"/>
    <w:rsid w:val="00AD747C"/>
    <w:rsid w:val="00B01DA7"/>
    <w:rsid w:val="00B020A8"/>
    <w:rsid w:val="00B106B0"/>
    <w:rsid w:val="00B21DA1"/>
    <w:rsid w:val="00B35904"/>
    <w:rsid w:val="00B40D9B"/>
    <w:rsid w:val="00B422B8"/>
    <w:rsid w:val="00B654A0"/>
    <w:rsid w:val="00B7444D"/>
    <w:rsid w:val="00B769A8"/>
    <w:rsid w:val="00B77C9F"/>
    <w:rsid w:val="00B8125F"/>
    <w:rsid w:val="00B84E47"/>
    <w:rsid w:val="00B95A7D"/>
    <w:rsid w:val="00BD2C8E"/>
    <w:rsid w:val="00BD79A0"/>
    <w:rsid w:val="00BE2E68"/>
    <w:rsid w:val="00BE3378"/>
    <w:rsid w:val="00BE389A"/>
    <w:rsid w:val="00BE7068"/>
    <w:rsid w:val="00C0030C"/>
    <w:rsid w:val="00C00A38"/>
    <w:rsid w:val="00C05C4F"/>
    <w:rsid w:val="00C412CE"/>
    <w:rsid w:val="00C4137F"/>
    <w:rsid w:val="00C5284E"/>
    <w:rsid w:val="00C52B4E"/>
    <w:rsid w:val="00C534E9"/>
    <w:rsid w:val="00C70061"/>
    <w:rsid w:val="00C74934"/>
    <w:rsid w:val="00C80518"/>
    <w:rsid w:val="00C9727F"/>
    <w:rsid w:val="00CB4CBA"/>
    <w:rsid w:val="00CC4932"/>
    <w:rsid w:val="00CC7801"/>
    <w:rsid w:val="00CD317D"/>
    <w:rsid w:val="00CD602D"/>
    <w:rsid w:val="00CE134B"/>
    <w:rsid w:val="00CE193D"/>
    <w:rsid w:val="00CE240B"/>
    <w:rsid w:val="00CE6CD4"/>
    <w:rsid w:val="00D059FB"/>
    <w:rsid w:val="00D200D2"/>
    <w:rsid w:val="00D25C9D"/>
    <w:rsid w:val="00D4695F"/>
    <w:rsid w:val="00D52B5B"/>
    <w:rsid w:val="00D552D3"/>
    <w:rsid w:val="00D61009"/>
    <w:rsid w:val="00D62F69"/>
    <w:rsid w:val="00D641ED"/>
    <w:rsid w:val="00D745AA"/>
    <w:rsid w:val="00D8219B"/>
    <w:rsid w:val="00DA1366"/>
    <w:rsid w:val="00DA1B48"/>
    <w:rsid w:val="00DB48FD"/>
    <w:rsid w:val="00DB64CF"/>
    <w:rsid w:val="00DC0CA9"/>
    <w:rsid w:val="00DC369A"/>
    <w:rsid w:val="00DD1184"/>
    <w:rsid w:val="00DD4510"/>
    <w:rsid w:val="00DF0A5D"/>
    <w:rsid w:val="00DF5064"/>
    <w:rsid w:val="00E13A8B"/>
    <w:rsid w:val="00E161EF"/>
    <w:rsid w:val="00E23B76"/>
    <w:rsid w:val="00E26FAC"/>
    <w:rsid w:val="00E323E9"/>
    <w:rsid w:val="00E33340"/>
    <w:rsid w:val="00E34CB7"/>
    <w:rsid w:val="00E50776"/>
    <w:rsid w:val="00E53CE1"/>
    <w:rsid w:val="00E546D1"/>
    <w:rsid w:val="00E56D1F"/>
    <w:rsid w:val="00E71AF4"/>
    <w:rsid w:val="00E8647B"/>
    <w:rsid w:val="00E87E30"/>
    <w:rsid w:val="00E92CD6"/>
    <w:rsid w:val="00EA0E94"/>
    <w:rsid w:val="00EA1167"/>
    <w:rsid w:val="00EA6DCB"/>
    <w:rsid w:val="00ED5952"/>
    <w:rsid w:val="00ED71F2"/>
    <w:rsid w:val="00ED7B6D"/>
    <w:rsid w:val="00EE1459"/>
    <w:rsid w:val="00EE31C8"/>
    <w:rsid w:val="00EE493E"/>
    <w:rsid w:val="00EE62B1"/>
    <w:rsid w:val="00EF2DC9"/>
    <w:rsid w:val="00EF56E5"/>
    <w:rsid w:val="00F05E59"/>
    <w:rsid w:val="00F10C7F"/>
    <w:rsid w:val="00F128E3"/>
    <w:rsid w:val="00F17544"/>
    <w:rsid w:val="00F2367F"/>
    <w:rsid w:val="00F261F2"/>
    <w:rsid w:val="00F31512"/>
    <w:rsid w:val="00F371E0"/>
    <w:rsid w:val="00F645D6"/>
    <w:rsid w:val="00F73FD6"/>
    <w:rsid w:val="00F8251D"/>
    <w:rsid w:val="00F83A16"/>
    <w:rsid w:val="00F84D91"/>
    <w:rsid w:val="00FB3D14"/>
    <w:rsid w:val="00FC0DD9"/>
    <w:rsid w:val="00FC7834"/>
    <w:rsid w:val="00FE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1075"/>
  <w15:docId w15:val="{71BD6C07-5360-4C94-87BF-551EA4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2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о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ечания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ечания Знак"/>
    <w:basedOn w:val="ad"/>
    <w:link w:val="ae"/>
    <w:uiPriority w:val="99"/>
    <w:semiHidden/>
    <w:rsid w:val="00E50776"/>
    <w:rPr>
      <w:rFonts w:ascii="Calibri" w:eastAsia="Calibri" w:hAnsi="Calibri" w:cs="Times New Roman"/>
      <w:b/>
      <w:bCs/>
      <w:sz w:val="20"/>
      <w:szCs w:val="20"/>
    </w:rPr>
  </w:style>
  <w:style w:type="paragraph" w:styleId="af0">
    <w:name w:val="List Paragraph"/>
    <w:basedOn w:val="a"/>
    <w:uiPriority w:val="34"/>
    <w:qFormat/>
    <w:rsid w:val="000A3E04"/>
    <w:pPr>
      <w:ind w:left="720"/>
      <w:contextualSpacing/>
    </w:pPr>
  </w:style>
  <w:style w:type="paragraph" w:customStyle="1" w:styleId="ParaHeading">
    <w:name w:val="ParaHeading"/>
    <w:basedOn w:val="a3"/>
    <w:next w:val="a3"/>
    <w:link w:val="ParaHeadingChar"/>
    <w:rsid w:val="007E5C3D"/>
    <w:pPr>
      <w:keepNext/>
      <w:keepLines/>
      <w:spacing w:before="0"/>
    </w:pPr>
    <w:rPr>
      <w:rFonts w:ascii="Times New Roman" w:hAnsi="Times New Roman" w:cs="Times New Roman"/>
      <w:b/>
      <w:spacing w:val="0"/>
      <w:sz w:val="20"/>
      <w:szCs w:val="24"/>
      <w:lang w:val="en-GB"/>
    </w:rPr>
  </w:style>
  <w:style w:type="character" w:customStyle="1" w:styleId="ParaHeadingChar">
    <w:name w:val="ParaHeading Char"/>
    <w:link w:val="ParaHeading"/>
    <w:rsid w:val="007E5C3D"/>
    <w:rPr>
      <w:rFonts w:ascii="Times New Roman" w:eastAsia="Times New Roman" w:hAnsi="Times New Roman" w:cs="Times New Roman"/>
      <w:b/>
      <w:sz w:val="20"/>
      <w:szCs w:val="24"/>
      <w:lang w:val="en-GB"/>
    </w:rPr>
  </w:style>
  <w:style w:type="paragraph" w:styleId="af1">
    <w:name w:val="Normal (Web)"/>
    <w:basedOn w:val="a"/>
    <w:uiPriority w:val="99"/>
    <w:rsid w:val="00A1377A"/>
    <w:pPr>
      <w:spacing w:before="140" w:after="14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546">
      <w:bodyDiv w:val="1"/>
      <w:marLeft w:val="0"/>
      <w:marRight w:val="0"/>
      <w:marTop w:val="0"/>
      <w:marBottom w:val="0"/>
      <w:divBdr>
        <w:top w:val="none" w:sz="0" w:space="0" w:color="auto"/>
        <w:left w:val="none" w:sz="0" w:space="0" w:color="auto"/>
        <w:bottom w:val="none" w:sz="0" w:space="0" w:color="auto"/>
        <w:right w:val="none" w:sz="0" w:space="0" w:color="auto"/>
      </w:divBdr>
    </w:div>
    <w:div w:id="176846110">
      <w:bodyDiv w:val="1"/>
      <w:marLeft w:val="0"/>
      <w:marRight w:val="0"/>
      <w:marTop w:val="0"/>
      <w:marBottom w:val="0"/>
      <w:divBdr>
        <w:top w:val="none" w:sz="0" w:space="0" w:color="auto"/>
        <w:left w:val="none" w:sz="0" w:space="0" w:color="auto"/>
        <w:bottom w:val="none" w:sz="0" w:space="0" w:color="auto"/>
        <w:right w:val="none" w:sz="0" w:space="0" w:color="auto"/>
      </w:divBdr>
      <w:divsChild>
        <w:div w:id="2023509701">
          <w:marLeft w:val="0"/>
          <w:marRight w:val="0"/>
          <w:marTop w:val="0"/>
          <w:marBottom w:val="0"/>
          <w:divBdr>
            <w:top w:val="none" w:sz="0" w:space="0" w:color="auto"/>
            <w:left w:val="none" w:sz="0" w:space="0" w:color="auto"/>
            <w:bottom w:val="none" w:sz="0" w:space="0" w:color="auto"/>
            <w:right w:val="none" w:sz="0" w:space="0" w:color="auto"/>
          </w:divBdr>
        </w:div>
      </w:divsChild>
    </w:div>
    <w:div w:id="531260659">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778574031">
      <w:bodyDiv w:val="1"/>
      <w:marLeft w:val="0"/>
      <w:marRight w:val="0"/>
      <w:marTop w:val="0"/>
      <w:marBottom w:val="0"/>
      <w:divBdr>
        <w:top w:val="none" w:sz="0" w:space="0" w:color="auto"/>
        <w:left w:val="none" w:sz="0" w:space="0" w:color="auto"/>
        <w:bottom w:val="none" w:sz="0" w:space="0" w:color="auto"/>
        <w:right w:val="none" w:sz="0" w:space="0" w:color="auto"/>
      </w:divBdr>
    </w:div>
    <w:div w:id="1313951015">
      <w:bodyDiv w:val="1"/>
      <w:marLeft w:val="0"/>
      <w:marRight w:val="0"/>
      <w:marTop w:val="0"/>
      <w:marBottom w:val="0"/>
      <w:divBdr>
        <w:top w:val="none" w:sz="0" w:space="0" w:color="auto"/>
        <w:left w:val="none" w:sz="0" w:space="0" w:color="auto"/>
        <w:bottom w:val="none" w:sz="0" w:space="0" w:color="auto"/>
        <w:right w:val="none" w:sz="0" w:space="0" w:color="auto"/>
      </w:divBdr>
    </w:div>
    <w:div w:id="17527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obotyu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EA87267284342A709B2F74EBCDAA2" ma:contentTypeVersion="13" ma:contentTypeDescription="Create a new document." ma:contentTypeScope="" ma:versionID="76d5b65cf8fc0a340269210160cf1380">
  <xsd:schema xmlns:xsd="http://www.w3.org/2001/XMLSchema" xmlns:xs="http://www.w3.org/2001/XMLSchema" xmlns:p="http://schemas.microsoft.com/office/2006/metadata/properties" xmlns:ns3="d7c072e6-e251-4968-a513-79ac318007d3" xmlns:ns4="136a8a13-41f8-420a-bb16-14c21d495612" targetNamespace="http://schemas.microsoft.com/office/2006/metadata/properties" ma:root="true" ma:fieldsID="b7fd2e5ed47ea26bdf1429ae0fb17577" ns3:_="" ns4:_="">
    <xsd:import namespace="d7c072e6-e251-4968-a513-79ac318007d3"/>
    <xsd:import namespace="136a8a13-41f8-420a-bb16-14c21d495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072e6-e251-4968-a513-79ac3180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a8a13-41f8-420a-bb16-14c21d495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F683E-A9DB-4168-A763-7792C3E1AE9F}">
  <ds:schemaRefs>
    <ds:schemaRef ds:uri="http://purl.org/dc/terms/"/>
    <ds:schemaRef ds:uri="136a8a13-41f8-420a-bb16-14c21d495612"/>
    <ds:schemaRef ds:uri="http://schemas.microsoft.com/office/2006/documentManagement/types"/>
    <ds:schemaRef ds:uri="http://schemas.openxmlformats.org/package/2006/metadata/core-properties"/>
    <ds:schemaRef ds:uri="d7c072e6-e251-4968-a513-79ac318007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028E24-9F7A-4EEB-82A3-503DFE5A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072e6-e251-4968-a513-79ac318007d3"/>
    <ds:schemaRef ds:uri="136a8a13-41f8-420a-bb16-14c21d49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925D5-F40D-4A59-BFFE-06517C6F5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2817</Words>
  <Characters>1607</Characters>
  <Application>Microsoft Office Word</Application>
  <DocSecurity>0</DocSecurity>
  <Lines>13</Lines>
  <Paragraphs>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mhp</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Соботюк</dc:creator>
  <cp:lastModifiedBy>Sobotiuk Anastasiia</cp:lastModifiedBy>
  <cp:revision>2</cp:revision>
  <cp:lastPrinted>2022-05-24T06:33:00Z</cp:lastPrinted>
  <dcterms:created xsi:type="dcterms:W3CDTF">2022-12-23T06:30:00Z</dcterms:created>
  <dcterms:modified xsi:type="dcterms:W3CDTF">2022-12-23T06:30:00Z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0x010100C4DEA87267284342A709B2F74EBCDAA2</vt:lpwstr>
  </property>
</Properties>
</file>