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8D60" w14:textId="53B650F0" w:rsidR="00E50776" w:rsidRPr="007067E8" w:rsidRDefault="003169A2" w:rsidP="005814E2">
      <w:pPr>
        <w:pStyle w:val="c3"/>
        <w:tabs>
          <w:tab w:val="center" w:pos="4995"/>
        </w:tabs>
        <w:jc w:val="center"/>
        <w:rPr>
          <w:b/>
          <w:bCs/>
          <w:sz w:val="22"/>
          <w:szCs w:val="22"/>
          <w:lang w:val="en-US"/>
        </w:rPr>
      </w:pPr>
      <w:r>
        <w:rPr>
          <w:noProof/>
          <w:sz w:val="20"/>
          <w:szCs w:val="20"/>
          <w:lang w:val="en-US"/>
        </w:rPr>
        <w:drawing>
          <wp:inline distT="0" distB="0" distL="0" distR="0" wp14:anchorId="144BE3B1" wp14:editId="3DFF85F0">
            <wp:extent cx="3359094" cy="148593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0300" cy="1504166"/>
                    </a:xfrm>
                    <a:prstGeom prst="rect">
                      <a:avLst/>
                    </a:prstGeom>
                    <a:noFill/>
                    <a:ln>
                      <a:noFill/>
                    </a:ln>
                  </pic:spPr>
                </pic:pic>
              </a:graphicData>
            </a:graphic>
          </wp:inline>
        </w:drawing>
      </w:r>
    </w:p>
    <w:p w14:paraId="4A43A106" w14:textId="51098EE0" w:rsidR="00C14DD7" w:rsidRPr="007067E8" w:rsidRDefault="009047F2" w:rsidP="00C14DD7">
      <w:pPr>
        <w:pStyle w:val="c3"/>
        <w:jc w:val="center"/>
        <w:rPr>
          <w:sz w:val="20"/>
          <w:szCs w:val="20"/>
          <w:lang w:val="en-US"/>
        </w:rPr>
      </w:pPr>
      <w:r>
        <w:rPr>
          <w:sz w:val="20"/>
          <w:szCs w:val="20"/>
          <w:lang w:val="uk-UA"/>
        </w:rPr>
        <w:t>2</w:t>
      </w:r>
      <w:r w:rsidR="00F16995">
        <w:rPr>
          <w:sz w:val="20"/>
          <w:szCs w:val="20"/>
          <w:lang w:val="en-US"/>
        </w:rPr>
        <w:t>6</w:t>
      </w:r>
      <w:r w:rsidR="00C14DD7" w:rsidRPr="007067E8">
        <w:rPr>
          <w:sz w:val="20"/>
          <w:szCs w:val="20"/>
          <w:lang w:val="en-US"/>
        </w:rPr>
        <w:t xml:space="preserve"> </w:t>
      </w:r>
      <w:r w:rsidR="00F16995">
        <w:rPr>
          <w:sz w:val="20"/>
          <w:szCs w:val="20"/>
          <w:lang w:val="en-US"/>
        </w:rPr>
        <w:t>July</w:t>
      </w:r>
      <w:r w:rsidR="00EB2018" w:rsidRPr="007067E8">
        <w:rPr>
          <w:sz w:val="20"/>
          <w:szCs w:val="20"/>
          <w:lang w:val="en-US"/>
        </w:rPr>
        <w:t xml:space="preserve"> 202</w:t>
      </w:r>
      <w:r w:rsidR="008F7E2D" w:rsidRPr="007067E8">
        <w:rPr>
          <w:sz w:val="20"/>
          <w:szCs w:val="20"/>
          <w:lang w:val="en-US"/>
        </w:rPr>
        <w:t>2</w:t>
      </w:r>
      <w:r w:rsidR="00C14DD7" w:rsidRPr="007067E8">
        <w:rPr>
          <w:sz w:val="20"/>
          <w:szCs w:val="20"/>
          <w:lang w:val="en-US"/>
        </w:rPr>
        <w:t xml:space="preserve">, Limassol, </w:t>
      </w:r>
      <w:proofErr w:type="spellStart"/>
      <w:r w:rsidR="00C14DD7" w:rsidRPr="007067E8">
        <w:rPr>
          <w:sz w:val="20"/>
          <w:szCs w:val="20"/>
          <w:lang w:val="en-US"/>
        </w:rPr>
        <w:t>Cypr</w:t>
      </w:r>
      <w:proofErr w:type="spellEnd"/>
      <w:r w:rsidR="003169A2">
        <w:rPr>
          <w:color w:val="000000"/>
          <w:shd w:val="clear" w:color="auto" w:fill="FFFFFF"/>
        </w:rPr>
        <w:br/>
      </w:r>
      <w:r w:rsidR="00C14DD7" w:rsidRPr="007067E8">
        <w:rPr>
          <w:sz w:val="20"/>
          <w:szCs w:val="20"/>
          <w:lang w:val="en-US"/>
        </w:rPr>
        <w:t>us</w:t>
      </w:r>
    </w:p>
    <w:p w14:paraId="078C9CEC" w14:textId="4F7E4FF5" w:rsidR="008F7E2D" w:rsidRPr="007067E8" w:rsidRDefault="008F7E2D" w:rsidP="008F7E2D">
      <w:pPr>
        <w:pStyle w:val="c3"/>
        <w:jc w:val="center"/>
        <w:rPr>
          <w:b/>
          <w:bCs/>
          <w:sz w:val="20"/>
          <w:szCs w:val="20"/>
          <w:lang w:val="en-US"/>
        </w:rPr>
      </w:pPr>
      <w:r w:rsidRPr="007067E8">
        <w:rPr>
          <w:b/>
          <w:bCs/>
          <w:sz w:val="20"/>
          <w:szCs w:val="20"/>
        </w:rPr>
        <w:t>MHP</w:t>
      </w:r>
      <w:r w:rsidRPr="007067E8">
        <w:rPr>
          <w:b/>
          <w:bCs/>
          <w:sz w:val="20"/>
          <w:szCs w:val="20"/>
          <w:lang w:val="en-US"/>
        </w:rPr>
        <w:t xml:space="preserve"> </w:t>
      </w:r>
      <w:r w:rsidRPr="007067E8">
        <w:rPr>
          <w:b/>
          <w:bCs/>
          <w:sz w:val="20"/>
          <w:szCs w:val="20"/>
        </w:rPr>
        <w:t>SE</w:t>
      </w:r>
      <w:r w:rsidRPr="007067E8">
        <w:rPr>
          <w:b/>
          <w:bCs/>
          <w:sz w:val="20"/>
          <w:szCs w:val="20"/>
          <w:lang w:val="en-US"/>
        </w:rPr>
        <w:br/>
      </w:r>
      <w:proofErr w:type="gramStart"/>
      <w:r w:rsidRPr="007067E8">
        <w:rPr>
          <w:b/>
          <w:bCs/>
          <w:sz w:val="20"/>
          <w:szCs w:val="20"/>
          <w:lang w:val="en-US"/>
        </w:rPr>
        <w:t>Pre-close</w:t>
      </w:r>
      <w:proofErr w:type="gramEnd"/>
      <w:r w:rsidRPr="007067E8">
        <w:rPr>
          <w:b/>
          <w:bCs/>
          <w:sz w:val="20"/>
          <w:szCs w:val="20"/>
          <w:lang w:val="en-US"/>
        </w:rPr>
        <w:t xml:space="preserve"> trading update for the </w:t>
      </w:r>
      <w:r w:rsidR="00F16995">
        <w:rPr>
          <w:b/>
          <w:sz w:val="20"/>
          <w:szCs w:val="20"/>
          <w:lang w:val="en-US"/>
        </w:rPr>
        <w:t>second</w:t>
      </w:r>
      <w:r w:rsidR="009047F2" w:rsidRPr="007067E8">
        <w:rPr>
          <w:b/>
          <w:sz w:val="20"/>
          <w:szCs w:val="20"/>
          <w:lang w:val="en-US"/>
        </w:rPr>
        <w:t xml:space="preserve"> </w:t>
      </w:r>
      <w:r w:rsidRPr="007067E8">
        <w:rPr>
          <w:b/>
          <w:sz w:val="20"/>
          <w:szCs w:val="20"/>
          <w:lang w:val="en-US"/>
        </w:rPr>
        <w:t>quarter</w:t>
      </w:r>
      <w:r w:rsidR="00F16995">
        <w:rPr>
          <w:b/>
          <w:sz w:val="20"/>
          <w:szCs w:val="20"/>
          <w:lang w:val="en-US"/>
        </w:rPr>
        <w:t xml:space="preserve"> and six months</w:t>
      </w:r>
      <w:r w:rsidR="009047F2">
        <w:rPr>
          <w:b/>
          <w:sz w:val="20"/>
          <w:szCs w:val="20"/>
          <w:lang w:val="en-US"/>
        </w:rPr>
        <w:t xml:space="preserve"> ended 3</w:t>
      </w:r>
      <w:r w:rsidR="00F16995">
        <w:rPr>
          <w:b/>
          <w:sz w:val="20"/>
          <w:szCs w:val="20"/>
          <w:lang w:val="en-US"/>
        </w:rPr>
        <w:t>0 June</w:t>
      </w:r>
      <w:r w:rsidRPr="007067E8">
        <w:rPr>
          <w:b/>
          <w:sz w:val="20"/>
          <w:szCs w:val="20"/>
          <w:lang w:val="en-US"/>
        </w:rPr>
        <w:t xml:space="preserve"> 202</w:t>
      </w:r>
      <w:r w:rsidR="009047F2">
        <w:rPr>
          <w:b/>
          <w:sz w:val="20"/>
          <w:szCs w:val="20"/>
          <w:lang w:val="en-US"/>
        </w:rPr>
        <w:t>2</w:t>
      </w:r>
    </w:p>
    <w:p w14:paraId="386CBD96" w14:textId="2EB966A6" w:rsidR="008F7E2D" w:rsidRDefault="008F7E2D" w:rsidP="008F7E2D">
      <w:pPr>
        <w:pStyle w:val="c3"/>
        <w:jc w:val="both"/>
        <w:rPr>
          <w:sz w:val="20"/>
          <w:szCs w:val="20"/>
          <w:lang w:val="en-US"/>
        </w:rPr>
      </w:pPr>
      <w:r w:rsidRPr="007067E8">
        <w:rPr>
          <w:sz w:val="20"/>
          <w:szCs w:val="20"/>
          <w:lang w:val="en-US"/>
        </w:rPr>
        <w:t>MHP SE (LSE: MHPC), the parent company of a leading international</w:t>
      </w:r>
      <w:r w:rsidR="003169A2">
        <w:rPr>
          <w:sz w:val="20"/>
          <w:szCs w:val="20"/>
          <w:lang w:val="uk-UA"/>
        </w:rPr>
        <w:t xml:space="preserve"> </w:t>
      </w:r>
      <w:r w:rsidR="003169A2">
        <w:rPr>
          <w:sz w:val="20"/>
          <w:szCs w:val="20"/>
          <w:lang w:val="en-US"/>
        </w:rPr>
        <w:t xml:space="preserve">food &amp; </w:t>
      </w:r>
      <w:proofErr w:type="spellStart"/>
      <w:r w:rsidRPr="007067E8">
        <w:rPr>
          <w:sz w:val="20"/>
          <w:szCs w:val="20"/>
          <w:lang w:val="en-US"/>
        </w:rPr>
        <w:t>agro</w:t>
      </w:r>
      <w:r w:rsidR="003169A2">
        <w:rPr>
          <w:sz w:val="20"/>
          <w:szCs w:val="20"/>
          <w:lang w:val="en-US"/>
        </w:rPr>
        <w:t>tech</w:t>
      </w:r>
      <w:proofErr w:type="spellEnd"/>
      <w:r w:rsidRPr="007067E8">
        <w:rPr>
          <w:sz w:val="20"/>
          <w:szCs w:val="20"/>
          <w:lang w:val="en-US"/>
        </w:rPr>
        <w:t xml:space="preserve"> group with headquarters in Ukraine, today announces its pre-close trading update for the </w:t>
      </w:r>
      <w:r w:rsidR="00F16995">
        <w:rPr>
          <w:sz w:val="20"/>
          <w:szCs w:val="20"/>
          <w:lang w:val="en-US"/>
        </w:rPr>
        <w:t>second quarter and six</w:t>
      </w:r>
      <w:r w:rsidR="00000D60">
        <w:rPr>
          <w:sz w:val="20"/>
          <w:szCs w:val="20"/>
          <w:lang w:val="en-US"/>
        </w:rPr>
        <w:t xml:space="preserve"> months</w:t>
      </w:r>
      <w:r w:rsidR="00B0768B">
        <w:rPr>
          <w:sz w:val="20"/>
          <w:szCs w:val="20"/>
          <w:lang w:val="en-US"/>
        </w:rPr>
        <w:t xml:space="preserve"> </w:t>
      </w:r>
      <w:r w:rsidRPr="007067E8">
        <w:rPr>
          <w:sz w:val="20"/>
          <w:szCs w:val="20"/>
          <w:lang w:val="en-US"/>
        </w:rPr>
        <w:t>ended 3</w:t>
      </w:r>
      <w:r w:rsidR="00F16995">
        <w:rPr>
          <w:sz w:val="20"/>
          <w:szCs w:val="20"/>
          <w:lang w:val="en-US"/>
        </w:rPr>
        <w:t>0</w:t>
      </w:r>
      <w:r w:rsidRPr="007067E8">
        <w:rPr>
          <w:sz w:val="20"/>
          <w:szCs w:val="20"/>
          <w:lang w:val="en-US"/>
        </w:rPr>
        <w:t xml:space="preserve"> </w:t>
      </w:r>
      <w:r w:rsidR="00F16995">
        <w:rPr>
          <w:sz w:val="20"/>
          <w:szCs w:val="20"/>
          <w:lang w:val="en-US"/>
        </w:rPr>
        <w:t>June</w:t>
      </w:r>
      <w:r w:rsidRPr="007067E8">
        <w:rPr>
          <w:sz w:val="20"/>
          <w:szCs w:val="20"/>
          <w:lang w:val="en-US"/>
        </w:rPr>
        <w:t xml:space="preserve"> 202</w:t>
      </w:r>
      <w:r w:rsidR="00B0768B">
        <w:rPr>
          <w:sz w:val="20"/>
          <w:szCs w:val="20"/>
          <w:lang w:val="en-US"/>
        </w:rPr>
        <w:t>2</w:t>
      </w:r>
      <w:r w:rsidRPr="007067E8">
        <w:rPr>
          <w:sz w:val="20"/>
          <w:szCs w:val="20"/>
          <w:lang w:val="en-US"/>
        </w:rPr>
        <w:t xml:space="preserve">. Hereinafter, MHP SE and its subsidiaries are referred to as “MHP”, “The Company” or “The Group”. </w:t>
      </w:r>
    </w:p>
    <w:p w14:paraId="5965BD5B" w14:textId="6B6CC825" w:rsidR="00B0768B" w:rsidRPr="00D879F7" w:rsidRDefault="00B0768B" w:rsidP="008F7E2D">
      <w:pPr>
        <w:pStyle w:val="c3"/>
        <w:jc w:val="both"/>
        <w:rPr>
          <w:b/>
          <w:sz w:val="22"/>
          <w:szCs w:val="22"/>
        </w:rPr>
      </w:pPr>
      <w:r w:rsidRPr="00D879F7">
        <w:rPr>
          <w:b/>
          <w:sz w:val="22"/>
          <w:szCs w:val="22"/>
        </w:rPr>
        <w:t>WAR IN UKRAINE</w:t>
      </w:r>
    </w:p>
    <w:p w14:paraId="4644B51D" w14:textId="77777777" w:rsidR="00F16995" w:rsidRDefault="00B0768B" w:rsidP="008F7E2D">
      <w:pPr>
        <w:pStyle w:val="c3"/>
        <w:jc w:val="both"/>
        <w:rPr>
          <w:sz w:val="20"/>
          <w:szCs w:val="20"/>
          <w:lang w:val="en-US"/>
        </w:rPr>
      </w:pPr>
      <w:r w:rsidRPr="00000D60">
        <w:rPr>
          <w:sz w:val="20"/>
          <w:szCs w:val="20"/>
          <w:lang w:val="en-US"/>
        </w:rPr>
        <w:t>The military invasion of Ukraine by Russian forces began on 24 February</w:t>
      </w:r>
      <w:r w:rsidR="00913391">
        <w:rPr>
          <w:sz w:val="20"/>
          <w:szCs w:val="20"/>
          <w:lang w:val="en-US"/>
        </w:rPr>
        <w:t>, marking the beginning of</w:t>
      </w:r>
      <w:r w:rsidRPr="00000D60">
        <w:rPr>
          <w:sz w:val="20"/>
          <w:szCs w:val="20"/>
          <w:lang w:val="en-US"/>
        </w:rPr>
        <w:t xml:space="preserve"> </w:t>
      </w:r>
      <w:r>
        <w:rPr>
          <w:sz w:val="20"/>
          <w:szCs w:val="20"/>
          <w:lang w:val="en-US"/>
        </w:rPr>
        <w:t xml:space="preserve">a </w:t>
      </w:r>
      <w:r w:rsidRPr="00000D60">
        <w:rPr>
          <w:sz w:val="20"/>
          <w:szCs w:val="20"/>
          <w:lang w:val="en-US"/>
        </w:rPr>
        <w:t xml:space="preserve">full-scale war across Ukraine. </w:t>
      </w:r>
    </w:p>
    <w:p w14:paraId="21FD7B91" w14:textId="4E430223" w:rsidR="00C85F76" w:rsidRDefault="00F16995" w:rsidP="008F7E2D">
      <w:pPr>
        <w:pStyle w:val="c3"/>
        <w:jc w:val="both"/>
        <w:rPr>
          <w:sz w:val="20"/>
          <w:szCs w:val="20"/>
          <w:lang w:val="en-US"/>
        </w:rPr>
      </w:pPr>
      <w:r>
        <w:rPr>
          <w:sz w:val="20"/>
          <w:szCs w:val="20"/>
          <w:lang w:val="en-US"/>
        </w:rPr>
        <w:t>S</w:t>
      </w:r>
      <w:r w:rsidR="00BA130D">
        <w:rPr>
          <w:sz w:val="20"/>
          <w:szCs w:val="20"/>
          <w:lang w:val="en-US"/>
        </w:rPr>
        <w:t>ince</w:t>
      </w:r>
      <w:r w:rsidR="00EE76C3">
        <w:rPr>
          <w:sz w:val="20"/>
          <w:szCs w:val="20"/>
          <w:lang w:val="en-US"/>
        </w:rPr>
        <w:t xml:space="preserve"> the beginning of the war</w:t>
      </w:r>
      <w:r>
        <w:rPr>
          <w:sz w:val="20"/>
          <w:szCs w:val="20"/>
          <w:lang w:val="en-US"/>
        </w:rPr>
        <w:t>,</w:t>
      </w:r>
      <w:r w:rsidR="00EE76C3">
        <w:rPr>
          <w:sz w:val="20"/>
          <w:szCs w:val="20"/>
          <w:lang w:val="en-US"/>
        </w:rPr>
        <w:t xml:space="preserve"> the Company has been facing significant </w:t>
      </w:r>
      <w:r w:rsidR="005844BE">
        <w:rPr>
          <w:sz w:val="20"/>
          <w:szCs w:val="20"/>
          <w:lang w:val="en-US"/>
        </w:rPr>
        <w:t xml:space="preserve">logistical and infrastructure </w:t>
      </w:r>
      <w:r w:rsidR="001948EF">
        <w:rPr>
          <w:sz w:val="20"/>
          <w:szCs w:val="20"/>
          <w:lang w:val="en-US"/>
        </w:rPr>
        <w:t>challenges</w:t>
      </w:r>
      <w:r w:rsidR="001D1CAF">
        <w:rPr>
          <w:sz w:val="20"/>
          <w:szCs w:val="20"/>
          <w:lang w:val="en-US"/>
        </w:rPr>
        <w:t xml:space="preserve"> in Ukraine</w:t>
      </w:r>
      <w:r w:rsidR="00C85F76">
        <w:rPr>
          <w:sz w:val="20"/>
          <w:szCs w:val="20"/>
          <w:lang w:val="en-US"/>
        </w:rPr>
        <w:t>. The logistics</w:t>
      </w:r>
      <w:r>
        <w:rPr>
          <w:sz w:val="20"/>
          <w:szCs w:val="20"/>
          <w:lang w:val="en-US"/>
        </w:rPr>
        <w:t xml:space="preserve"> </w:t>
      </w:r>
      <w:r>
        <w:rPr>
          <w:color w:val="000000"/>
          <w:sz w:val="20"/>
          <w:szCs w:val="20"/>
          <w:lang w:val="en-US" w:eastAsia="uk-UA"/>
        </w:rPr>
        <w:t>continues to be</w:t>
      </w:r>
      <w:r w:rsidRPr="005C24EF">
        <w:rPr>
          <w:color w:val="000000"/>
          <w:sz w:val="20"/>
          <w:szCs w:val="20"/>
          <w:lang w:val="en-US" w:eastAsia="uk-UA"/>
        </w:rPr>
        <w:t xml:space="preserve"> challenging as </w:t>
      </w:r>
      <w:r>
        <w:rPr>
          <w:color w:val="000000"/>
          <w:sz w:val="20"/>
          <w:szCs w:val="20"/>
          <w:lang w:val="en-US" w:eastAsia="uk-UA"/>
        </w:rPr>
        <w:t xml:space="preserve">the </w:t>
      </w:r>
      <w:r w:rsidRPr="005C24EF">
        <w:rPr>
          <w:color w:val="000000"/>
          <w:sz w:val="20"/>
          <w:szCs w:val="20"/>
          <w:lang w:val="en-US" w:eastAsia="uk-UA"/>
        </w:rPr>
        <w:t>Black Sea ports remain blocked and alternative routes</w:t>
      </w:r>
      <w:r>
        <w:rPr>
          <w:color w:val="000000"/>
          <w:sz w:val="20"/>
          <w:szCs w:val="20"/>
          <w:lang w:val="en-US" w:eastAsia="uk-UA"/>
        </w:rPr>
        <w:t xml:space="preserve"> </w:t>
      </w:r>
      <w:r w:rsidRPr="005C24EF">
        <w:rPr>
          <w:color w:val="000000"/>
          <w:sz w:val="20"/>
          <w:szCs w:val="20"/>
          <w:lang w:val="en-US" w:eastAsia="uk-UA"/>
        </w:rPr>
        <w:t>are longer</w:t>
      </w:r>
      <w:r>
        <w:rPr>
          <w:color w:val="000000"/>
          <w:sz w:val="20"/>
          <w:szCs w:val="20"/>
          <w:lang w:val="en-US" w:eastAsia="uk-UA"/>
        </w:rPr>
        <w:t xml:space="preserve"> and</w:t>
      </w:r>
      <w:r w:rsidRPr="005C24EF">
        <w:rPr>
          <w:color w:val="000000"/>
          <w:sz w:val="20"/>
          <w:szCs w:val="20"/>
          <w:lang w:val="en-US" w:eastAsia="uk-UA"/>
        </w:rPr>
        <w:t xml:space="preserve"> </w:t>
      </w:r>
      <w:r>
        <w:rPr>
          <w:color w:val="000000"/>
          <w:sz w:val="20"/>
          <w:szCs w:val="20"/>
          <w:lang w:val="en-US" w:eastAsia="uk-UA"/>
        </w:rPr>
        <w:t xml:space="preserve">significantly more </w:t>
      </w:r>
      <w:r w:rsidRPr="005C24EF">
        <w:rPr>
          <w:color w:val="000000"/>
          <w:sz w:val="20"/>
          <w:szCs w:val="20"/>
          <w:lang w:val="en-US" w:eastAsia="uk-UA"/>
        </w:rPr>
        <w:t>complex</w:t>
      </w:r>
      <w:r>
        <w:rPr>
          <w:color w:val="000000"/>
          <w:sz w:val="20"/>
          <w:szCs w:val="20"/>
          <w:lang w:val="en-US" w:eastAsia="uk-UA"/>
        </w:rPr>
        <w:t>;</w:t>
      </w:r>
      <w:r w:rsidRPr="005C24EF">
        <w:rPr>
          <w:color w:val="000000"/>
          <w:sz w:val="20"/>
          <w:szCs w:val="20"/>
          <w:lang w:val="en-US" w:eastAsia="uk-UA"/>
        </w:rPr>
        <w:t xml:space="preserve"> </w:t>
      </w:r>
      <w:r>
        <w:rPr>
          <w:color w:val="000000"/>
          <w:sz w:val="20"/>
          <w:szCs w:val="20"/>
          <w:lang w:val="en-US" w:eastAsia="uk-UA"/>
        </w:rPr>
        <w:t>bottlenecks include numerous</w:t>
      </w:r>
      <w:r w:rsidRPr="005C24EF">
        <w:rPr>
          <w:color w:val="000000"/>
          <w:sz w:val="20"/>
          <w:szCs w:val="20"/>
          <w:lang w:val="en-US" w:eastAsia="uk-UA"/>
        </w:rPr>
        <w:t xml:space="preserve"> subcontractors </w:t>
      </w:r>
      <w:r>
        <w:rPr>
          <w:color w:val="000000"/>
          <w:sz w:val="20"/>
          <w:szCs w:val="20"/>
          <w:lang w:val="en-US" w:eastAsia="uk-UA"/>
        </w:rPr>
        <w:t>along the</w:t>
      </w:r>
      <w:r w:rsidRPr="005C24EF">
        <w:rPr>
          <w:color w:val="000000"/>
          <w:sz w:val="20"/>
          <w:szCs w:val="20"/>
          <w:lang w:val="en-US" w:eastAsia="uk-UA"/>
        </w:rPr>
        <w:t xml:space="preserve"> way to EU ports, complex logistics</w:t>
      </w:r>
      <w:r>
        <w:rPr>
          <w:color w:val="000000"/>
          <w:sz w:val="20"/>
          <w:szCs w:val="20"/>
          <w:lang w:val="en-US" w:eastAsia="uk-UA"/>
        </w:rPr>
        <w:t xml:space="preserve"> due to</w:t>
      </w:r>
      <w:r w:rsidRPr="005C24EF">
        <w:rPr>
          <w:color w:val="000000"/>
          <w:sz w:val="20"/>
          <w:szCs w:val="20"/>
          <w:lang w:val="en-US" w:eastAsia="uk-UA"/>
        </w:rPr>
        <w:t xml:space="preserve"> differ</w:t>
      </w:r>
      <w:r>
        <w:rPr>
          <w:color w:val="000000"/>
          <w:sz w:val="20"/>
          <w:szCs w:val="20"/>
          <w:lang w:val="en-US" w:eastAsia="uk-UA"/>
        </w:rPr>
        <w:t>ing</w:t>
      </w:r>
      <w:r w:rsidRPr="005C24EF">
        <w:rPr>
          <w:color w:val="000000"/>
          <w:sz w:val="20"/>
          <w:szCs w:val="20"/>
          <w:lang w:val="en-US" w:eastAsia="uk-UA"/>
        </w:rPr>
        <w:t xml:space="preserve"> railway gauges</w:t>
      </w:r>
      <w:r>
        <w:rPr>
          <w:color w:val="000000"/>
          <w:sz w:val="20"/>
          <w:szCs w:val="20"/>
          <w:lang w:val="en-US" w:eastAsia="uk-UA"/>
        </w:rPr>
        <w:t xml:space="preserve"> and</w:t>
      </w:r>
      <w:r w:rsidRPr="005C24EF">
        <w:rPr>
          <w:color w:val="000000"/>
          <w:sz w:val="20"/>
          <w:szCs w:val="20"/>
          <w:lang w:val="en-US" w:eastAsia="uk-UA"/>
        </w:rPr>
        <w:t xml:space="preserve"> long queues at the border.</w:t>
      </w:r>
      <w:r>
        <w:rPr>
          <w:sz w:val="20"/>
          <w:szCs w:val="20"/>
          <w:lang w:val="en-US"/>
        </w:rPr>
        <w:t xml:space="preserve"> </w:t>
      </w:r>
    </w:p>
    <w:p w14:paraId="516B5A3C" w14:textId="1EAE5B9E" w:rsidR="00EE76C3" w:rsidRDefault="001948EF" w:rsidP="008F7E2D">
      <w:pPr>
        <w:pStyle w:val="c3"/>
        <w:jc w:val="both"/>
        <w:rPr>
          <w:sz w:val="20"/>
          <w:szCs w:val="20"/>
          <w:lang w:val="en-US"/>
        </w:rPr>
      </w:pPr>
      <w:r>
        <w:rPr>
          <w:sz w:val="20"/>
          <w:szCs w:val="20"/>
          <w:lang w:val="en-US"/>
        </w:rPr>
        <w:t>Driven by restricted sales outside of the country</w:t>
      </w:r>
      <w:r w:rsidR="00C85F76">
        <w:rPr>
          <w:sz w:val="20"/>
          <w:szCs w:val="20"/>
          <w:lang w:val="en-US"/>
        </w:rPr>
        <w:t xml:space="preserve"> and diminished number of citizens as well as their incomes</w:t>
      </w:r>
      <w:r>
        <w:rPr>
          <w:sz w:val="20"/>
          <w:szCs w:val="20"/>
          <w:lang w:val="en-US"/>
        </w:rPr>
        <w:t>, MHP had to decrease poultry capacit</w:t>
      </w:r>
      <w:r w:rsidR="00AA05CD">
        <w:rPr>
          <w:sz w:val="20"/>
          <w:szCs w:val="20"/>
          <w:lang w:val="en-US"/>
        </w:rPr>
        <w:t>y</w:t>
      </w:r>
      <w:r>
        <w:rPr>
          <w:sz w:val="20"/>
          <w:szCs w:val="20"/>
          <w:lang w:val="en-US"/>
        </w:rPr>
        <w:t xml:space="preserve"> utilization to 85</w:t>
      </w:r>
      <w:r w:rsidR="00C85F76">
        <w:rPr>
          <w:sz w:val="20"/>
          <w:szCs w:val="20"/>
          <w:lang w:val="en-US"/>
        </w:rPr>
        <w:t>-90</w:t>
      </w:r>
      <w:r>
        <w:rPr>
          <w:sz w:val="20"/>
          <w:szCs w:val="20"/>
          <w:lang w:val="en-US"/>
        </w:rPr>
        <w:t xml:space="preserve">%. </w:t>
      </w:r>
    </w:p>
    <w:p w14:paraId="7A0C59B4" w14:textId="77777777" w:rsidR="00C57DB6" w:rsidRPr="00113315" w:rsidRDefault="00C57DB6" w:rsidP="00C57DB6">
      <w:pPr>
        <w:pStyle w:val="c3"/>
        <w:jc w:val="both"/>
        <w:rPr>
          <w:b/>
          <w:sz w:val="22"/>
          <w:szCs w:val="22"/>
        </w:rPr>
      </w:pPr>
      <w:r w:rsidRPr="00113315">
        <w:rPr>
          <w:b/>
          <w:sz w:val="22"/>
          <w:szCs w:val="22"/>
        </w:rPr>
        <w:t>POULTRY AND RELATED OPERATIONS</w:t>
      </w:r>
      <w:r>
        <w:rPr>
          <w:b/>
          <w:sz w:val="22"/>
          <w:szCs w:val="22"/>
        </w:rPr>
        <w:t xml:space="preserve"> (w/o PP)</w:t>
      </w:r>
    </w:p>
    <w:p w14:paraId="3FA9F31B" w14:textId="57E708B7" w:rsidR="00C57DB6" w:rsidRPr="00C57DB6" w:rsidRDefault="00C57DB6" w:rsidP="00C57DB6">
      <w:pPr>
        <w:pStyle w:val="c3"/>
        <w:jc w:val="both"/>
        <w:rPr>
          <w:color w:val="000000" w:themeColor="text1"/>
          <w:sz w:val="20"/>
          <w:szCs w:val="20"/>
          <w:lang w:val="en-US"/>
        </w:rPr>
      </w:pPr>
      <w:r w:rsidRPr="00C57DB6">
        <w:rPr>
          <w:color w:val="000000" w:themeColor="text1"/>
          <w:sz w:val="20"/>
          <w:szCs w:val="20"/>
          <w:lang w:val="en-US"/>
        </w:rPr>
        <w:t>Poultry production volumes in Q2 202</w:t>
      </w:r>
      <w:r>
        <w:rPr>
          <w:color w:val="000000" w:themeColor="text1"/>
          <w:sz w:val="20"/>
          <w:szCs w:val="20"/>
          <w:lang w:val="en-US"/>
        </w:rPr>
        <w:t>2</w:t>
      </w:r>
      <w:r w:rsidRPr="00C57DB6">
        <w:rPr>
          <w:color w:val="000000" w:themeColor="text1"/>
          <w:sz w:val="20"/>
          <w:szCs w:val="20"/>
          <w:lang w:val="en-US"/>
        </w:rPr>
        <w:t xml:space="preserve"> </w:t>
      </w:r>
      <w:r>
        <w:rPr>
          <w:color w:val="000000" w:themeColor="text1"/>
          <w:sz w:val="20"/>
          <w:szCs w:val="20"/>
          <w:lang w:val="en-US"/>
        </w:rPr>
        <w:t>de</w:t>
      </w:r>
      <w:r w:rsidRPr="00C57DB6">
        <w:rPr>
          <w:color w:val="000000" w:themeColor="text1"/>
          <w:sz w:val="20"/>
          <w:szCs w:val="20"/>
          <w:lang w:val="en-US"/>
        </w:rPr>
        <w:t xml:space="preserve">creased by </w:t>
      </w:r>
      <w:r>
        <w:rPr>
          <w:color w:val="000000" w:themeColor="text1"/>
          <w:sz w:val="20"/>
          <w:szCs w:val="20"/>
          <w:lang w:val="en-US"/>
        </w:rPr>
        <w:t>11</w:t>
      </w:r>
      <w:r w:rsidRPr="00C57DB6">
        <w:rPr>
          <w:color w:val="000000" w:themeColor="text1"/>
          <w:sz w:val="20"/>
          <w:szCs w:val="20"/>
          <w:lang w:val="en-US"/>
        </w:rPr>
        <w:t>% to 1</w:t>
      </w:r>
      <w:r>
        <w:rPr>
          <w:color w:val="000000" w:themeColor="text1"/>
          <w:sz w:val="20"/>
          <w:szCs w:val="20"/>
          <w:lang w:val="en-US"/>
        </w:rPr>
        <w:t>70</w:t>
      </w:r>
      <w:r w:rsidRPr="00C57DB6">
        <w:rPr>
          <w:color w:val="000000" w:themeColor="text1"/>
          <w:sz w:val="20"/>
          <w:szCs w:val="20"/>
          <w:lang w:val="en-US"/>
        </w:rPr>
        <w:t>,</w:t>
      </w:r>
      <w:r>
        <w:rPr>
          <w:color w:val="000000" w:themeColor="text1"/>
          <w:sz w:val="20"/>
          <w:szCs w:val="20"/>
          <w:lang w:val="en-US"/>
        </w:rPr>
        <w:t>395</w:t>
      </w:r>
      <w:r w:rsidRPr="00C57DB6">
        <w:rPr>
          <w:color w:val="000000" w:themeColor="text1"/>
          <w:sz w:val="20"/>
          <w:szCs w:val="20"/>
          <w:lang w:val="en-US"/>
        </w:rPr>
        <w:t xml:space="preserve"> </w:t>
      </w:r>
      <w:proofErr w:type="spellStart"/>
      <w:r w:rsidRPr="00C57DB6">
        <w:rPr>
          <w:color w:val="000000" w:themeColor="text1"/>
          <w:sz w:val="20"/>
          <w:szCs w:val="20"/>
          <w:lang w:val="en-US"/>
        </w:rPr>
        <w:t>tonnes</w:t>
      </w:r>
      <w:proofErr w:type="spellEnd"/>
      <w:r w:rsidRPr="00C57DB6">
        <w:rPr>
          <w:color w:val="000000" w:themeColor="text1"/>
          <w:sz w:val="20"/>
          <w:szCs w:val="20"/>
          <w:lang w:val="en-US"/>
        </w:rPr>
        <w:t xml:space="preserve"> (Q2 202</w:t>
      </w:r>
      <w:r>
        <w:rPr>
          <w:color w:val="000000" w:themeColor="text1"/>
          <w:sz w:val="20"/>
          <w:szCs w:val="20"/>
          <w:lang w:val="en-US"/>
        </w:rPr>
        <w:t>1</w:t>
      </w:r>
      <w:r w:rsidRPr="00C57DB6">
        <w:rPr>
          <w:color w:val="000000" w:themeColor="text1"/>
          <w:sz w:val="20"/>
          <w:szCs w:val="20"/>
          <w:lang w:val="en-US"/>
        </w:rPr>
        <w:t>: 1</w:t>
      </w:r>
      <w:r>
        <w:rPr>
          <w:color w:val="000000" w:themeColor="text1"/>
          <w:sz w:val="20"/>
          <w:szCs w:val="20"/>
          <w:lang w:val="en-US"/>
        </w:rPr>
        <w:t>90</w:t>
      </w:r>
      <w:r w:rsidRPr="00C57DB6">
        <w:rPr>
          <w:color w:val="000000" w:themeColor="text1"/>
          <w:sz w:val="20"/>
          <w:szCs w:val="20"/>
          <w:lang w:val="en-US"/>
        </w:rPr>
        <w:t>,</w:t>
      </w:r>
      <w:r>
        <w:rPr>
          <w:color w:val="000000" w:themeColor="text1"/>
          <w:sz w:val="20"/>
          <w:szCs w:val="20"/>
          <w:lang w:val="en-US"/>
        </w:rPr>
        <w:t>908</w:t>
      </w:r>
      <w:r w:rsidRPr="00C57DB6">
        <w:rPr>
          <w:color w:val="000000" w:themeColor="text1"/>
          <w:sz w:val="20"/>
          <w:szCs w:val="20"/>
          <w:lang w:val="en-US"/>
        </w:rPr>
        <w:t xml:space="preserve"> </w:t>
      </w:r>
      <w:proofErr w:type="spellStart"/>
      <w:r w:rsidRPr="00C57DB6">
        <w:rPr>
          <w:color w:val="000000" w:themeColor="text1"/>
          <w:sz w:val="20"/>
          <w:szCs w:val="20"/>
          <w:lang w:val="en-US"/>
        </w:rPr>
        <w:t>tonnes</w:t>
      </w:r>
      <w:proofErr w:type="spellEnd"/>
      <w:r w:rsidRPr="00C57DB6">
        <w:rPr>
          <w:color w:val="000000" w:themeColor="text1"/>
          <w:sz w:val="20"/>
          <w:szCs w:val="20"/>
          <w:lang w:val="en-US"/>
        </w:rPr>
        <w:t xml:space="preserve">) and </w:t>
      </w:r>
      <w:r>
        <w:rPr>
          <w:color w:val="000000" w:themeColor="text1"/>
          <w:sz w:val="20"/>
          <w:szCs w:val="20"/>
          <w:lang w:val="en-US"/>
        </w:rPr>
        <w:t xml:space="preserve">remained relatively stable </w:t>
      </w:r>
      <w:r w:rsidRPr="00C57DB6">
        <w:rPr>
          <w:color w:val="000000" w:themeColor="text1"/>
          <w:sz w:val="20"/>
          <w:szCs w:val="20"/>
          <w:lang w:val="en-US"/>
        </w:rPr>
        <w:t>compared to Q1 202</w:t>
      </w:r>
      <w:r>
        <w:rPr>
          <w:color w:val="000000" w:themeColor="text1"/>
          <w:sz w:val="20"/>
          <w:szCs w:val="20"/>
          <w:lang w:val="en-US"/>
        </w:rPr>
        <w:t>2</w:t>
      </w:r>
      <w:r w:rsidRPr="00C57DB6">
        <w:rPr>
          <w:color w:val="000000" w:themeColor="text1"/>
          <w:sz w:val="20"/>
          <w:szCs w:val="20"/>
          <w:lang w:val="en-US"/>
        </w:rPr>
        <w:t xml:space="preserve"> (</w:t>
      </w:r>
      <w:r w:rsidRPr="00C57DB6">
        <w:rPr>
          <w:sz w:val="20"/>
          <w:szCs w:val="20"/>
          <w:lang w:val="en-US"/>
        </w:rPr>
        <w:t>1</w:t>
      </w:r>
      <w:r>
        <w:rPr>
          <w:sz w:val="20"/>
          <w:szCs w:val="20"/>
          <w:lang w:val="en-US"/>
        </w:rPr>
        <w:t>75</w:t>
      </w:r>
      <w:r w:rsidRPr="00C57DB6">
        <w:rPr>
          <w:sz w:val="20"/>
          <w:szCs w:val="20"/>
          <w:lang w:val="en-US"/>
        </w:rPr>
        <w:t>,6</w:t>
      </w:r>
      <w:r>
        <w:rPr>
          <w:sz w:val="20"/>
          <w:szCs w:val="20"/>
          <w:lang w:val="en-US"/>
        </w:rPr>
        <w:t>44</w:t>
      </w:r>
      <w:r w:rsidRPr="00C57DB6">
        <w:rPr>
          <w:sz w:val="20"/>
          <w:szCs w:val="20"/>
          <w:lang w:val="en-US"/>
        </w:rPr>
        <w:t xml:space="preserve"> </w:t>
      </w:r>
      <w:proofErr w:type="spellStart"/>
      <w:r w:rsidRPr="00C57DB6">
        <w:rPr>
          <w:color w:val="000000" w:themeColor="text1"/>
          <w:sz w:val="20"/>
          <w:szCs w:val="20"/>
          <w:lang w:val="en-US"/>
        </w:rPr>
        <w:t>tonnes</w:t>
      </w:r>
      <w:proofErr w:type="spellEnd"/>
      <w:r w:rsidRPr="00C57DB6">
        <w:rPr>
          <w:color w:val="000000" w:themeColor="text1"/>
          <w:sz w:val="20"/>
          <w:szCs w:val="20"/>
          <w:lang w:val="en-US"/>
        </w:rPr>
        <w:t>). In H1 202</w:t>
      </w:r>
      <w:r>
        <w:rPr>
          <w:color w:val="000000" w:themeColor="text1"/>
          <w:sz w:val="20"/>
          <w:szCs w:val="20"/>
          <w:lang w:val="en-US"/>
        </w:rPr>
        <w:t>2</w:t>
      </w:r>
      <w:r w:rsidRPr="00C57DB6">
        <w:rPr>
          <w:color w:val="000000" w:themeColor="text1"/>
          <w:sz w:val="20"/>
          <w:szCs w:val="20"/>
          <w:lang w:val="en-US"/>
        </w:rPr>
        <w:t xml:space="preserve"> poultry production volumes remained relatively stable at 3</w:t>
      </w:r>
      <w:r w:rsidR="00675E5F">
        <w:rPr>
          <w:color w:val="000000" w:themeColor="text1"/>
          <w:sz w:val="20"/>
          <w:szCs w:val="20"/>
          <w:lang w:val="en-US"/>
        </w:rPr>
        <w:t>46,039</w:t>
      </w:r>
      <w:r w:rsidRPr="00C57DB6">
        <w:rPr>
          <w:color w:val="000000" w:themeColor="text1"/>
          <w:sz w:val="20"/>
          <w:szCs w:val="20"/>
          <w:lang w:val="en-US"/>
        </w:rPr>
        <w:t xml:space="preserve"> </w:t>
      </w:r>
      <w:proofErr w:type="spellStart"/>
      <w:r w:rsidRPr="00C57DB6">
        <w:rPr>
          <w:color w:val="000000" w:themeColor="text1"/>
          <w:sz w:val="20"/>
          <w:szCs w:val="20"/>
          <w:lang w:val="en-US"/>
        </w:rPr>
        <w:t>tonnes</w:t>
      </w:r>
      <w:proofErr w:type="spellEnd"/>
      <w:r w:rsidRPr="00C57DB6">
        <w:rPr>
          <w:color w:val="000000" w:themeColor="text1"/>
          <w:sz w:val="20"/>
          <w:szCs w:val="20"/>
          <w:lang w:val="en-US"/>
        </w:rPr>
        <w:t xml:space="preserve"> (H1 202</w:t>
      </w:r>
      <w:r w:rsidR="00675E5F">
        <w:rPr>
          <w:color w:val="000000" w:themeColor="text1"/>
          <w:sz w:val="20"/>
          <w:szCs w:val="20"/>
          <w:lang w:val="en-US"/>
        </w:rPr>
        <w:t>1</w:t>
      </w:r>
      <w:r w:rsidRPr="00C57DB6">
        <w:rPr>
          <w:color w:val="000000" w:themeColor="text1"/>
          <w:sz w:val="20"/>
          <w:szCs w:val="20"/>
          <w:lang w:val="en-US"/>
        </w:rPr>
        <w:t xml:space="preserve">: 357,531 </w:t>
      </w:r>
      <w:proofErr w:type="spellStart"/>
      <w:r w:rsidRPr="00C57DB6">
        <w:rPr>
          <w:color w:val="000000" w:themeColor="text1"/>
          <w:sz w:val="20"/>
          <w:szCs w:val="20"/>
          <w:lang w:val="en-US"/>
        </w:rPr>
        <w:t>tonnes</w:t>
      </w:r>
      <w:proofErr w:type="spellEnd"/>
      <w:r w:rsidRPr="00C57DB6">
        <w:rPr>
          <w:color w:val="000000" w:themeColor="text1"/>
          <w:sz w:val="20"/>
          <w:szCs w:val="20"/>
          <w:lang w:val="en-US"/>
        </w:rPr>
        <w:t xml:space="preserve">).  </w:t>
      </w:r>
    </w:p>
    <w:p w14:paraId="31DBE7F9" w14:textId="77777777" w:rsidR="00C57DB6" w:rsidRDefault="00C57DB6" w:rsidP="00C57DB6">
      <w:pPr>
        <w:pStyle w:val="c3"/>
        <w:jc w:val="both"/>
        <w:rPr>
          <w:b/>
          <w:sz w:val="22"/>
          <w:szCs w:val="22"/>
          <w:lang w:val="en-US"/>
        </w:rPr>
      </w:pPr>
      <w:r w:rsidRPr="00113315">
        <w:rPr>
          <w:b/>
          <w:sz w:val="22"/>
          <w:szCs w:val="22"/>
          <w:lang w:val="en-US"/>
        </w:rPr>
        <w:t>Poultry Sales</w:t>
      </w:r>
      <w:r>
        <w:rPr>
          <w:b/>
          <w:sz w:val="22"/>
          <w:szCs w:val="22"/>
          <w:lang w:val="en-US"/>
        </w:rPr>
        <w:t xml:space="preserve"> </w:t>
      </w:r>
    </w:p>
    <w:p w14:paraId="5C5F0543" w14:textId="7273409D" w:rsidR="00C57DB6" w:rsidRPr="00675E5F" w:rsidRDefault="00FD6F39" w:rsidP="00C57DB6">
      <w:pPr>
        <w:pStyle w:val="c3"/>
        <w:jc w:val="both"/>
        <w:rPr>
          <w:color w:val="000000" w:themeColor="text1"/>
          <w:sz w:val="20"/>
          <w:szCs w:val="20"/>
          <w:lang w:val="en-US"/>
        </w:rPr>
      </w:pPr>
      <w:r w:rsidRPr="00675E5F">
        <w:rPr>
          <w:color w:val="000000" w:themeColor="text1"/>
          <w:sz w:val="20"/>
          <w:szCs w:val="20"/>
          <w:lang w:val="en-US"/>
        </w:rPr>
        <w:t>Driven by war-related challenges</w:t>
      </w:r>
      <w:r>
        <w:rPr>
          <w:color w:val="000000" w:themeColor="text1"/>
          <w:sz w:val="20"/>
          <w:szCs w:val="20"/>
          <w:lang w:val="en-US"/>
        </w:rPr>
        <w:t>, duri</w:t>
      </w:r>
      <w:r w:rsidR="00C57DB6" w:rsidRPr="00675E5F">
        <w:rPr>
          <w:color w:val="000000" w:themeColor="text1"/>
          <w:sz w:val="20"/>
          <w:szCs w:val="20"/>
          <w:lang w:val="en-US"/>
        </w:rPr>
        <w:t>ng Q2 202</w:t>
      </w:r>
      <w:r w:rsidR="00675E5F" w:rsidRPr="00675E5F">
        <w:rPr>
          <w:color w:val="000000" w:themeColor="text1"/>
          <w:sz w:val="20"/>
          <w:szCs w:val="20"/>
          <w:lang w:val="en-US"/>
        </w:rPr>
        <w:t>2</w:t>
      </w:r>
      <w:r>
        <w:rPr>
          <w:color w:val="000000" w:themeColor="text1"/>
          <w:sz w:val="20"/>
          <w:szCs w:val="20"/>
          <w:lang w:val="en-US"/>
        </w:rPr>
        <w:t>,</w:t>
      </w:r>
      <w:r w:rsidR="00675E5F" w:rsidRPr="00675E5F">
        <w:rPr>
          <w:color w:val="000000" w:themeColor="text1"/>
          <w:sz w:val="20"/>
          <w:szCs w:val="20"/>
          <w:lang w:val="en-US"/>
        </w:rPr>
        <w:t xml:space="preserve"> </w:t>
      </w:r>
      <w:r w:rsidR="00C57DB6" w:rsidRPr="00675E5F">
        <w:rPr>
          <w:color w:val="000000" w:themeColor="text1"/>
          <w:sz w:val="20"/>
          <w:szCs w:val="20"/>
          <w:lang w:val="en-US"/>
        </w:rPr>
        <w:t xml:space="preserve">third </w:t>
      </w:r>
      <w:proofErr w:type="gramStart"/>
      <w:r w:rsidR="00C57DB6" w:rsidRPr="00675E5F">
        <w:rPr>
          <w:color w:val="000000" w:themeColor="text1"/>
          <w:sz w:val="20"/>
          <w:szCs w:val="20"/>
          <w:lang w:val="en-US"/>
        </w:rPr>
        <w:t>parties</w:t>
      </w:r>
      <w:proofErr w:type="gramEnd"/>
      <w:r w:rsidR="00C57DB6" w:rsidRPr="00675E5F">
        <w:rPr>
          <w:color w:val="000000" w:themeColor="text1"/>
          <w:sz w:val="20"/>
          <w:szCs w:val="20"/>
          <w:lang w:val="en-US"/>
        </w:rPr>
        <w:t xml:space="preserve"> sales </w:t>
      </w:r>
      <w:r w:rsidR="00675E5F">
        <w:rPr>
          <w:color w:val="000000" w:themeColor="text1"/>
          <w:sz w:val="20"/>
          <w:szCs w:val="20"/>
          <w:lang w:val="en-US"/>
        </w:rPr>
        <w:t>de</w:t>
      </w:r>
      <w:r w:rsidR="00C57DB6" w:rsidRPr="00675E5F">
        <w:rPr>
          <w:color w:val="000000" w:themeColor="text1"/>
          <w:sz w:val="20"/>
          <w:szCs w:val="20"/>
          <w:lang w:val="en-US"/>
        </w:rPr>
        <w:t xml:space="preserve">creased by </w:t>
      </w:r>
      <w:r>
        <w:rPr>
          <w:color w:val="000000" w:themeColor="text1"/>
          <w:sz w:val="20"/>
          <w:szCs w:val="20"/>
          <w:lang w:val="en-US"/>
        </w:rPr>
        <w:t>23</w:t>
      </w:r>
      <w:r w:rsidR="00C57DB6" w:rsidRPr="00675E5F">
        <w:rPr>
          <w:color w:val="000000" w:themeColor="text1"/>
          <w:sz w:val="20"/>
          <w:szCs w:val="20"/>
          <w:lang w:val="en-US"/>
        </w:rPr>
        <w:t>% to 1</w:t>
      </w:r>
      <w:r>
        <w:rPr>
          <w:color w:val="000000" w:themeColor="text1"/>
          <w:sz w:val="20"/>
          <w:szCs w:val="20"/>
          <w:lang w:val="en-US"/>
        </w:rPr>
        <w:t xml:space="preserve">40,549 </w:t>
      </w:r>
      <w:proofErr w:type="spellStart"/>
      <w:r w:rsidR="00C57DB6" w:rsidRPr="00675E5F">
        <w:rPr>
          <w:color w:val="000000" w:themeColor="text1"/>
          <w:sz w:val="20"/>
          <w:szCs w:val="20"/>
          <w:lang w:val="en-US"/>
        </w:rPr>
        <w:t>tonnes</w:t>
      </w:r>
      <w:proofErr w:type="spellEnd"/>
      <w:r>
        <w:rPr>
          <w:color w:val="000000" w:themeColor="text1"/>
          <w:sz w:val="20"/>
          <w:szCs w:val="20"/>
          <w:lang w:val="en-US"/>
        </w:rPr>
        <w:t xml:space="preserve"> mainly as a result of lower exports adversely effected by difficult and disrupted logistics</w:t>
      </w:r>
      <w:r w:rsidR="00C57DB6" w:rsidRPr="00675E5F">
        <w:rPr>
          <w:color w:val="000000" w:themeColor="text1"/>
          <w:sz w:val="20"/>
          <w:szCs w:val="20"/>
          <w:lang w:val="en-US"/>
        </w:rPr>
        <w:t xml:space="preserve">. </w:t>
      </w:r>
    </w:p>
    <w:p w14:paraId="4884FAB1" w14:textId="77777777" w:rsidR="00C57DB6" w:rsidRDefault="00C57DB6" w:rsidP="00C57DB6">
      <w:pPr>
        <w:pStyle w:val="c3"/>
        <w:jc w:val="both"/>
        <w:rPr>
          <w:color w:val="000000" w:themeColor="text1"/>
          <w:sz w:val="22"/>
          <w:szCs w:val="22"/>
          <w:lang w:val="en-US"/>
        </w:rPr>
      </w:pPr>
    </w:p>
    <w:p w14:paraId="30923CC8" w14:textId="1741B3FA" w:rsidR="00C57DB6" w:rsidRDefault="00C57DB6" w:rsidP="00C57DB6">
      <w:pPr>
        <w:pStyle w:val="c3"/>
        <w:jc w:val="both"/>
        <w:rPr>
          <w:sz w:val="22"/>
          <w:szCs w:val="22"/>
          <w:lang w:val="en-US"/>
        </w:rPr>
      </w:pPr>
      <w:r>
        <w:rPr>
          <w:sz w:val="22"/>
          <w:szCs w:val="22"/>
          <w:lang w:val="en-US"/>
        </w:rPr>
        <w:tab/>
      </w:r>
      <w:r>
        <w:rPr>
          <w:sz w:val="22"/>
          <w:szCs w:val="22"/>
          <w:lang w:val="en-US"/>
        </w:rPr>
        <w:tab/>
      </w:r>
      <w:r w:rsidRPr="00DF5064">
        <w:rPr>
          <w:b/>
          <w:sz w:val="22"/>
          <w:szCs w:val="22"/>
          <w:u w:val="single"/>
          <w:lang w:val="en-US"/>
        </w:rPr>
        <w:t>H1 202</w:t>
      </w:r>
      <w:r w:rsidR="00FD6F39">
        <w:rPr>
          <w:b/>
          <w:sz w:val="22"/>
          <w:szCs w:val="22"/>
          <w:u w:val="single"/>
          <w:lang w:val="en-US"/>
        </w:rPr>
        <w:t>2</w:t>
      </w:r>
      <w:r w:rsidRPr="00DF5064">
        <w:rPr>
          <w:sz w:val="22"/>
          <w:szCs w:val="22"/>
          <w:lang w:val="en-US"/>
        </w:rPr>
        <w:tab/>
      </w:r>
      <w:r w:rsidRPr="00DF5064">
        <w:rPr>
          <w:sz w:val="22"/>
          <w:szCs w:val="22"/>
          <w:lang w:val="en-US"/>
        </w:rPr>
        <w:tab/>
      </w:r>
      <w:r w:rsidRPr="00DF5064">
        <w:rPr>
          <w:sz w:val="22"/>
          <w:szCs w:val="22"/>
          <w:lang w:val="en-US"/>
        </w:rPr>
        <w:tab/>
      </w:r>
      <w:r w:rsidRPr="00DF5064">
        <w:rPr>
          <w:sz w:val="22"/>
          <w:szCs w:val="22"/>
          <w:lang w:val="en-US"/>
        </w:rPr>
        <w:tab/>
      </w:r>
      <w:r w:rsidRPr="00DF5064">
        <w:rPr>
          <w:sz w:val="22"/>
          <w:szCs w:val="22"/>
          <w:lang w:val="en-US"/>
        </w:rPr>
        <w:tab/>
      </w:r>
      <w:r w:rsidRPr="00DF5064">
        <w:rPr>
          <w:b/>
          <w:sz w:val="22"/>
          <w:szCs w:val="22"/>
          <w:u w:val="single"/>
          <w:lang w:val="en-US"/>
        </w:rPr>
        <w:t>H1 2021</w:t>
      </w:r>
    </w:p>
    <w:p w14:paraId="75328E62" w14:textId="77777777" w:rsidR="00C57DB6" w:rsidRDefault="00C57DB6" w:rsidP="00C57DB6">
      <w:pPr>
        <w:pStyle w:val="c3"/>
        <w:jc w:val="both"/>
        <w:rPr>
          <w:color w:val="000000" w:themeColor="text1"/>
          <w:sz w:val="22"/>
          <w:szCs w:val="22"/>
          <w:lang w:val="en-US"/>
        </w:rPr>
      </w:pPr>
      <w:r>
        <w:rPr>
          <w:noProof/>
          <w:sz w:val="22"/>
          <w:szCs w:val="22"/>
          <w:lang w:val="en-US" w:eastAsia="en-US"/>
        </w:rPr>
        <w:drawing>
          <wp:inline distT="0" distB="0" distL="0" distR="0" wp14:anchorId="1B9AFA27" wp14:editId="08EDB735">
            <wp:extent cx="2686050" cy="16859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sz w:val="22"/>
          <w:szCs w:val="22"/>
          <w:lang w:val="en-US" w:eastAsia="en-US"/>
        </w:rPr>
        <w:drawing>
          <wp:inline distT="0" distB="0" distL="0" distR="0" wp14:anchorId="507F00B2" wp14:editId="334A9796">
            <wp:extent cx="2876550" cy="16859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5000" w:type="pct"/>
        <w:tblLayout w:type="fixed"/>
        <w:tblLook w:val="04A0" w:firstRow="1" w:lastRow="0" w:firstColumn="1" w:lastColumn="0" w:noHBand="0" w:noVBand="1"/>
      </w:tblPr>
      <w:tblGrid>
        <w:gridCol w:w="2297"/>
        <w:gridCol w:w="259"/>
        <w:gridCol w:w="921"/>
        <w:gridCol w:w="921"/>
        <w:gridCol w:w="921"/>
        <w:gridCol w:w="921"/>
        <w:gridCol w:w="921"/>
        <w:gridCol w:w="921"/>
        <w:gridCol w:w="921"/>
        <w:gridCol w:w="919"/>
      </w:tblGrid>
      <w:tr w:rsidR="00300447" w:rsidRPr="00300447" w14:paraId="5329FF50" w14:textId="77777777" w:rsidTr="00F56364">
        <w:trPr>
          <w:trHeight w:val="352"/>
        </w:trPr>
        <w:tc>
          <w:tcPr>
            <w:tcW w:w="1158" w:type="pct"/>
            <w:tcBorders>
              <w:bottom w:val="single" w:sz="12" w:space="0" w:color="auto"/>
            </w:tcBorders>
            <w:shd w:val="clear" w:color="auto" w:fill="auto"/>
            <w:noWrap/>
            <w:vAlign w:val="center"/>
          </w:tcPr>
          <w:p w14:paraId="32169954" w14:textId="77777777" w:rsidR="00300447" w:rsidRPr="00300447" w:rsidRDefault="00300447" w:rsidP="00F56364">
            <w:pPr>
              <w:spacing w:after="0" w:line="240" w:lineRule="auto"/>
              <w:jc w:val="both"/>
              <w:rPr>
                <w:rFonts w:ascii="Arial" w:eastAsia="Times New Roman" w:hAnsi="Arial" w:cs="Arial"/>
                <w:b/>
                <w:color w:val="000000"/>
                <w:sz w:val="18"/>
                <w:szCs w:val="18"/>
                <w:lang w:val="en-US" w:eastAsia="ru-RU"/>
              </w:rPr>
            </w:pPr>
            <w:bookmarkStart w:id="0" w:name="OLE_LINK7"/>
            <w:r w:rsidRPr="00300447">
              <w:rPr>
                <w:rFonts w:ascii="Arial" w:eastAsia="Times New Roman" w:hAnsi="Arial" w:cs="Arial"/>
                <w:b/>
                <w:color w:val="000000"/>
                <w:sz w:val="18"/>
                <w:szCs w:val="18"/>
                <w:lang w:val="en-US" w:eastAsia="ru-RU"/>
              </w:rPr>
              <w:lastRenderedPageBreak/>
              <w:t>Poultry</w:t>
            </w:r>
          </w:p>
        </w:tc>
        <w:tc>
          <w:tcPr>
            <w:tcW w:w="131" w:type="pct"/>
            <w:vAlign w:val="center"/>
          </w:tcPr>
          <w:p w14:paraId="2804EFC7" w14:textId="77777777" w:rsidR="00300447" w:rsidRPr="00300447" w:rsidRDefault="00300447" w:rsidP="00F56364">
            <w:pPr>
              <w:spacing w:after="0" w:line="240" w:lineRule="auto"/>
              <w:jc w:val="right"/>
              <w:rPr>
                <w:rFonts w:ascii="Arial" w:eastAsia="Times New Roman" w:hAnsi="Arial" w:cs="Arial"/>
                <w:color w:val="000000"/>
                <w:sz w:val="18"/>
                <w:szCs w:val="18"/>
                <w:lang w:val="en-US" w:eastAsia="ru-RU"/>
              </w:rPr>
            </w:pPr>
          </w:p>
        </w:tc>
        <w:tc>
          <w:tcPr>
            <w:tcW w:w="464" w:type="pct"/>
            <w:tcBorders>
              <w:top w:val="single" w:sz="12" w:space="0" w:color="auto"/>
              <w:bottom w:val="single" w:sz="12" w:space="0" w:color="auto"/>
            </w:tcBorders>
            <w:shd w:val="clear" w:color="auto" w:fill="auto"/>
            <w:noWrap/>
            <w:vAlign w:val="center"/>
          </w:tcPr>
          <w:p w14:paraId="606F6AFA" w14:textId="7EC8471C" w:rsidR="00300447" w:rsidRPr="00300447" w:rsidRDefault="00300447" w:rsidP="00F56364">
            <w:pPr>
              <w:spacing w:after="0" w:line="240" w:lineRule="auto"/>
              <w:jc w:val="right"/>
              <w:rPr>
                <w:rFonts w:ascii="Arial" w:eastAsia="Times New Roman" w:hAnsi="Arial" w:cs="Arial"/>
                <w:b/>
                <w:color w:val="000000"/>
                <w:sz w:val="18"/>
                <w:szCs w:val="18"/>
                <w:lang w:val="uk-UA" w:eastAsia="ru-RU"/>
              </w:rPr>
            </w:pPr>
            <w:r w:rsidRPr="00300447">
              <w:rPr>
                <w:rFonts w:ascii="Arial" w:eastAsia="Times New Roman" w:hAnsi="Arial" w:cs="Arial"/>
                <w:b/>
                <w:color w:val="000000"/>
                <w:sz w:val="18"/>
                <w:szCs w:val="18"/>
                <w:lang w:val="en-US" w:eastAsia="ru-RU"/>
              </w:rPr>
              <w:t>Q</w:t>
            </w:r>
            <w:r>
              <w:rPr>
                <w:rFonts w:ascii="Arial" w:eastAsia="Times New Roman" w:hAnsi="Arial" w:cs="Arial"/>
                <w:b/>
                <w:color w:val="000000"/>
                <w:sz w:val="18"/>
                <w:szCs w:val="18"/>
                <w:lang w:val="en-US" w:eastAsia="ru-RU"/>
              </w:rPr>
              <w:t>2</w:t>
            </w:r>
            <w:r w:rsidRPr="00300447">
              <w:rPr>
                <w:rFonts w:ascii="Arial" w:eastAsia="Times New Roman" w:hAnsi="Arial" w:cs="Arial"/>
                <w:b/>
                <w:color w:val="000000"/>
                <w:sz w:val="18"/>
                <w:szCs w:val="18"/>
                <w:lang w:val="en-US" w:eastAsia="ru-RU"/>
              </w:rPr>
              <w:t xml:space="preserve"> 202</w:t>
            </w:r>
            <w:r>
              <w:rPr>
                <w:rFonts w:ascii="Arial" w:eastAsia="Times New Roman" w:hAnsi="Arial" w:cs="Arial"/>
                <w:b/>
                <w:color w:val="000000"/>
                <w:sz w:val="18"/>
                <w:szCs w:val="18"/>
                <w:lang w:val="en-US" w:eastAsia="ru-RU"/>
              </w:rPr>
              <w:t>2</w:t>
            </w:r>
          </w:p>
        </w:tc>
        <w:tc>
          <w:tcPr>
            <w:tcW w:w="464" w:type="pct"/>
            <w:tcBorders>
              <w:top w:val="single" w:sz="12" w:space="0" w:color="auto"/>
              <w:bottom w:val="single" w:sz="12" w:space="0" w:color="auto"/>
            </w:tcBorders>
            <w:shd w:val="clear" w:color="auto" w:fill="auto"/>
            <w:noWrap/>
            <w:vAlign w:val="center"/>
          </w:tcPr>
          <w:p w14:paraId="2D67CFD0" w14:textId="18088EA3" w:rsidR="00300447" w:rsidRPr="00300447" w:rsidRDefault="00300447" w:rsidP="00F56364">
            <w:pPr>
              <w:spacing w:after="0" w:line="240" w:lineRule="auto"/>
              <w:jc w:val="right"/>
              <w:rPr>
                <w:rFonts w:ascii="Arial" w:eastAsia="Times New Roman" w:hAnsi="Arial" w:cs="Arial"/>
                <w:b/>
                <w:color w:val="000000"/>
                <w:sz w:val="18"/>
                <w:szCs w:val="18"/>
                <w:lang w:val="en-US" w:eastAsia="ru-RU"/>
              </w:rPr>
            </w:pPr>
            <w:r w:rsidRPr="00300447">
              <w:rPr>
                <w:rFonts w:ascii="Arial" w:eastAsia="Times New Roman" w:hAnsi="Arial" w:cs="Arial"/>
                <w:b/>
                <w:color w:val="000000"/>
                <w:sz w:val="18"/>
                <w:szCs w:val="18"/>
                <w:lang w:val="en-US" w:eastAsia="ru-RU"/>
              </w:rPr>
              <w:t>Q</w:t>
            </w:r>
            <w:r>
              <w:rPr>
                <w:rFonts w:ascii="Arial" w:eastAsia="Times New Roman" w:hAnsi="Arial" w:cs="Arial"/>
                <w:b/>
                <w:color w:val="000000"/>
                <w:sz w:val="18"/>
                <w:szCs w:val="18"/>
                <w:lang w:val="en-US" w:eastAsia="ru-RU"/>
              </w:rPr>
              <w:t>2</w:t>
            </w:r>
            <w:r w:rsidRPr="00300447">
              <w:rPr>
                <w:rFonts w:ascii="Arial" w:eastAsia="Times New Roman" w:hAnsi="Arial" w:cs="Arial"/>
                <w:b/>
                <w:color w:val="000000"/>
                <w:sz w:val="18"/>
                <w:szCs w:val="18"/>
                <w:lang w:val="en-US" w:eastAsia="ru-RU"/>
              </w:rPr>
              <w:t xml:space="preserve"> 202</w:t>
            </w:r>
            <w:r>
              <w:rPr>
                <w:rFonts w:ascii="Arial" w:eastAsia="Times New Roman" w:hAnsi="Arial" w:cs="Arial"/>
                <w:b/>
                <w:color w:val="000000"/>
                <w:sz w:val="18"/>
                <w:szCs w:val="18"/>
                <w:lang w:val="en-US" w:eastAsia="ru-RU"/>
              </w:rPr>
              <w:t>1</w:t>
            </w:r>
          </w:p>
        </w:tc>
        <w:tc>
          <w:tcPr>
            <w:tcW w:w="464" w:type="pct"/>
            <w:tcBorders>
              <w:top w:val="single" w:sz="12" w:space="0" w:color="auto"/>
              <w:bottom w:val="single" w:sz="12" w:space="0" w:color="auto"/>
            </w:tcBorders>
            <w:shd w:val="clear" w:color="auto" w:fill="auto"/>
            <w:noWrap/>
            <w:vAlign w:val="center"/>
          </w:tcPr>
          <w:p w14:paraId="029C33FC" w14:textId="77777777" w:rsidR="00300447" w:rsidRPr="00300447" w:rsidRDefault="00300447" w:rsidP="00F56364">
            <w:pPr>
              <w:spacing w:after="0" w:line="240" w:lineRule="auto"/>
              <w:jc w:val="center"/>
              <w:rPr>
                <w:rFonts w:ascii="Arial" w:eastAsia="Times New Roman" w:hAnsi="Arial" w:cs="Arial"/>
                <w:i/>
                <w:iCs/>
                <w:color w:val="000000"/>
                <w:sz w:val="18"/>
                <w:szCs w:val="18"/>
                <w:lang w:val="en-US" w:eastAsia="ru-RU"/>
              </w:rPr>
            </w:pPr>
            <w:r w:rsidRPr="00300447">
              <w:rPr>
                <w:rFonts w:ascii="Arial" w:eastAsia="Times New Roman" w:hAnsi="Arial" w:cs="Arial"/>
                <w:i/>
                <w:color w:val="000000"/>
                <w:sz w:val="18"/>
                <w:szCs w:val="18"/>
                <w:lang w:val="en-US" w:eastAsia="ru-RU"/>
              </w:rPr>
              <w:t xml:space="preserve">% </w:t>
            </w:r>
            <w:proofErr w:type="gramStart"/>
            <w:r w:rsidRPr="00300447">
              <w:rPr>
                <w:rFonts w:ascii="Arial" w:eastAsia="Times New Roman" w:hAnsi="Arial" w:cs="Arial"/>
                <w:i/>
                <w:color w:val="000000"/>
                <w:sz w:val="18"/>
                <w:szCs w:val="18"/>
                <w:lang w:val="en-US" w:eastAsia="ru-RU"/>
              </w:rPr>
              <w:t>change</w:t>
            </w:r>
            <w:proofErr w:type="gramEnd"/>
            <w:r w:rsidRPr="00300447">
              <w:rPr>
                <w:rFonts w:ascii="Arial" w:eastAsia="Times New Roman" w:hAnsi="Arial" w:cs="Arial"/>
                <w:i/>
                <w:color w:val="000000"/>
                <w:sz w:val="18"/>
                <w:szCs w:val="18"/>
                <w:lang w:val="en-US" w:eastAsia="ru-RU"/>
              </w:rPr>
              <w:t xml:space="preserve"> YoY</w:t>
            </w:r>
          </w:p>
        </w:tc>
        <w:tc>
          <w:tcPr>
            <w:tcW w:w="464" w:type="pct"/>
            <w:tcBorders>
              <w:top w:val="single" w:sz="12" w:space="0" w:color="auto"/>
              <w:bottom w:val="single" w:sz="12" w:space="0" w:color="auto"/>
            </w:tcBorders>
            <w:vAlign w:val="center"/>
          </w:tcPr>
          <w:p w14:paraId="3D8300B8" w14:textId="3FE5EA20" w:rsidR="00300447" w:rsidRPr="00300447" w:rsidDel="00FA5C12" w:rsidRDefault="00300447" w:rsidP="00F56364">
            <w:pPr>
              <w:spacing w:after="0" w:line="240" w:lineRule="auto"/>
              <w:jc w:val="right"/>
              <w:rPr>
                <w:rFonts w:ascii="Arial" w:eastAsia="Times New Roman" w:hAnsi="Arial" w:cs="Arial"/>
                <w:b/>
                <w:iCs/>
                <w:color w:val="000000"/>
                <w:sz w:val="18"/>
                <w:szCs w:val="18"/>
                <w:lang w:val="en-US" w:eastAsia="ru-RU"/>
              </w:rPr>
            </w:pPr>
            <w:r w:rsidRPr="00300447">
              <w:rPr>
                <w:rFonts w:ascii="Arial" w:eastAsia="Times New Roman" w:hAnsi="Arial" w:cs="Arial"/>
                <w:b/>
                <w:color w:val="000000"/>
                <w:sz w:val="18"/>
                <w:szCs w:val="18"/>
                <w:lang w:val="en-US" w:eastAsia="ru-RU"/>
              </w:rPr>
              <w:t>Q</w:t>
            </w:r>
            <w:r>
              <w:rPr>
                <w:rFonts w:ascii="Arial" w:eastAsia="Times New Roman" w:hAnsi="Arial" w:cs="Arial"/>
                <w:b/>
                <w:color w:val="000000"/>
                <w:sz w:val="18"/>
                <w:szCs w:val="18"/>
                <w:lang w:val="en-US" w:eastAsia="ru-RU"/>
              </w:rPr>
              <w:t>1</w:t>
            </w:r>
            <w:r w:rsidRPr="00300447">
              <w:rPr>
                <w:rFonts w:ascii="Arial" w:eastAsia="Times New Roman" w:hAnsi="Arial" w:cs="Arial"/>
                <w:b/>
                <w:color w:val="000000"/>
                <w:sz w:val="18"/>
                <w:szCs w:val="18"/>
                <w:lang w:val="en-US" w:eastAsia="ru-RU"/>
              </w:rPr>
              <w:t xml:space="preserve"> 202</w:t>
            </w:r>
            <w:r>
              <w:rPr>
                <w:rFonts w:ascii="Arial" w:eastAsia="Times New Roman" w:hAnsi="Arial" w:cs="Arial"/>
                <w:b/>
                <w:color w:val="000000"/>
                <w:sz w:val="18"/>
                <w:szCs w:val="18"/>
                <w:lang w:val="en-US" w:eastAsia="ru-RU"/>
              </w:rPr>
              <w:t>2</w:t>
            </w:r>
          </w:p>
        </w:tc>
        <w:tc>
          <w:tcPr>
            <w:tcW w:w="464" w:type="pct"/>
            <w:tcBorders>
              <w:top w:val="single" w:sz="12" w:space="0" w:color="auto"/>
              <w:bottom w:val="single" w:sz="12" w:space="0" w:color="auto"/>
            </w:tcBorders>
            <w:vAlign w:val="center"/>
          </w:tcPr>
          <w:p w14:paraId="65BF7932" w14:textId="77777777" w:rsidR="00300447" w:rsidRPr="00300447" w:rsidDel="00FA5C12" w:rsidRDefault="00300447" w:rsidP="00F56364">
            <w:pPr>
              <w:spacing w:after="0" w:line="240" w:lineRule="auto"/>
              <w:jc w:val="center"/>
              <w:rPr>
                <w:rFonts w:ascii="Arial" w:eastAsia="Times New Roman" w:hAnsi="Arial" w:cs="Arial"/>
                <w:iCs/>
                <w:color w:val="000000"/>
                <w:sz w:val="18"/>
                <w:szCs w:val="18"/>
                <w:lang w:val="en-US" w:eastAsia="ru-RU"/>
              </w:rPr>
            </w:pPr>
            <w:r w:rsidRPr="00300447">
              <w:rPr>
                <w:rFonts w:ascii="Arial" w:eastAsia="Times New Roman" w:hAnsi="Arial" w:cs="Arial"/>
                <w:i/>
                <w:color w:val="000000"/>
                <w:sz w:val="18"/>
                <w:szCs w:val="18"/>
                <w:lang w:val="en-US" w:eastAsia="ru-RU"/>
              </w:rPr>
              <w:t xml:space="preserve">% </w:t>
            </w:r>
            <w:proofErr w:type="gramStart"/>
            <w:r w:rsidRPr="00300447">
              <w:rPr>
                <w:rFonts w:ascii="Arial" w:eastAsia="Times New Roman" w:hAnsi="Arial" w:cs="Arial"/>
                <w:i/>
                <w:color w:val="000000"/>
                <w:sz w:val="18"/>
                <w:szCs w:val="18"/>
                <w:lang w:val="en-US" w:eastAsia="ru-RU"/>
              </w:rPr>
              <w:t>change</w:t>
            </w:r>
            <w:proofErr w:type="gramEnd"/>
            <w:r w:rsidRPr="00300447">
              <w:rPr>
                <w:rFonts w:ascii="Arial" w:eastAsia="Times New Roman" w:hAnsi="Arial" w:cs="Arial"/>
                <w:i/>
                <w:color w:val="000000"/>
                <w:sz w:val="18"/>
                <w:szCs w:val="18"/>
                <w:lang w:val="en-US" w:eastAsia="ru-RU"/>
              </w:rPr>
              <w:t xml:space="preserve"> </w:t>
            </w:r>
            <w:proofErr w:type="spellStart"/>
            <w:r w:rsidRPr="00300447">
              <w:rPr>
                <w:rFonts w:ascii="Arial" w:eastAsia="Times New Roman" w:hAnsi="Arial" w:cs="Arial"/>
                <w:i/>
                <w:color w:val="000000"/>
                <w:sz w:val="18"/>
                <w:szCs w:val="18"/>
                <w:lang w:val="en-US" w:eastAsia="ru-RU"/>
              </w:rPr>
              <w:t>QoQ</w:t>
            </w:r>
            <w:proofErr w:type="spellEnd"/>
          </w:p>
        </w:tc>
        <w:tc>
          <w:tcPr>
            <w:tcW w:w="464" w:type="pct"/>
            <w:tcBorders>
              <w:top w:val="single" w:sz="12" w:space="0" w:color="auto"/>
              <w:bottom w:val="single" w:sz="12" w:space="0" w:color="auto"/>
            </w:tcBorders>
            <w:vAlign w:val="center"/>
          </w:tcPr>
          <w:p w14:paraId="7D9968A6" w14:textId="1E12E931" w:rsidR="00300447" w:rsidRPr="00300447" w:rsidRDefault="00300447" w:rsidP="00F56364">
            <w:pPr>
              <w:spacing w:after="0" w:line="240" w:lineRule="auto"/>
              <w:jc w:val="right"/>
              <w:rPr>
                <w:rFonts w:ascii="Arial" w:eastAsia="Times New Roman" w:hAnsi="Arial" w:cs="Arial"/>
                <w:b/>
                <w:iCs/>
                <w:color w:val="000000"/>
                <w:sz w:val="18"/>
                <w:szCs w:val="18"/>
                <w:lang w:val="uk-UA" w:eastAsia="ru-RU"/>
              </w:rPr>
            </w:pPr>
            <w:r>
              <w:rPr>
                <w:rFonts w:ascii="Arial" w:eastAsia="Times New Roman" w:hAnsi="Arial" w:cs="Arial"/>
                <w:b/>
                <w:iCs/>
                <w:color w:val="000000"/>
                <w:sz w:val="18"/>
                <w:szCs w:val="18"/>
                <w:lang w:val="en-US" w:eastAsia="ru-RU"/>
              </w:rPr>
              <w:t>H1</w:t>
            </w:r>
            <w:r w:rsidRPr="00300447">
              <w:rPr>
                <w:rFonts w:ascii="Arial" w:eastAsia="Times New Roman" w:hAnsi="Arial" w:cs="Arial"/>
                <w:b/>
                <w:iCs/>
                <w:color w:val="000000"/>
                <w:sz w:val="18"/>
                <w:szCs w:val="18"/>
                <w:lang w:val="en-US" w:eastAsia="ru-RU"/>
              </w:rPr>
              <w:t xml:space="preserve"> 202</w:t>
            </w:r>
            <w:r>
              <w:rPr>
                <w:rFonts w:ascii="Arial" w:eastAsia="Times New Roman" w:hAnsi="Arial" w:cs="Arial"/>
                <w:b/>
                <w:iCs/>
                <w:color w:val="000000"/>
                <w:sz w:val="18"/>
                <w:szCs w:val="18"/>
                <w:lang w:val="en-US" w:eastAsia="ru-RU"/>
              </w:rPr>
              <w:t>2</w:t>
            </w:r>
          </w:p>
        </w:tc>
        <w:tc>
          <w:tcPr>
            <w:tcW w:w="464" w:type="pct"/>
            <w:tcBorders>
              <w:top w:val="single" w:sz="12" w:space="0" w:color="auto"/>
              <w:bottom w:val="single" w:sz="12" w:space="0" w:color="auto"/>
            </w:tcBorders>
            <w:vAlign w:val="center"/>
          </w:tcPr>
          <w:p w14:paraId="0150A151" w14:textId="49EDB162" w:rsidR="00300447" w:rsidRPr="00300447" w:rsidRDefault="00300447" w:rsidP="00F56364">
            <w:pPr>
              <w:spacing w:after="0" w:line="240" w:lineRule="auto"/>
              <w:jc w:val="right"/>
              <w:rPr>
                <w:rFonts w:ascii="Arial" w:eastAsia="Times New Roman" w:hAnsi="Arial" w:cs="Arial"/>
                <w:b/>
                <w:iCs/>
                <w:color w:val="000000"/>
                <w:sz w:val="18"/>
                <w:szCs w:val="18"/>
                <w:lang w:val="en-US" w:eastAsia="ru-RU"/>
              </w:rPr>
            </w:pPr>
            <w:r>
              <w:rPr>
                <w:rFonts w:ascii="Arial" w:eastAsia="Times New Roman" w:hAnsi="Arial" w:cs="Arial"/>
                <w:b/>
                <w:iCs/>
                <w:color w:val="000000"/>
                <w:sz w:val="18"/>
                <w:szCs w:val="18"/>
                <w:lang w:val="en-US" w:eastAsia="ru-RU"/>
              </w:rPr>
              <w:t>H1</w:t>
            </w:r>
            <w:r w:rsidRPr="00300447">
              <w:rPr>
                <w:rFonts w:ascii="Arial" w:eastAsia="Times New Roman" w:hAnsi="Arial" w:cs="Arial"/>
                <w:b/>
                <w:iCs/>
                <w:color w:val="000000"/>
                <w:sz w:val="18"/>
                <w:szCs w:val="18"/>
                <w:lang w:val="en-US" w:eastAsia="ru-RU"/>
              </w:rPr>
              <w:t xml:space="preserve"> 202</w:t>
            </w:r>
            <w:r>
              <w:rPr>
                <w:rFonts w:ascii="Arial" w:eastAsia="Times New Roman" w:hAnsi="Arial" w:cs="Arial"/>
                <w:b/>
                <w:iCs/>
                <w:color w:val="000000"/>
                <w:sz w:val="18"/>
                <w:szCs w:val="18"/>
                <w:lang w:val="en-US" w:eastAsia="ru-RU"/>
              </w:rPr>
              <w:t>1</w:t>
            </w:r>
          </w:p>
        </w:tc>
        <w:tc>
          <w:tcPr>
            <w:tcW w:w="463" w:type="pct"/>
            <w:tcBorders>
              <w:top w:val="single" w:sz="12" w:space="0" w:color="auto"/>
              <w:bottom w:val="single" w:sz="12" w:space="0" w:color="auto"/>
            </w:tcBorders>
            <w:vAlign w:val="center"/>
          </w:tcPr>
          <w:p w14:paraId="0D496164" w14:textId="77777777" w:rsidR="00300447" w:rsidRPr="00300447" w:rsidRDefault="00300447" w:rsidP="00F56364">
            <w:pPr>
              <w:spacing w:after="0" w:line="240" w:lineRule="auto"/>
              <w:jc w:val="center"/>
              <w:rPr>
                <w:rFonts w:ascii="Arial" w:eastAsia="Times New Roman" w:hAnsi="Arial" w:cs="Arial"/>
                <w:i/>
                <w:iCs/>
                <w:color w:val="000000"/>
                <w:sz w:val="18"/>
                <w:szCs w:val="18"/>
                <w:lang w:val="en-US" w:eastAsia="ru-RU"/>
              </w:rPr>
            </w:pPr>
            <w:r w:rsidRPr="00300447">
              <w:rPr>
                <w:rFonts w:ascii="Arial" w:eastAsia="Times New Roman" w:hAnsi="Arial" w:cs="Arial"/>
                <w:i/>
                <w:color w:val="000000"/>
                <w:sz w:val="18"/>
                <w:szCs w:val="18"/>
                <w:lang w:val="en-US" w:eastAsia="ru-RU"/>
              </w:rPr>
              <w:t xml:space="preserve">% </w:t>
            </w:r>
            <w:proofErr w:type="gramStart"/>
            <w:r w:rsidRPr="00300447">
              <w:rPr>
                <w:rFonts w:ascii="Arial" w:eastAsia="Times New Roman" w:hAnsi="Arial" w:cs="Arial"/>
                <w:i/>
                <w:color w:val="000000"/>
                <w:sz w:val="18"/>
                <w:szCs w:val="18"/>
                <w:lang w:val="en-US" w:eastAsia="ru-RU"/>
              </w:rPr>
              <w:t>change</w:t>
            </w:r>
            <w:proofErr w:type="gramEnd"/>
          </w:p>
        </w:tc>
      </w:tr>
      <w:tr w:rsidR="00300447" w:rsidRPr="00300447" w14:paraId="2A8B712C" w14:textId="77777777" w:rsidTr="00F56364">
        <w:trPr>
          <w:trHeight w:val="352"/>
        </w:trPr>
        <w:tc>
          <w:tcPr>
            <w:tcW w:w="1158" w:type="pct"/>
            <w:tcBorders>
              <w:bottom w:val="single" w:sz="8" w:space="0" w:color="auto"/>
            </w:tcBorders>
            <w:shd w:val="clear" w:color="auto" w:fill="auto"/>
            <w:noWrap/>
            <w:vAlign w:val="center"/>
            <w:hideMark/>
          </w:tcPr>
          <w:p w14:paraId="0D347812" w14:textId="2D05EFD0" w:rsidR="00300447" w:rsidRPr="00300447" w:rsidRDefault="00300447" w:rsidP="00F56364">
            <w:pPr>
              <w:spacing w:after="0" w:line="240" w:lineRule="auto"/>
              <w:jc w:val="both"/>
              <w:rPr>
                <w:rFonts w:ascii="Arial" w:eastAsia="Times New Roman" w:hAnsi="Arial" w:cs="Arial"/>
                <w:b/>
                <w:bCs/>
                <w:color w:val="000000"/>
                <w:sz w:val="18"/>
                <w:szCs w:val="18"/>
                <w:lang w:val="en-US" w:eastAsia="ru-RU"/>
              </w:rPr>
            </w:pPr>
            <w:r w:rsidRPr="00300447">
              <w:rPr>
                <w:rFonts w:ascii="Arial" w:eastAsia="Times New Roman" w:hAnsi="Arial" w:cs="Arial"/>
                <w:b/>
                <w:bCs/>
                <w:color w:val="000000"/>
                <w:sz w:val="18"/>
                <w:szCs w:val="18"/>
                <w:lang w:val="en-US" w:eastAsia="ru-RU"/>
              </w:rPr>
              <w:t xml:space="preserve">Sales volume, third </w:t>
            </w:r>
            <w:proofErr w:type="gramStart"/>
            <w:r w:rsidRPr="00300447">
              <w:rPr>
                <w:rFonts w:ascii="Arial" w:eastAsia="Times New Roman" w:hAnsi="Arial" w:cs="Arial"/>
                <w:b/>
                <w:bCs/>
                <w:color w:val="000000"/>
                <w:sz w:val="18"/>
                <w:szCs w:val="18"/>
                <w:lang w:val="en-US" w:eastAsia="ru-RU"/>
              </w:rPr>
              <w:t>parties</w:t>
            </w:r>
            <w:proofErr w:type="gramEnd"/>
            <w:r w:rsidRPr="00300447">
              <w:rPr>
                <w:rFonts w:ascii="Arial" w:eastAsia="Times New Roman" w:hAnsi="Arial" w:cs="Arial"/>
                <w:b/>
                <w:bCs/>
                <w:color w:val="000000"/>
                <w:sz w:val="18"/>
                <w:szCs w:val="18"/>
                <w:lang w:val="en-US" w:eastAsia="ru-RU"/>
              </w:rPr>
              <w:t xml:space="preserve"> </w:t>
            </w:r>
            <w:proofErr w:type="spellStart"/>
            <w:r w:rsidRPr="00300447">
              <w:rPr>
                <w:rFonts w:ascii="Arial" w:eastAsia="Times New Roman" w:hAnsi="Arial" w:cs="Arial"/>
                <w:b/>
                <w:bCs/>
                <w:color w:val="000000"/>
                <w:sz w:val="18"/>
                <w:szCs w:val="18"/>
                <w:lang w:val="en-US" w:eastAsia="ru-RU"/>
              </w:rPr>
              <w:t>tonnes</w:t>
            </w:r>
            <w:proofErr w:type="spellEnd"/>
          </w:p>
        </w:tc>
        <w:tc>
          <w:tcPr>
            <w:tcW w:w="131" w:type="pct"/>
            <w:vAlign w:val="center"/>
          </w:tcPr>
          <w:p w14:paraId="30EEF7CC" w14:textId="77777777" w:rsidR="00300447" w:rsidRPr="00300447" w:rsidRDefault="00300447" w:rsidP="00F56364">
            <w:pPr>
              <w:spacing w:after="0" w:line="240" w:lineRule="auto"/>
              <w:jc w:val="right"/>
              <w:rPr>
                <w:rFonts w:ascii="Arial" w:eastAsia="Times New Roman" w:hAnsi="Arial" w:cs="Arial"/>
                <w:b/>
                <w:bCs/>
                <w:color w:val="000000"/>
                <w:sz w:val="18"/>
                <w:szCs w:val="18"/>
                <w:lang w:val="en-US" w:eastAsia="ru-RU"/>
              </w:rPr>
            </w:pPr>
          </w:p>
        </w:tc>
        <w:tc>
          <w:tcPr>
            <w:tcW w:w="464" w:type="pct"/>
            <w:tcBorders>
              <w:bottom w:val="single" w:sz="8" w:space="0" w:color="auto"/>
            </w:tcBorders>
            <w:shd w:val="clear" w:color="auto" w:fill="auto"/>
            <w:noWrap/>
            <w:vAlign w:val="center"/>
          </w:tcPr>
          <w:p w14:paraId="5AA51BDC" w14:textId="4E2A8B11" w:rsidR="00300447" w:rsidRPr="00300447" w:rsidRDefault="00300447" w:rsidP="00F56364">
            <w:pPr>
              <w:spacing w:after="0" w:line="240" w:lineRule="auto"/>
              <w:jc w:val="right"/>
              <w:rPr>
                <w:rFonts w:ascii="Arial" w:eastAsia="Times New Roman" w:hAnsi="Arial" w:cs="Arial"/>
                <w:b/>
                <w:bCs/>
                <w:color w:val="000000"/>
                <w:sz w:val="18"/>
                <w:szCs w:val="18"/>
                <w:lang w:val="en-US" w:eastAsia="ru-RU"/>
              </w:rPr>
            </w:pPr>
            <w:r>
              <w:rPr>
                <w:rFonts w:ascii="Arial" w:eastAsia="Times New Roman" w:hAnsi="Arial" w:cs="Arial"/>
                <w:b/>
                <w:bCs/>
                <w:color w:val="000000"/>
                <w:sz w:val="18"/>
                <w:szCs w:val="18"/>
                <w:lang w:val="en-US" w:eastAsia="ru-RU"/>
              </w:rPr>
              <w:t>140,549</w:t>
            </w:r>
          </w:p>
        </w:tc>
        <w:tc>
          <w:tcPr>
            <w:tcW w:w="464" w:type="pct"/>
            <w:tcBorders>
              <w:bottom w:val="single" w:sz="8" w:space="0" w:color="auto"/>
            </w:tcBorders>
            <w:shd w:val="clear" w:color="auto" w:fill="auto"/>
            <w:noWrap/>
            <w:vAlign w:val="center"/>
          </w:tcPr>
          <w:p w14:paraId="0B2A9D18" w14:textId="33D75A1E" w:rsidR="00300447" w:rsidRPr="00300447" w:rsidRDefault="00300447" w:rsidP="00F56364">
            <w:pPr>
              <w:spacing w:after="0" w:line="240" w:lineRule="auto"/>
              <w:jc w:val="right"/>
              <w:rPr>
                <w:rFonts w:ascii="Arial" w:eastAsia="Times New Roman" w:hAnsi="Arial" w:cs="Arial"/>
                <w:b/>
                <w:bCs/>
                <w:color w:val="000000"/>
                <w:sz w:val="18"/>
                <w:szCs w:val="18"/>
                <w:lang w:val="en-US" w:eastAsia="ru-RU"/>
              </w:rPr>
            </w:pPr>
            <w:r>
              <w:rPr>
                <w:rFonts w:ascii="Arial" w:eastAsia="Times New Roman" w:hAnsi="Arial" w:cs="Arial"/>
                <w:b/>
                <w:bCs/>
                <w:color w:val="000000"/>
                <w:sz w:val="18"/>
                <w:szCs w:val="18"/>
                <w:lang w:val="en-US" w:eastAsia="ru-RU"/>
              </w:rPr>
              <w:t>183,592</w:t>
            </w:r>
          </w:p>
        </w:tc>
        <w:tc>
          <w:tcPr>
            <w:tcW w:w="464" w:type="pct"/>
            <w:tcBorders>
              <w:bottom w:val="single" w:sz="8" w:space="0" w:color="auto"/>
            </w:tcBorders>
            <w:shd w:val="clear" w:color="auto" w:fill="auto"/>
            <w:noWrap/>
            <w:vAlign w:val="center"/>
          </w:tcPr>
          <w:p w14:paraId="7CD950D8" w14:textId="40AFA4E3" w:rsidR="00300447" w:rsidRPr="00300447" w:rsidRDefault="00300447" w:rsidP="00F56364">
            <w:pPr>
              <w:spacing w:after="0" w:line="240" w:lineRule="auto"/>
              <w:jc w:val="right"/>
              <w:rPr>
                <w:rFonts w:ascii="Arial" w:eastAsia="Times New Roman" w:hAnsi="Arial" w:cs="Arial"/>
                <w:b/>
                <w:bCs/>
                <w:color w:val="000000"/>
                <w:sz w:val="18"/>
                <w:szCs w:val="18"/>
                <w:lang w:val="en-US" w:eastAsia="ru-RU"/>
              </w:rPr>
            </w:pPr>
            <w:r w:rsidRPr="00300447">
              <w:rPr>
                <w:rFonts w:ascii="Arial" w:eastAsia="Times New Roman" w:hAnsi="Arial" w:cs="Arial"/>
                <w:b/>
                <w:bCs/>
                <w:color w:val="000000"/>
                <w:sz w:val="18"/>
                <w:szCs w:val="18"/>
                <w:lang w:val="en-US" w:eastAsia="ru-RU"/>
              </w:rPr>
              <w:t>-</w:t>
            </w:r>
            <w:r>
              <w:rPr>
                <w:rFonts w:ascii="Arial" w:eastAsia="Times New Roman" w:hAnsi="Arial" w:cs="Arial"/>
                <w:b/>
                <w:bCs/>
                <w:color w:val="000000"/>
                <w:sz w:val="18"/>
                <w:szCs w:val="18"/>
                <w:lang w:val="en-US" w:eastAsia="ru-RU"/>
              </w:rPr>
              <w:t>23</w:t>
            </w:r>
            <w:r w:rsidRPr="00300447">
              <w:rPr>
                <w:rFonts w:ascii="Arial" w:eastAsia="Times New Roman" w:hAnsi="Arial" w:cs="Arial"/>
                <w:b/>
                <w:bCs/>
                <w:color w:val="000000"/>
                <w:sz w:val="18"/>
                <w:szCs w:val="18"/>
                <w:lang w:val="en-US" w:eastAsia="ru-RU"/>
              </w:rPr>
              <w:t>%</w:t>
            </w:r>
          </w:p>
        </w:tc>
        <w:tc>
          <w:tcPr>
            <w:tcW w:w="464" w:type="pct"/>
            <w:tcBorders>
              <w:bottom w:val="single" w:sz="8" w:space="0" w:color="auto"/>
            </w:tcBorders>
            <w:vAlign w:val="center"/>
          </w:tcPr>
          <w:p w14:paraId="37FF7856" w14:textId="2E8F098D" w:rsidR="00300447" w:rsidRPr="00300447" w:rsidRDefault="00300447" w:rsidP="00F56364">
            <w:pPr>
              <w:spacing w:after="0" w:line="240" w:lineRule="auto"/>
              <w:jc w:val="right"/>
              <w:rPr>
                <w:rFonts w:ascii="Arial" w:eastAsia="Times New Roman" w:hAnsi="Arial" w:cs="Arial"/>
                <w:b/>
                <w:bCs/>
                <w:color w:val="000000"/>
                <w:sz w:val="18"/>
                <w:szCs w:val="18"/>
                <w:lang w:val="en-US" w:eastAsia="ru-RU"/>
              </w:rPr>
            </w:pPr>
            <w:r>
              <w:rPr>
                <w:rFonts w:ascii="Arial" w:hAnsi="Arial" w:cs="Arial"/>
                <w:b/>
                <w:bCs/>
                <w:color w:val="000000"/>
                <w:sz w:val="18"/>
                <w:szCs w:val="18"/>
                <w:lang w:val="en-US" w:eastAsia="ru-RU"/>
              </w:rPr>
              <w:t>159,024</w:t>
            </w:r>
          </w:p>
        </w:tc>
        <w:tc>
          <w:tcPr>
            <w:tcW w:w="464" w:type="pct"/>
            <w:tcBorders>
              <w:bottom w:val="single" w:sz="8" w:space="0" w:color="auto"/>
            </w:tcBorders>
            <w:vAlign w:val="center"/>
          </w:tcPr>
          <w:p w14:paraId="5EB85D79" w14:textId="5D10205A" w:rsidR="00300447" w:rsidRPr="00300447" w:rsidRDefault="00300447" w:rsidP="00F56364">
            <w:pPr>
              <w:spacing w:after="0" w:line="240" w:lineRule="auto"/>
              <w:jc w:val="right"/>
              <w:rPr>
                <w:rFonts w:ascii="Arial" w:eastAsia="Times New Roman" w:hAnsi="Arial" w:cs="Arial"/>
                <w:b/>
                <w:bCs/>
                <w:color w:val="000000"/>
                <w:sz w:val="18"/>
                <w:szCs w:val="18"/>
                <w:lang w:val="en-US" w:eastAsia="ru-RU"/>
              </w:rPr>
            </w:pPr>
            <w:r>
              <w:rPr>
                <w:rFonts w:ascii="Arial" w:hAnsi="Arial" w:cs="Arial"/>
                <w:b/>
                <w:bCs/>
                <w:sz w:val="18"/>
                <w:szCs w:val="18"/>
                <w:lang w:val="en-US"/>
              </w:rPr>
              <w:t>-1</w:t>
            </w:r>
            <w:r w:rsidRPr="00300447">
              <w:rPr>
                <w:rFonts w:ascii="Arial" w:hAnsi="Arial" w:cs="Arial"/>
                <w:b/>
                <w:bCs/>
                <w:sz w:val="18"/>
                <w:szCs w:val="18"/>
                <w:lang w:val="ru-UA"/>
              </w:rPr>
              <w:t>2</w:t>
            </w:r>
            <w:r w:rsidRPr="00300447">
              <w:rPr>
                <w:rFonts w:ascii="Arial" w:hAnsi="Arial" w:cs="Arial"/>
                <w:b/>
                <w:bCs/>
                <w:sz w:val="18"/>
                <w:szCs w:val="18"/>
              </w:rPr>
              <w:t>%</w:t>
            </w:r>
          </w:p>
        </w:tc>
        <w:tc>
          <w:tcPr>
            <w:tcW w:w="464" w:type="pct"/>
            <w:tcBorders>
              <w:bottom w:val="single" w:sz="8" w:space="0" w:color="auto"/>
            </w:tcBorders>
            <w:shd w:val="clear" w:color="auto" w:fill="auto"/>
            <w:vAlign w:val="center"/>
          </w:tcPr>
          <w:p w14:paraId="61E6C9D1" w14:textId="11DD4B85" w:rsidR="00300447" w:rsidRPr="00300447" w:rsidRDefault="00300447" w:rsidP="00F56364">
            <w:pPr>
              <w:spacing w:after="0" w:line="240" w:lineRule="auto"/>
              <w:jc w:val="right"/>
              <w:rPr>
                <w:rFonts w:ascii="Arial" w:eastAsia="Times New Roman" w:hAnsi="Arial" w:cs="Arial"/>
                <w:b/>
                <w:bCs/>
                <w:color w:val="000000"/>
                <w:sz w:val="18"/>
                <w:szCs w:val="18"/>
                <w:lang w:val="en-US" w:eastAsia="ru-RU"/>
              </w:rPr>
            </w:pPr>
            <w:r>
              <w:rPr>
                <w:rFonts w:ascii="Arial" w:eastAsia="Times New Roman" w:hAnsi="Arial" w:cs="Arial"/>
                <w:b/>
                <w:bCs/>
                <w:color w:val="000000"/>
                <w:sz w:val="18"/>
                <w:szCs w:val="18"/>
                <w:lang w:val="en-US" w:eastAsia="ru-RU"/>
              </w:rPr>
              <w:t>299,573</w:t>
            </w:r>
          </w:p>
        </w:tc>
        <w:tc>
          <w:tcPr>
            <w:tcW w:w="464" w:type="pct"/>
            <w:tcBorders>
              <w:bottom w:val="single" w:sz="8" w:space="0" w:color="auto"/>
            </w:tcBorders>
            <w:shd w:val="clear" w:color="auto" w:fill="auto"/>
            <w:vAlign w:val="center"/>
          </w:tcPr>
          <w:p w14:paraId="6DD92F1D" w14:textId="1EFAEA46" w:rsidR="00300447" w:rsidRPr="00300447" w:rsidRDefault="00300447" w:rsidP="00F56364">
            <w:pPr>
              <w:spacing w:after="0" w:line="240" w:lineRule="auto"/>
              <w:jc w:val="right"/>
              <w:rPr>
                <w:rFonts w:ascii="Arial" w:eastAsia="Times New Roman" w:hAnsi="Arial" w:cs="Arial"/>
                <w:b/>
                <w:bCs/>
                <w:color w:val="000000"/>
                <w:sz w:val="18"/>
                <w:szCs w:val="18"/>
                <w:lang w:val="en-US" w:eastAsia="ru-RU"/>
              </w:rPr>
            </w:pPr>
            <w:r>
              <w:rPr>
                <w:rFonts w:ascii="Arial" w:eastAsia="Times New Roman" w:hAnsi="Arial" w:cs="Arial"/>
                <w:b/>
                <w:bCs/>
                <w:color w:val="000000"/>
                <w:sz w:val="18"/>
                <w:szCs w:val="18"/>
                <w:lang w:val="en-US" w:eastAsia="ru-RU"/>
              </w:rPr>
              <w:t>338,593</w:t>
            </w:r>
          </w:p>
        </w:tc>
        <w:tc>
          <w:tcPr>
            <w:tcW w:w="463" w:type="pct"/>
            <w:tcBorders>
              <w:bottom w:val="single" w:sz="8" w:space="0" w:color="auto"/>
            </w:tcBorders>
            <w:shd w:val="clear" w:color="auto" w:fill="auto"/>
            <w:vAlign w:val="center"/>
          </w:tcPr>
          <w:p w14:paraId="3FF163B8" w14:textId="16E3D0D3" w:rsidR="00300447" w:rsidRPr="00300447" w:rsidRDefault="00300447" w:rsidP="00F56364">
            <w:pPr>
              <w:spacing w:after="0" w:line="240" w:lineRule="auto"/>
              <w:jc w:val="right"/>
              <w:rPr>
                <w:rFonts w:ascii="Arial" w:eastAsia="Times New Roman" w:hAnsi="Arial" w:cs="Arial"/>
                <w:b/>
                <w:bCs/>
                <w:color w:val="000000"/>
                <w:sz w:val="18"/>
                <w:szCs w:val="18"/>
                <w:lang w:val="en-US" w:eastAsia="ru-RU"/>
              </w:rPr>
            </w:pPr>
            <w:r>
              <w:rPr>
                <w:rFonts w:ascii="Arial" w:eastAsia="Times New Roman" w:hAnsi="Arial" w:cs="Arial"/>
                <w:b/>
                <w:bCs/>
                <w:color w:val="000000"/>
                <w:sz w:val="18"/>
                <w:szCs w:val="18"/>
                <w:lang w:val="en-US" w:eastAsia="ru-RU"/>
              </w:rPr>
              <w:t>-12</w:t>
            </w:r>
            <w:r w:rsidRPr="00300447">
              <w:rPr>
                <w:rFonts w:ascii="Arial" w:eastAsia="Times New Roman" w:hAnsi="Arial" w:cs="Arial"/>
                <w:b/>
                <w:bCs/>
                <w:color w:val="000000"/>
                <w:sz w:val="18"/>
                <w:szCs w:val="18"/>
                <w:lang w:val="en-US" w:eastAsia="ru-RU"/>
              </w:rPr>
              <w:t>%</w:t>
            </w:r>
          </w:p>
        </w:tc>
      </w:tr>
      <w:tr w:rsidR="00300447" w:rsidRPr="00300447" w14:paraId="1EFB421E" w14:textId="77777777" w:rsidTr="00F56364">
        <w:trPr>
          <w:trHeight w:val="352"/>
        </w:trPr>
        <w:tc>
          <w:tcPr>
            <w:tcW w:w="1158" w:type="pct"/>
            <w:tcBorders>
              <w:top w:val="single" w:sz="8" w:space="0" w:color="auto"/>
            </w:tcBorders>
            <w:shd w:val="clear" w:color="auto" w:fill="auto"/>
            <w:noWrap/>
            <w:vAlign w:val="center"/>
          </w:tcPr>
          <w:p w14:paraId="42816AF8" w14:textId="77777777" w:rsidR="00300447" w:rsidRPr="00300447" w:rsidRDefault="00300447" w:rsidP="00F56364">
            <w:pPr>
              <w:spacing w:after="0" w:line="240" w:lineRule="auto"/>
              <w:jc w:val="both"/>
              <w:rPr>
                <w:rFonts w:ascii="Arial" w:eastAsia="Times New Roman" w:hAnsi="Arial" w:cs="Arial"/>
                <w:i/>
                <w:color w:val="000000"/>
                <w:sz w:val="18"/>
                <w:szCs w:val="18"/>
                <w:lang w:val="en-US" w:eastAsia="ru-RU"/>
              </w:rPr>
            </w:pPr>
            <w:r w:rsidRPr="00300447">
              <w:rPr>
                <w:rFonts w:ascii="Arial" w:eastAsia="Times New Roman" w:hAnsi="Arial" w:cs="Arial"/>
                <w:i/>
                <w:color w:val="000000"/>
                <w:sz w:val="18"/>
                <w:szCs w:val="18"/>
                <w:lang w:val="en-US" w:eastAsia="ru-RU"/>
              </w:rPr>
              <w:t xml:space="preserve">Domestic sales volume, </w:t>
            </w:r>
            <w:proofErr w:type="spellStart"/>
            <w:r w:rsidRPr="00300447">
              <w:rPr>
                <w:rFonts w:ascii="Arial" w:eastAsia="Times New Roman" w:hAnsi="Arial" w:cs="Arial"/>
                <w:i/>
                <w:color w:val="000000"/>
                <w:sz w:val="18"/>
                <w:szCs w:val="18"/>
                <w:lang w:val="en-US" w:eastAsia="ru-RU"/>
              </w:rPr>
              <w:t>tonnes</w:t>
            </w:r>
            <w:proofErr w:type="spellEnd"/>
          </w:p>
        </w:tc>
        <w:tc>
          <w:tcPr>
            <w:tcW w:w="131" w:type="pct"/>
            <w:vAlign w:val="center"/>
          </w:tcPr>
          <w:p w14:paraId="79F17898" w14:textId="77777777" w:rsidR="00300447" w:rsidRPr="00300447" w:rsidRDefault="00300447" w:rsidP="00F56364">
            <w:pPr>
              <w:spacing w:after="0" w:line="240" w:lineRule="auto"/>
              <w:jc w:val="right"/>
              <w:rPr>
                <w:rFonts w:ascii="Arial" w:eastAsia="Times New Roman" w:hAnsi="Arial" w:cs="Arial"/>
                <w:i/>
                <w:color w:val="000000"/>
                <w:sz w:val="18"/>
                <w:szCs w:val="18"/>
                <w:lang w:val="en-US" w:eastAsia="ru-RU"/>
              </w:rPr>
            </w:pPr>
          </w:p>
        </w:tc>
        <w:tc>
          <w:tcPr>
            <w:tcW w:w="464" w:type="pct"/>
            <w:tcBorders>
              <w:top w:val="single" w:sz="8" w:space="0" w:color="auto"/>
            </w:tcBorders>
            <w:shd w:val="clear" w:color="auto" w:fill="auto"/>
            <w:noWrap/>
            <w:vAlign w:val="center"/>
          </w:tcPr>
          <w:p w14:paraId="3FAC4A84" w14:textId="0953EDA2" w:rsidR="00300447" w:rsidRPr="00300447" w:rsidRDefault="00300447" w:rsidP="00F56364">
            <w:pPr>
              <w:spacing w:after="0" w:line="240" w:lineRule="auto"/>
              <w:jc w:val="right"/>
              <w:rPr>
                <w:rFonts w:ascii="Arial" w:hAnsi="Arial" w:cs="Arial"/>
                <w:i/>
                <w:sz w:val="18"/>
                <w:szCs w:val="18"/>
                <w:lang w:val="en-US"/>
              </w:rPr>
            </w:pPr>
            <w:r>
              <w:rPr>
                <w:rFonts w:ascii="Arial" w:hAnsi="Arial" w:cs="Arial"/>
                <w:i/>
                <w:sz w:val="18"/>
                <w:szCs w:val="18"/>
                <w:lang w:val="en-US"/>
              </w:rPr>
              <w:t>67,897</w:t>
            </w:r>
          </w:p>
        </w:tc>
        <w:tc>
          <w:tcPr>
            <w:tcW w:w="464" w:type="pct"/>
            <w:tcBorders>
              <w:top w:val="single" w:sz="8" w:space="0" w:color="auto"/>
            </w:tcBorders>
            <w:shd w:val="clear" w:color="auto" w:fill="auto"/>
            <w:noWrap/>
            <w:vAlign w:val="center"/>
          </w:tcPr>
          <w:p w14:paraId="4FB387FD" w14:textId="6F061578" w:rsidR="00300447" w:rsidRPr="00300447" w:rsidRDefault="00300447" w:rsidP="00F56364">
            <w:pPr>
              <w:spacing w:after="0" w:line="240" w:lineRule="auto"/>
              <w:jc w:val="right"/>
              <w:rPr>
                <w:rFonts w:ascii="Arial" w:hAnsi="Arial" w:cs="Arial"/>
                <w:i/>
                <w:sz w:val="18"/>
                <w:szCs w:val="18"/>
                <w:lang w:val="en-US"/>
              </w:rPr>
            </w:pPr>
            <w:r>
              <w:rPr>
                <w:rFonts w:ascii="Arial" w:hAnsi="Arial" w:cs="Arial"/>
                <w:i/>
                <w:sz w:val="18"/>
                <w:szCs w:val="18"/>
                <w:lang w:val="en-US"/>
              </w:rPr>
              <w:t>71</w:t>
            </w:r>
            <w:r w:rsidR="00E037AB">
              <w:rPr>
                <w:rFonts w:ascii="Arial" w:hAnsi="Arial" w:cs="Arial"/>
                <w:i/>
                <w:sz w:val="18"/>
                <w:szCs w:val="18"/>
                <w:lang w:val="uk-UA"/>
              </w:rPr>
              <w:t>,</w:t>
            </w:r>
            <w:r>
              <w:rPr>
                <w:rFonts w:ascii="Arial" w:hAnsi="Arial" w:cs="Arial"/>
                <w:i/>
                <w:sz w:val="18"/>
                <w:szCs w:val="18"/>
                <w:lang w:val="en-US"/>
              </w:rPr>
              <w:t>876</w:t>
            </w:r>
          </w:p>
        </w:tc>
        <w:tc>
          <w:tcPr>
            <w:tcW w:w="464" w:type="pct"/>
            <w:tcBorders>
              <w:top w:val="single" w:sz="8" w:space="0" w:color="auto"/>
            </w:tcBorders>
            <w:shd w:val="clear" w:color="auto" w:fill="auto"/>
            <w:noWrap/>
            <w:vAlign w:val="center"/>
          </w:tcPr>
          <w:p w14:paraId="3574CD2D" w14:textId="3159380F" w:rsidR="00300447" w:rsidRPr="00300447" w:rsidRDefault="00300447" w:rsidP="00F56364">
            <w:pPr>
              <w:spacing w:after="0" w:line="240" w:lineRule="auto"/>
              <w:jc w:val="right"/>
              <w:rPr>
                <w:rFonts w:ascii="Arial" w:hAnsi="Arial" w:cs="Arial"/>
                <w:i/>
                <w:sz w:val="18"/>
                <w:szCs w:val="18"/>
              </w:rPr>
            </w:pPr>
            <w:r w:rsidRPr="00300447">
              <w:rPr>
                <w:rFonts w:ascii="Arial" w:hAnsi="Arial" w:cs="Arial"/>
                <w:i/>
                <w:sz w:val="18"/>
                <w:szCs w:val="18"/>
              </w:rPr>
              <w:t>-</w:t>
            </w:r>
            <w:r>
              <w:rPr>
                <w:rFonts w:ascii="Arial" w:hAnsi="Arial" w:cs="Arial"/>
                <w:i/>
                <w:sz w:val="18"/>
                <w:szCs w:val="18"/>
                <w:lang w:val="en-US"/>
              </w:rPr>
              <w:t>6</w:t>
            </w:r>
            <w:r w:rsidRPr="00300447">
              <w:rPr>
                <w:rFonts w:ascii="Arial" w:hAnsi="Arial" w:cs="Arial"/>
                <w:i/>
                <w:sz w:val="18"/>
                <w:szCs w:val="18"/>
              </w:rPr>
              <w:t>%</w:t>
            </w:r>
          </w:p>
        </w:tc>
        <w:tc>
          <w:tcPr>
            <w:tcW w:w="464" w:type="pct"/>
            <w:tcBorders>
              <w:top w:val="single" w:sz="8" w:space="0" w:color="auto"/>
            </w:tcBorders>
            <w:vAlign w:val="center"/>
          </w:tcPr>
          <w:p w14:paraId="5CF01023" w14:textId="04EA1A56" w:rsidR="00300447" w:rsidRPr="00300447" w:rsidRDefault="00300447" w:rsidP="00F56364">
            <w:pPr>
              <w:spacing w:after="0" w:line="240" w:lineRule="auto"/>
              <w:jc w:val="right"/>
              <w:rPr>
                <w:rFonts w:ascii="Arial" w:hAnsi="Arial" w:cs="Arial"/>
                <w:i/>
                <w:sz w:val="18"/>
                <w:szCs w:val="18"/>
                <w:lang w:val="en-US"/>
              </w:rPr>
            </w:pPr>
            <w:r>
              <w:rPr>
                <w:rFonts w:ascii="Arial" w:hAnsi="Arial" w:cs="Arial"/>
                <w:i/>
                <w:sz w:val="18"/>
                <w:szCs w:val="18"/>
                <w:lang w:val="en-US"/>
              </w:rPr>
              <w:t>66,809</w:t>
            </w:r>
          </w:p>
        </w:tc>
        <w:tc>
          <w:tcPr>
            <w:tcW w:w="464" w:type="pct"/>
            <w:tcBorders>
              <w:top w:val="single" w:sz="8" w:space="0" w:color="auto"/>
            </w:tcBorders>
            <w:vAlign w:val="center"/>
          </w:tcPr>
          <w:p w14:paraId="00A7F1ED" w14:textId="5434697C" w:rsidR="00300447" w:rsidRPr="00300447" w:rsidRDefault="00300447" w:rsidP="00F56364">
            <w:pPr>
              <w:spacing w:after="0" w:line="240" w:lineRule="auto"/>
              <w:jc w:val="right"/>
              <w:rPr>
                <w:rFonts w:ascii="Arial" w:hAnsi="Arial" w:cs="Arial"/>
                <w:i/>
                <w:sz w:val="18"/>
                <w:szCs w:val="18"/>
              </w:rPr>
            </w:pPr>
            <w:r>
              <w:rPr>
                <w:rFonts w:ascii="Arial" w:hAnsi="Arial" w:cs="Arial"/>
                <w:i/>
                <w:sz w:val="18"/>
                <w:szCs w:val="18"/>
                <w:lang w:val="en-US"/>
              </w:rPr>
              <w:t>2</w:t>
            </w:r>
            <w:r w:rsidRPr="00300447">
              <w:rPr>
                <w:rFonts w:ascii="Arial" w:hAnsi="Arial" w:cs="Arial"/>
                <w:i/>
                <w:sz w:val="18"/>
                <w:szCs w:val="18"/>
              </w:rPr>
              <w:t>%</w:t>
            </w:r>
          </w:p>
        </w:tc>
        <w:tc>
          <w:tcPr>
            <w:tcW w:w="464" w:type="pct"/>
            <w:tcBorders>
              <w:top w:val="single" w:sz="8" w:space="0" w:color="auto"/>
            </w:tcBorders>
            <w:shd w:val="clear" w:color="auto" w:fill="auto"/>
            <w:vAlign w:val="center"/>
          </w:tcPr>
          <w:p w14:paraId="45F8B118" w14:textId="73B7AA5C" w:rsidR="00300447" w:rsidRPr="00300447" w:rsidRDefault="00300447" w:rsidP="00F56364">
            <w:pPr>
              <w:spacing w:after="0" w:line="240" w:lineRule="auto"/>
              <w:jc w:val="right"/>
              <w:rPr>
                <w:rFonts w:ascii="Arial" w:hAnsi="Arial" w:cs="Arial"/>
                <w:i/>
                <w:sz w:val="18"/>
                <w:szCs w:val="18"/>
                <w:lang w:val="en-US"/>
              </w:rPr>
            </w:pPr>
            <w:r>
              <w:rPr>
                <w:rFonts w:ascii="Arial" w:hAnsi="Arial" w:cs="Arial"/>
                <w:i/>
                <w:sz w:val="18"/>
                <w:szCs w:val="18"/>
                <w:lang w:val="en-US"/>
              </w:rPr>
              <w:t>134,706</w:t>
            </w:r>
          </w:p>
        </w:tc>
        <w:tc>
          <w:tcPr>
            <w:tcW w:w="464" w:type="pct"/>
            <w:tcBorders>
              <w:top w:val="single" w:sz="8" w:space="0" w:color="auto"/>
            </w:tcBorders>
            <w:shd w:val="clear" w:color="auto" w:fill="auto"/>
            <w:vAlign w:val="center"/>
          </w:tcPr>
          <w:p w14:paraId="70AEAEB3" w14:textId="15EAEFF3" w:rsidR="00300447" w:rsidRPr="00300447" w:rsidRDefault="00300447" w:rsidP="00F56364">
            <w:pPr>
              <w:spacing w:after="0" w:line="240" w:lineRule="auto"/>
              <w:jc w:val="right"/>
              <w:rPr>
                <w:rFonts w:ascii="Arial" w:hAnsi="Arial" w:cs="Arial"/>
                <w:i/>
                <w:sz w:val="18"/>
                <w:szCs w:val="18"/>
                <w:lang w:val="en-US"/>
              </w:rPr>
            </w:pPr>
            <w:r>
              <w:rPr>
                <w:rFonts w:ascii="Arial" w:hAnsi="Arial" w:cs="Arial"/>
                <w:i/>
                <w:sz w:val="18"/>
                <w:szCs w:val="18"/>
                <w:lang w:val="en-US"/>
              </w:rPr>
              <w:t>143,326</w:t>
            </w:r>
          </w:p>
        </w:tc>
        <w:tc>
          <w:tcPr>
            <w:tcW w:w="463" w:type="pct"/>
            <w:tcBorders>
              <w:top w:val="single" w:sz="8" w:space="0" w:color="auto"/>
            </w:tcBorders>
            <w:shd w:val="clear" w:color="auto" w:fill="auto"/>
            <w:vAlign w:val="center"/>
          </w:tcPr>
          <w:p w14:paraId="7870EB2E" w14:textId="5F8CB575" w:rsidR="00300447" w:rsidRPr="00300447" w:rsidRDefault="00300447" w:rsidP="00F56364">
            <w:pPr>
              <w:spacing w:after="0" w:line="240" w:lineRule="auto"/>
              <w:jc w:val="right"/>
              <w:rPr>
                <w:rFonts w:ascii="Arial" w:hAnsi="Arial" w:cs="Arial"/>
                <w:i/>
                <w:sz w:val="18"/>
                <w:szCs w:val="18"/>
                <w:lang w:val="en-US"/>
              </w:rPr>
            </w:pPr>
            <w:r w:rsidRPr="00300447">
              <w:rPr>
                <w:rFonts w:ascii="Arial" w:hAnsi="Arial" w:cs="Arial"/>
                <w:i/>
                <w:sz w:val="18"/>
                <w:szCs w:val="18"/>
                <w:lang w:val="en-US"/>
              </w:rPr>
              <w:t>-</w:t>
            </w:r>
            <w:r w:rsidR="00656461">
              <w:rPr>
                <w:rFonts w:ascii="Arial" w:hAnsi="Arial" w:cs="Arial"/>
                <w:i/>
                <w:sz w:val="18"/>
                <w:szCs w:val="18"/>
                <w:lang w:val="en-US"/>
              </w:rPr>
              <w:t>6</w:t>
            </w:r>
            <w:r w:rsidRPr="00300447">
              <w:rPr>
                <w:rFonts w:ascii="Arial" w:hAnsi="Arial" w:cs="Arial"/>
                <w:i/>
                <w:sz w:val="18"/>
                <w:szCs w:val="18"/>
                <w:lang w:val="en-US"/>
              </w:rPr>
              <w:t>%</w:t>
            </w:r>
          </w:p>
        </w:tc>
      </w:tr>
      <w:tr w:rsidR="00300447" w:rsidRPr="00300447" w14:paraId="52B91B90" w14:textId="77777777" w:rsidTr="00F56364">
        <w:trPr>
          <w:trHeight w:val="352"/>
        </w:trPr>
        <w:tc>
          <w:tcPr>
            <w:tcW w:w="1158" w:type="pct"/>
            <w:tcBorders>
              <w:bottom w:val="single" w:sz="4" w:space="0" w:color="auto"/>
            </w:tcBorders>
            <w:shd w:val="clear" w:color="auto" w:fill="auto"/>
            <w:noWrap/>
            <w:vAlign w:val="center"/>
          </w:tcPr>
          <w:p w14:paraId="28243CDC" w14:textId="77777777" w:rsidR="00300447" w:rsidRPr="00300447" w:rsidRDefault="00300447" w:rsidP="00F56364">
            <w:pPr>
              <w:spacing w:after="0" w:line="240" w:lineRule="auto"/>
              <w:jc w:val="both"/>
              <w:rPr>
                <w:rFonts w:ascii="Arial" w:eastAsia="Times New Roman" w:hAnsi="Arial" w:cs="Arial"/>
                <w:i/>
                <w:color w:val="000000"/>
                <w:sz w:val="18"/>
                <w:szCs w:val="18"/>
                <w:lang w:val="en-US" w:eastAsia="ru-RU"/>
              </w:rPr>
            </w:pPr>
            <w:r w:rsidRPr="00300447">
              <w:rPr>
                <w:rFonts w:ascii="Arial" w:eastAsia="Times New Roman" w:hAnsi="Arial" w:cs="Arial"/>
                <w:i/>
                <w:color w:val="000000"/>
                <w:sz w:val="18"/>
                <w:szCs w:val="18"/>
                <w:lang w:val="en-US" w:eastAsia="ru-RU"/>
              </w:rPr>
              <w:t xml:space="preserve">Export sales volume, </w:t>
            </w:r>
            <w:proofErr w:type="spellStart"/>
            <w:r w:rsidRPr="00300447">
              <w:rPr>
                <w:rFonts w:ascii="Arial" w:eastAsia="Times New Roman" w:hAnsi="Arial" w:cs="Arial"/>
                <w:i/>
                <w:color w:val="000000"/>
                <w:sz w:val="18"/>
                <w:szCs w:val="18"/>
                <w:lang w:val="en-US" w:eastAsia="ru-RU"/>
              </w:rPr>
              <w:t>tonnes</w:t>
            </w:r>
            <w:proofErr w:type="spellEnd"/>
          </w:p>
        </w:tc>
        <w:tc>
          <w:tcPr>
            <w:tcW w:w="131" w:type="pct"/>
            <w:vAlign w:val="center"/>
          </w:tcPr>
          <w:p w14:paraId="113F9419" w14:textId="77777777" w:rsidR="00300447" w:rsidRPr="00300447" w:rsidRDefault="00300447" w:rsidP="00F56364">
            <w:pPr>
              <w:spacing w:after="0" w:line="240" w:lineRule="auto"/>
              <w:jc w:val="right"/>
              <w:rPr>
                <w:rFonts w:ascii="Arial" w:eastAsia="Times New Roman" w:hAnsi="Arial" w:cs="Arial"/>
                <w:i/>
                <w:color w:val="000000"/>
                <w:sz w:val="18"/>
                <w:szCs w:val="18"/>
                <w:lang w:val="en-US" w:eastAsia="ru-RU"/>
              </w:rPr>
            </w:pPr>
          </w:p>
        </w:tc>
        <w:tc>
          <w:tcPr>
            <w:tcW w:w="464" w:type="pct"/>
            <w:tcBorders>
              <w:bottom w:val="single" w:sz="4" w:space="0" w:color="auto"/>
            </w:tcBorders>
            <w:shd w:val="clear" w:color="auto" w:fill="auto"/>
            <w:noWrap/>
            <w:vAlign w:val="center"/>
          </w:tcPr>
          <w:p w14:paraId="4F214432" w14:textId="434986FA" w:rsidR="00300447" w:rsidRPr="00333F36" w:rsidRDefault="00333F36" w:rsidP="00F56364">
            <w:pPr>
              <w:spacing w:after="0" w:line="240" w:lineRule="auto"/>
              <w:jc w:val="right"/>
              <w:rPr>
                <w:rFonts w:ascii="Arial" w:hAnsi="Arial" w:cs="Arial"/>
                <w:i/>
                <w:sz w:val="18"/>
                <w:szCs w:val="18"/>
                <w:lang w:val="en-US"/>
              </w:rPr>
            </w:pPr>
            <w:r>
              <w:rPr>
                <w:rFonts w:ascii="Arial" w:hAnsi="Arial" w:cs="Arial"/>
                <w:i/>
                <w:sz w:val="18"/>
                <w:szCs w:val="18"/>
                <w:lang w:val="en-US"/>
              </w:rPr>
              <w:t>68,552</w:t>
            </w:r>
          </w:p>
        </w:tc>
        <w:tc>
          <w:tcPr>
            <w:tcW w:w="464" w:type="pct"/>
            <w:tcBorders>
              <w:bottom w:val="single" w:sz="4" w:space="0" w:color="auto"/>
            </w:tcBorders>
            <w:shd w:val="clear" w:color="auto" w:fill="auto"/>
            <w:noWrap/>
            <w:vAlign w:val="center"/>
          </w:tcPr>
          <w:p w14:paraId="4A420615" w14:textId="28F443AE" w:rsidR="00300447" w:rsidRPr="00300447" w:rsidRDefault="00333F36" w:rsidP="00F56364">
            <w:pPr>
              <w:spacing w:after="0" w:line="240" w:lineRule="auto"/>
              <w:jc w:val="right"/>
              <w:rPr>
                <w:rFonts w:ascii="Arial" w:hAnsi="Arial" w:cs="Arial"/>
                <w:i/>
                <w:sz w:val="18"/>
                <w:szCs w:val="18"/>
                <w:lang w:val="en-US"/>
              </w:rPr>
            </w:pPr>
            <w:r>
              <w:rPr>
                <w:rFonts w:ascii="Arial" w:hAnsi="Arial" w:cs="Arial"/>
                <w:i/>
                <w:sz w:val="18"/>
                <w:szCs w:val="18"/>
                <w:lang w:val="en-US"/>
              </w:rPr>
              <w:t>109,055</w:t>
            </w:r>
          </w:p>
        </w:tc>
        <w:tc>
          <w:tcPr>
            <w:tcW w:w="464" w:type="pct"/>
            <w:tcBorders>
              <w:bottom w:val="single" w:sz="4" w:space="0" w:color="auto"/>
            </w:tcBorders>
            <w:shd w:val="clear" w:color="auto" w:fill="auto"/>
            <w:noWrap/>
            <w:vAlign w:val="center"/>
          </w:tcPr>
          <w:p w14:paraId="61F03E40" w14:textId="36B12C54" w:rsidR="00300447" w:rsidRPr="00300447" w:rsidRDefault="00333F36" w:rsidP="00575FDA">
            <w:pPr>
              <w:spacing w:after="0" w:line="240" w:lineRule="auto"/>
              <w:jc w:val="center"/>
              <w:rPr>
                <w:rFonts w:ascii="Arial" w:hAnsi="Arial" w:cs="Arial"/>
                <w:i/>
                <w:sz w:val="18"/>
                <w:szCs w:val="18"/>
                <w:lang w:val="en-US"/>
              </w:rPr>
            </w:pPr>
            <w:r>
              <w:rPr>
                <w:rFonts w:ascii="Arial" w:hAnsi="Arial" w:cs="Arial"/>
                <w:i/>
                <w:sz w:val="18"/>
                <w:szCs w:val="18"/>
                <w:lang w:val="en-US"/>
              </w:rPr>
              <w:t>-37</w:t>
            </w:r>
            <w:r w:rsidR="00300447" w:rsidRPr="00300447">
              <w:rPr>
                <w:rFonts w:ascii="Arial" w:hAnsi="Arial" w:cs="Arial"/>
                <w:i/>
                <w:sz w:val="18"/>
                <w:szCs w:val="18"/>
                <w:lang w:val="en-US"/>
              </w:rPr>
              <w:t>%</w:t>
            </w:r>
          </w:p>
        </w:tc>
        <w:tc>
          <w:tcPr>
            <w:tcW w:w="464" w:type="pct"/>
            <w:tcBorders>
              <w:bottom w:val="single" w:sz="4" w:space="0" w:color="auto"/>
            </w:tcBorders>
            <w:vAlign w:val="center"/>
          </w:tcPr>
          <w:p w14:paraId="5891094C" w14:textId="73E3A93A" w:rsidR="00300447" w:rsidRPr="00300447" w:rsidRDefault="00333F36" w:rsidP="00F56364">
            <w:pPr>
              <w:spacing w:after="0" w:line="240" w:lineRule="auto"/>
              <w:jc w:val="right"/>
              <w:rPr>
                <w:rFonts w:ascii="Arial" w:hAnsi="Arial" w:cs="Arial"/>
                <w:i/>
                <w:sz w:val="18"/>
                <w:szCs w:val="18"/>
                <w:lang w:val="en-US"/>
              </w:rPr>
            </w:pPr>
            <w:r>
              <w:rPr>
                <w:rFonts w:ascii="Arial" w:hAnsi="Arial" w:cs="Arial"/>
                <w:i/>
                <w:sz w:val="18"/>
                <w:szCs w:val="18"/>
                <w:lang w:val="en-US"/>
              </w:rPr>
              <w:t>89,340</w:t>
            </w:r>
          </w:p>
        </w:tc>
        <w:tc>
          <w:tcPr>
            <w:tcW w:w="464" w:type="pct"/>
            <w:tcBorders>
              <w:bottom w:val="single" w:sz="4" w:space="0" w:color="auto"/>
            </w:tcBorders>
            <w:vAlign w:val="center"/>
          </w:tcPr>
          <w:p w14:paraId="4F1E7F9A" w14:textId="4982D213" w:rsidR="00300447" w:rsidRPr="00300447" w:rsidRDefault="00333F36" w:rsidP="00F56364">
            <w:pPr>
              <w:spacing w:after="0" w:line="240" w:lineRule="auto"/>
              <w:jc w:val="right"/>
              <w:rPr>
                <w:rFonts w:ascii="Arial" w:hAnsi="Arial" w:cs="Arial"/>
                <w:i/>
                <w:sz w:val="18"/>
                <w:szCs w:val="18"/>
                <w:lang w:val="en-US"/>
              </w:rPr>
            </w:pPr>
            <w:r>
              <w:rPr>
                <w:rFonts w:ascii="Arial" w:hAnsi="Arial" w:cs="Arial"/>
                <w:i/>
                <w:sz w:val="18"/>
                <w:szCs w:val="18"/>
                <w:lang w:val="en-US"/>
              </w:rPr>
              <w:t>-23</w:t>
            </w:r>
            <w:r w:rsidR="00300447" w:rsidRPr="00300447">
              <w:rPr>
                <w:rFonts w:ascii="Arial" w:hAnsi="Arial" w:cs="Arial"/>
                <w:i/>
                <w:sz w:val="18"/>
                <w:szCs w:val="18"/>
                <w:lang w:val="en-US"/>
              </w:rPr>
              <w:t>%</w:t>
            </w:r>
          </w:p>
        </w:tc>
        <w:tc>
          <w:tcPr>
            <w:tcW w:w="464" w:type="pct"/>
            <w:tcBorders>
              <w:bottom w:val="single" w:sz="4" w:space="0" w:color="auto"/>
            </w:tcBorders>
            <w:shd w:val="clear" w:color="auto" w:fill="auto"/>
            <w:vAlign w:val="center"/>
          </w:tcPr>
          <w:p w14:paraId="60120C5D" w14:textId="649752B8" w:rsidR="00300447" w:rsidRPr="00300447" w:rsidRDefault="00333F36" w:rsidP="00F56364">
            <w:pPr>
              <w:spacing w:after="0" w:line="240" w:lineRule="auto"/>
              <w:jc w:val="right"/>
              <w:rPr>
                <w:rFonts w:ascii="Arial" w:hAnsi="Arial" w:cs="Arial"/>
                <w:i/>
                <w:sz w:val="18"/>
                <w:szCs w:val="18"/>
                <w:lang w:val="en-US"/>
              </w:rPr>
            </w:pPr>
            <w:r>
              <w:rPr>
                <w:rFonts w:ascii="Arial" w:hAnsi="Arial" w:cs="Arial"/>
                <w:i/>
                <w:sz w:val="18"/>
                <w:szCs w:val="18"/>
                <w:lang w:val="en-US"/>
              </w:rPr>
              <w:t>157,892</w:t>
            </w:r>
          </w:p>
        </w:tc>
        <w:tc>
          <w:tcPr>
            <w:tcW w:w="464" w:type="pct"/>
            <w:tcBorders>
              <w:bottom w:val="single" w:sz="4" w:space="0" w:color="auto"/>
            </w:tcBorders>
            <w:shd w:val="clear" w:color="auto" w:fill="auto"/>
            <w:vAlign w:val="center"/>
          </w:tcPr>
          <w:p w14:paraId="2F712853" w14:textId="6EE83542" w:rsidR="00300447" w:rsidRPr="00333F36" w:rsidRDefault="00333F36" w:rsidP="00F56364">
            <w:pPr>
              <w:spacing w:after="0" w:line="240" w:lineRule="auto"/>
              <w:jc w:val="right"/>
              <w:rPr>
                <w:rFonts w:ascii="Arial" w:hAnsi="Arial" w:cs="Arial"/>
                <w:i/>
                <w:sz w:val="18"/>
                <w:szCs w:val="18"/>
                <w:lang w:val="en-US"/>
              </w:rPr>
            </w:pPr>
            <w:r>
              <w:rPr>
                <w:rFonts w:ascii="Arial" w:hAnsi="Arial" w:cs="Arial"/>
                <w:i/>
                <w:sz w:val="18"/>
                <w:szCs w:val="18"/>
                <w:lang w:val="en-US"/>
              </w:rPr>
              <w:t>191,315</w:t>
            </w:r>
          </w:p>
        </w:tc>
        <w:tc>
          <w:tcPr>
            <w:tcW w:w="463" w:type="pct"/>
            <w:tcBorders>
              <w:bottom w:val="single" w:sz="4" w:space="0" w:color="auto"/>
            </w:tcBorders>
            <w:shd w:val="clear" w:color="auto" w:fill="auto"/>
            <w:vAlign w:val="center"/>
          </w:tcPr>
          <w:p w14:paraId="2324B825" w14:textId="5962223C" w:rsidR="00300447" w:rsidRPr="00300447" w:rsidRDefault="00333F36" w:rsidP="00F56364">
            <w:pPr>
              <w:spacing w:after="0" w:line="240" w:lineRule="auto"/>
              <w:jc w:val="right"/>
              <w:rPr>
                <w:rFonts w:ascii="Arial" w:hAnsi="Arial" w:cs="Arial"/>
                <w:i/>
                <w:sz w:val="18"/>
                <w:szCs w:val="18"/>
                <w:lang w:val="en-US"/>
              </w:rPr>
            </w:pPr>
            <w:r>
              <w:rPr>
                <w:rFonts w:ascii="Arial" w:hAnsi="Arial" w:cs="Arial"/>
                <w:i/>
                <w:sz w:val="18"/>
                <w:szCs w:val="18"/>
                <w:lang w:val="en-US"/>
              </w:rPr>
              <w:t>-17</w:t>
            </w:r>
            <w:r w:rsidR="00300447" w:rsidRPr="00300447">
              <w:rPr>
                <w:rFonts w:ascii="Arial" w:hAnsi="Arial" w:cs="Arial"/>
                <w:i/>
                <w:sz w:val="18"/>
                <w:szCs w:val="18"/>
                <w:lang w:val="en-US"/>
              </w:rPr>
              <w:t>%</w:t>
            </w:r>
          </w:p>
        </w:tc>
      </w:tr>
      <w:tr w:rsidR="00333F36" w:rsidRPr="00300447" w14:paraId="75702E1B" w14:textId="77777777" w:rsidTr="00F56364">
        <w:trPr>
          <w:trHeight w:val="352"/>
        </w:trPr>
        <w:tc>
          <w:tcPr>
            <w:tcW w:w="1158" w:type="pct"/>
            <w:tcBorders>
              <w:bottom w:val="single" w:sz="4" w:space="0" w:color="auto"/>
            </w:tcBorders>
            <w:shd w:val="clear" w:color="auto" w:fill="auto"/>
            <w:noWrap/>
            <w:vAlign w:val="center"/>
          </w:tcPr>
          <w:p w14:paraId="5586C30F" w14:textId="4C448BD1" w:rsidR="00333F36" w:rsidRPr="00300447" w:rsidRDefault="00333F36" w:rsidP="00333F36">
            <w:pPr>
              <w:spacing w:after="0" w:line="240" w:lineRule="auto"/>
              <w:jc w:val="both"/>
              <w:rPr>
                <w:rFonts w:ascii="Arial" w:eastAsia="Times New Roman" w:hAnsi="Arial" w:cs="Arial"/>
                <w:i/>
                <w:color w:val="000000"/>
                <w:sz w:val="18"/>
                <w:szCs w:val="18"/>
                <w:lang w:val="en-US" w:eastAsia="ru-RU"/>
              </w:rPr>
            </w:pPr>
            <w:r w:rsidRPr="000B0034">
              <w:rPr>
                <w:rFonts w:ascii="Arial" w:eastAsia="Times New Roman" w:hAnsi="Arial" w:cs="Arial"/>
                <w:i/>
                <w:color w:val="000000"/>
                <w:sz w:val="18"/>
                <w:szCs w:val="18"/>
                <w:lang w:val="en-US" w:eastAsia="ru-RU"/>
              </w:rPr>
              <w:t xml:space="preserve">Culinary products sales, </w:t>
            </w:r>
            <w:proofErr w:type="spellStart"/>
            <w:r w:rsidRPr="000B0034">
              <w:rPr>
                <w:rFonts w:ascii="Arial" w:eastAsia="Times New Roman" w:hAnsi="Arial" w:cs="Arial"/>
                <w:i/>
                <w:color w:val="000000"/>
                <w:sz w:val="18"/>
                <w:szCs w:val="18"/>
                <w:lang w:val="en-US" w:eastAsia="ru-RU"/>
              </w:rPr>
              <w:t>tonnes</w:t>
            </w:r>
            <w:proofErr w:type="spellEnd"/>
          </w:p>
        </w:tc>
        <w:tc>
          <w:tcPr>
            <w:tcW w:w="131" w:type="pct"/>
            <w:vAlign w:val="center"/>
          </w:tcPr>
          <w:p w14:paraId="2DF5F217" w14:textId="7D8786D5" w:rsidR="00333F36" w:rsidRPr="00300447" w:rsidRDefault="00333F36" w:rsidP="00333F36">
            <w:pPr>
              <w:spacing w:after="0" w:line="240" w:lineRule="auto"/>
              <w:jc w:val="right"/>
              <w:rPr>
                <w:rFonts w:ascii="Arial" w:eastAsia="Times New Roman" w:hAnsi="Arial" w:cs="Arial"/>
                <w:i/>
                <w:color w:val="000000"/>
                <w:sz w:val="18"/>
                <w:szCs w:val="18"/>
                <w:lang w:val="en-US" w:eastAsia="ru-RU"/>
              </w:rPr>
            </w:pPr>
          </w:p>
        </w:tc>
        <w:tc>
          <w:tcPr>
            <w:tcW w:w="464" w:type="pct"/>
            <w:tcBorders>
              <w:bottom w:val="single" w:sz="4" w:space="0" w:color="auto"/>
            </w:tcBorders>
            <w:shd w:val="clear" w:color="auto" w:fill="auto"/>
            <w:noWrap/>
            <w:vAlign w:val="center"/>
          </w:tcPr>
          <w:p w14:paraId="4F551573" w14:textId="37F686EE" w:rsidR="00333F36" w:rsidRPr="00333F36" w:rsidRDefault="00333F36" w:rsidP="00333F36">
            <w:pPr>
              <w:spacing w:after="0" w:line="240" w:lineRule="auto"/>
              <w:jc w:val="right"/>
              <w:rPr>
                <w:rFonts w:ascii="Arial" w:hAnsi="Arial" w:cs="Arial"/>
                <w:i/>
                <w:sz w:val="18"/>
                <w:szCs w:val="18"/>
                <w:lang w:val="en-US"/>
              </w:rPr>
            </w:pPr>
            <w:r>
              <w:rPr>
                <w:rFonts w:ascii="Arial" w:hAnsi="Arial" w:cs="Arial"/>
                <w:i/>
                <w:sz w:val="18"/>
                <w:szCs w:val="18"/>
                <w:lang w:val="en-US"/>
              </w:rPr>
              <w:t>4,100</w:t>
            </w:r>
          </w:p>
        </w:tc>
        <w:tc>
          <w:tcPr>
            <w:tcW w:w="464" w:type="pct"/>
            <w:tcBorders>
              <w:bottom w:val="single" w:sz="4" w:space="0" w:color="auto"/>
            </w:tcBorders>
            <w:shd w:val="clear" w:color="auto" w:fill="auto"/>
            <w:noWrap/>
            <w:vAlign w:val="center"/>
          </w:tcPr>
          <w:p w14:paraId="0E24C65B" w14:textId="26DBB7DE" w:rsidR="00333F36" w:rsidRPr="00300447" w:rsidRDefault="00333F36" w:rsidP="00333F36">
            <w:pPr>
              <w:spacing w:after="0" w:line="240" w:lineRule="auto"/>
              <w:jc w:val="right"/>
              <w:rPr>
                <w:rFonts w:ascii="Arial" w:hAnsi="Arial" w:cs="Arial"/>
                <w:i/>
                <w:sz w:val="18"/>
                <w:szCs w:val="18"/>
                <w:lang w:val="en-US"/>
              </w:rPr>
            </w:pPr>
            <w:r>
              <w:rPr>
                <w:rFonts w:ascii="Arial" w:hAnsi="Arial" w:cs="Arial"/>
                <w:i/>
                <w:sz w:val="18"/>
                <w:szCs w:val="18"/>
                <w:lang w:val="en-US"/>
              </w:rPr>
              <w:t>2,661</w:t>
            </w:r>
          </w:p>
        </w:tc>
        <w:tc>
          <w:tcPr>
            <w:tcW w:w="464" w:type="pct"/>
            <w:tcBorders>
              <w:bottom w:val="single" w:sz="4" w:space="0" w:color="auto"/>
            </w:tcBorders>
            <w:shd w:val="clear" w:color="auto" w:fill="auto"/>
            <w:noWrap/>
            <w:vAlign w:val="center"/>
          </w:tcPr>
          <w:p w14:paraId="33DA41EA" w14:textId="612E9346" w:rsidR="00333F36" w:rsidRPr="00300447" w:rsidRDefault="00CE5A7E" w:rsidP="00333F36">
            <w:pPr>
              <w:spacing w:after="0" w:line="240" w:lineRule="auto"/>
              <w:jc w:val="right"/>
              <w:rPr>
                <w:rFonts w:ascii="Arial" w:hAnsi="Arial" w:cs="Arial"/>
                <w:i/>
                <w:sz w:val="18"/>
                <w:szCs w:val="18"/>
                <w:lang w:val="en-US"/>
              </w:rPr>
            </w:pPr>
            <w:r>
              <w:rPr>
                <w:rFonts w:ascii="Arial" w:hAnsi="Arial" w:cs="Arial"/>
                <w:i/>
                <w:sz w:val="18"/>
                <w:szCs w:val="18"/>
                <w:lang w:val="en-US"/>
              </w:rPr>
              <w:t>54%</w:t>
            </w:r>
          </w:p>
        </w:tc>
        <w:tc>
          <w:tcPr>
            <w:tcW w:w="464" w:type="pct"/>
            <w:tcBorders>
              <w:bottom w:val="single" w:sz="4" w:space="0" w:color="auto"/>
            </w:tcBorders>
            <w:vAlign w:val="center"/>
          </w:tcPr>
          <w:p w14:paraId="571F71F7" w14:textId="77EDBAC5" w:rsidR="00333F36" w:rsidRPr="00300447" w:rsidRDefault="00CE5A7E" w:rsidP="00333F36">
            <w:pPr>
              <w:spacing w:after="0" w:line="240" w:lineRule="auto"/>
              <w:jc w:val="right"/>
              <w:rPr>
                <w:rFonts w:ascii="Arial" w:hAnsi="Arial" w:cs="Arial"/>
                <w:i/>
                <w:sz w:val="18"/>
                <w:szCs w:val="18"/>
                <w:lang w:val="en-US"/>
              </w:rPr>
            </w:pPr>
            <w:r>
              <w:rPr>
                <w:rFonts w:ascii="Arial" w:hAnsi="Arial" w:cs="Arial"/>
                <w:i/>
                <w:sz w:val="18"/>
                <w:szCs w:val="18"/>
                <w:lang w:val="en-US"/>
              </w:rPr>
              <w:t>2,875</w:t>
            </w:r>
          </w:p>
        </w:tc>
        <w:tc>
          <w:tcPr>
            <w:tcW w:w="464" w:type="pct"/>
            <w:tcBorders>
              <w:bottom w:val="single" w:sz="4" w:space="0" w:color="auto"/>
            </w:tcBorders>
            <w:vAlign w:val="center"/>
          </w:tcPr>
          <w:p w14:paraId="6C640744" w14:textId="3AA6CEF8" w:rsidR="00333F36" w:rsidRPr="00CE5A7E" w:rsidRDefault="00CE5A7E" w:rsidP="00333F36">
            <w:pPr>
              <w:spacing w:after="0" w:line="240" w:lineRule="auto"/>
              <w:jc w:val="right"/>
              <w:rPr>
                <w:rFonts w:ascii="Arial" w:hAnsi="Arial" w:cs="Arial"/>
                <w:i/>
                <w:sz w:val="18"/>
                <w:szCs w:val="18"/>
                <w:lang w:val="en-US"/>
              </w:rPr>
            </w:pPr>
            <w:r>
              <w:rPr>
                <w:rFonts w:ascii="Arial" w:hAnsi="Arial" w:cs="Arial"/>
                <w:i/>
                <w:sz w:val="18"/>
                <w:szCs w:val="18"/>
                <w:lang w:val="en-US"/>
              </w:rPr>
              <w:t>43%</w:t>
            </w:r>
          </w:p>
        </w:tc>
        <w:tc>
          <w:tcPr>
            <w:tcW w:w="464" w:type="pct"/>
            <w:tcBorders>
              <w:bottom w:val="single" w:sz="4" w:space="0" w:color="auto"/>
            </w:tcBorders>
            <w:shd w:val="clear" w:color="auto" w:fill="auto"/>
            <w:vAlign w:val="center"/>
          </w:tcPr>
          <w:p w14:paraId="5477A32E" w14:textId="585AEE29" w:rsidR="00333F36" w:rsidRPr="00300447" w:rsidRDefault="00CE5A7E" w:rsidP="00333F36">
            <w:pPr>
              <w:spacing w:after="0" w:line="240" w:lineRule="auto"/>
              <w:jc w:val="right"/>
              <w:rPr>
                <w:rFonts w:ascii="Arial" w:hAnsi="Arial" w:cs="Arial"/>
                <w:i/>
                <w:sz w:val="18"/>
                <w:szCs w:val="18"/>
                <w:lang w:val="en-US"/>
              </w:rPr>
            </w:pPr>
            <w:r>
              <w:rPr>
                <w:rFonts w:ascii="Arial" w:hAnsi="Arial" w:cs="Arial"/>
                <w:i/>
                <w:sz w:val="18"/>
                <w:szCs w:val="18"/>
                <w:lang w:val="en-US"/>
              </w:rPr>
              <w:t>6,975</w:t>
            </w:r>
          </w:p>
        </w:tc>
        <w:tc>
          <w:tcPr>
            <w:tcW w:w="464" w:type="pct"/>
            <w:tcBorders>
              <w:bottom w:val="single" w:sz="4" w:space="0" w:color="auto"/>
            </w:tcBorders>
            <w:shd w:val="clear" w:color="auto" w:fill="auto"/>
            <w:vAlign w:val="center"/>
          </w:tcPr>
          <w:p w14:paraId="0CBBEFB6" w14:textId="46B430B8" w:rsidR="00333F36" w:rsidRPr="00300447" w:rsidRDefault="00CE5A7E" w:rsidP="00333F36">
            <w:pPr>
              <w:spacing w:after="0" w:line="240" w:lineRule="auto"/>
              <w:jc w:val="right"/>
              <w:rPr>
                <w:rFonts w:ascii="Arial" w:hAnsi="Arial" w:cs="Arial"/>
                <w:i/>
                <w:sz w:val="18"/>
                <w:szCs w:val="18"/>
                <w:lang w:val="en-US"/>
              </w:rPr>
            </w:pPr>
            <w:r>
              <w:rPr>
                <w:rFonts w:ascii="Arial" w:hAnsi="Arial" w:cs="Arial"/>
                <w:i/>
                <w:sz w:val="18"/>
                <w:szCs w:val="18"/>
                <w:lang w:val="en-US"/>
              </w:rPr>
              <w:t>3,953</w:t>
            </w:r>
          </w:p>
        </w:tc>
        <w:tc>
          <w:tcPr>
            <w:tcW w:w="463" w:type="pct"/>
            <w:tcBorders>
              <w:bottom w:val="single" w:sz="4" w:space="0" w:color="auto"/>
            </w:tcBorders>
            <w:shd w:val="clear" w:color="auto" w:fill="auto"/>
            <w:vAlign w:val="center"/>
          </w:tcPr>
          <w:p w14:paraId="20E7BDFC" w14:textId="2B79374C" w:rsidR="00333F36" w:rsidRPr="00300447" w:rsidRDefault="00CE5A7E" w:rsidP="00333F36">
            <w:pPr>
              <w:spacing w:after="0" w:line="240" w:lineRule="auto"/>
              <w:jc w:val="right"/>
              <w:rPr>
                <w:rFonts w:ascii="Arial" w:hAnsi="Arial" w:cs="Arial"/>
                <w:i/>
                <w:sz w:val="18"/>
                <w:szCs w:val="18"/>
                <w:lang w:val="en-US"/>
              </w:rPr>
            </w:pPr>
            <w:r>
              <w:rPr>
                <w:rFonts w:ascii="Arial" w:hAnsi="Arial" w:cs="Arial"/>
                <w:i/>
                <w:sz w:val="18"/>
                <w:szCs w:val="18"/>
                <w:lang w:val="en-US"/>
              </w:rPr>
              <w:t>76%</w:t>
            </w:r>
          </w:p>
        </w:tc>
      </w:tr>
      <w:tr w:rsidR="00333F36" w:rsidRPr="00300447" w14:paraId="2E8F15FD" w14:textId="77777777" w:rsidTr="00F56364">
        <w:trPr>
          <w:trHeight w:val="352"/>
        </w:trPr>
        <w:tc>
          <w:tcPr>
            <w:tcW w:w="1158" w:type="pct"/>
            <w:tcBorders>
              <w:top w:val="single" w:sz="4" w:space="0" w:color="auto"/>
              <w:bottom w:val="single" w:sz="12" w:space="0" w:color="auto"/>
            </w:tcBorders>
            <w:shd w:val="clear" w:color="auto" w:fill="auto"/>
            <w:noWrap/>
            <w:vAlign w:val="center"/>
          </w:tcPr>
          <w:p w14:paraId="22633F07" w14:textId="77777777" w:rsidR="00333F36" w:rsidRPr="00300447" w:rsidRDefault="00333F36" w:rsidP="00333F36">
            <w:pPr>
              <w:spacing w:after="0" w:line="240" w:lineRule="auto"/>
              <w:jc w:val="both"/>
              <w:rPr>
                <w:rFonts w:ascii="Arial" w:eastAsia="Times New Roman" w:hAnsi="Arial" w:cs="Arial"/>
                <w:iCs/>
                <w:color w:val="000000"/>
                <w:sz w:val="18"/>
                <w:szCs w:val="18"/>
                <w:lang w:val="en-US" w:eastAsia="ru-RU"/>
              </w:rPr>
            </w:pPr>
            <w:r w:rsidRPr="00300447">
              <w:rPr>
                <w:rFonts w:ascii="Arial" w:eastAsia="Times New Roman" w:hAnsi="Arial" w:cs="Arial"/>
                <w:iCs/>
                <w:color w:val="000000"/>
                <w:sz w:val="18"/>
                <w:szCs w:val="18"/>
                <w:lang w:val="en-US" w:eastAsia="ru-RU"/>
              </w:rPr>
              <w:t>Share of export sales, %</w:t>
            </w:r>
          </w:p>
        </w:tc>
        <w:tc>
          <w:tcPr>
            <w:tcW w:w="131" w:type="pct"/>
            <w:vAlign w:val="center"/>
          </w:tcPr>
          <w:p w14:paraId="5475AF9B" w14:textId="77777777" w:rsidR="00333F36" w:rsidRPr="00300447" w:rsidRDefault="00333F36" w:rsidP="00333F36">
            <w:pPr>
              <w:spacing w:after="0" w:line="240" w:lineRule="auto"/>
              <w:jc w:val="right"/>
              <w:rPr>
                <w:rFonts w:ascii="Arial" w:eastAsia="Times New Roman" w:hAnsi="Arial" w:cs="Arial"/>
                <w:iCs/>
                <w:color w:val="000000"/>
                <w:sz w:val="18"/>
                <w:szCs w:val="18"/>
                <w:lang w:val="en-US" w:eastAsia="ru-RU"/>
              </w:rPr>
            </w:pPr>
          </w:p>
        </w:tc>
        <w:tc>
          <w:tcPr>
            <w:tcW w:w="464" w:type="pct"/>
            <w:tcBorders>
              <w:top w:val="single" w:sz="4" w:space="0" w:color="auto"/>
              <w:bottom w:val="single" w:sz="12" w:space="0" w:color="auto"/>
            </w:tcBorders>
            <w:shd w:val="clear" w:color="auto" w:fill="auto"/>
            <w:noWrap/>
            <w:vAlign w:val="center"/>
          </w:tcPr>
          <w:p w14:paraId="41DEB2C3" w14:textId="1681909D" w:rsidR="00333F36" w:rsidRPr="001B412A" w:rsidRDefault="00CE5A7E" w:rsidP="00333F36">
            <w:pPr>
              <w:spacing w:after="0" w:line="240" w:lineRule="auto"/>
              <w:jc w:val="right"/>
              <w:rPr>
                <w:rFonts w:ascii="Arial" w:eastAsia="Times New Roman" w:hAnsi="Arial" w:cs="Arial"/>
                <w:iCs/>
                <w:color w:val="000000"/>
                <w:sz w:val="18"/>
                <w:szCs w:val="18"/>
                <w:lang w:val="en-US" w:eastAsia="ru-RU"/>
              </w:rPr>
            </w:pPr>
            <w:r w:rsidRPr="001B412A">
              <w:rPr>
                <w:rFonts w:ascii="Arial" w:hAnsi="Arial" w:cs="Arial"/>
                <w:iCs/>
                <w:sz w:val="18"/>
                <w:szCs w:val="18"/>
                <w:lang w:val="en-US"/>
              </w:rPr>
              <w:t>48</w:t>
            </w:r>
            <w:r w:rsidR="00333F36" w:rsidRPr="001B412A">
              <w:rPr>
                <w:rFonts w:ascii="Arial" w:hAnsi="Arial" w:cs="Arial"/>
                <w:iCs/>
                <w:sz w:val="18"/>
                <w:szCs w:val="18"/>
              </w:rPr>
              <w:t>%</w:t>
            </w:r>
          </w:p>
        </w:tc>
        <w:tc>
          <w:tcPr>
            <w:tcW w:w="464" w:type="pct"/>
            <w:tcBorders>
              <w:top w:val="single" w:sz="4" w:space="0" w:color="auto"/>
              <w:bottom w:val="single" w:sz="12" w:space="0" w:color="auto"/>
            </w:tcBorders>
            <w:shd w:val="clear" w:color="auto" w:fill="auto"/>
            <w:noWrap/>
            <w:vAlign w:val="center"/>
          </w:tcPr>
          <w:p w14:paraId="177CBA6F" w14:textId="62894D0F" w:rsidR="00333F36" w:rsidRPr="001B412A" w:rsidRDefault="00CE5A7E" w:rsidP="00333F36">
            <w:pPr>
              <w:spacing w:after="0" w:line="240" w:lineRule="auto"/>
              <w:jc w:val="right"/>
              <w:rPr>
                <w:rFonts w:ascii="Arial" w:eastAsia="Times New Roman" w:hAnsi="Arial" w:cs="Arial"/>
                <w:iCs/>
                <w:color w:val="000000"/>
                <w:sz w:val="18"/>
                <w:szCs w:val="18"/>
                <w:lang w:val="en-US" w:eastAsia="ru-RU"/>
              </w:rPr>
            </w:pPr>
            <w:r w:rsidRPr="001B412A">
              <w:rPr>
                <w:rFonts w:ascii="Arial" w:hAnsi="Arial" w:cs="Arial"/>
                <w:iCs/>
                <w:sz w:val="18"/>
                <w:szCs w:val="18"/>
                <w:lang w:val="en-US"/>
              </w:rPr>
              <w:t>39</w:t>
            </w:r>
            <w:r w:rsidR="00333F36" w:rsidRPr="001B412A">
              <w:rPr>
                <w:rFonts w:ascii="Arial" w:hAnsi="Arial" w:cs="Arial"/>
                <w:iCs/>
                <w:sz w:val="18"/>
                <w:szCs w:val="18"/>
              </w:rPr>
              <w:t>%</w:t>
            </w:r>
          </w:p>
        </w:tc>
        <w:tc>
          <w:tcPr>
            <w:tcW w:w="464" w:type="pct"/>
            <w:tcBorders>
              <w:top w:val="single" w:sz="4" w:space="0" w:color="auto"/>
              <w:bottom w:val="single" w:sz="12" w:space="0" w:color="auto"/>
            </w:tcBorders>
            <w:shd w:val="clear" w:color="auto" w:fill="auto"/>
            <w:noWrap/>
            <w:vAlign w:val="center"/>
          </w:tcPr>
          <w:p w14:paraId="2708F4C4" w14:textId="60C79B26" w:rsidR="00333F36" w:rsidRPr="001B412A" w:rsidRDefault="00CE5A7E" w:rsidP="00333F36">
            <w:pPr>
              <w:spacing w:after="0" w:line="240" w:lineRule="auto"/>
              <w:jc w:val="right"/>
              <w:rPr>
                <w:rFonts w:ascii="Arial" w:eastAsia="Times New Roman" w:hAnsi="Arial" w:cs="Arial"/>
                <w:iCs/>
                <w:color w:val="000000"/>
                <w:sz w:val="18"/>
                <w:szCs w:val="18"/>
                <w:lang w:val="en-US" w:eastAsia="ru-RU"/>
              </w:rPr>
            </w:pPr>
            <w:r w:rsidRPr="001B412A">
              <w:rPr>
                <w:rFonts w:ascii="Arial" w:hAnsi="Arial" w:cs="Arial"/>
                <w:iCs/>
                <w:sz w:val="18"/>
                <w:szCs w:val="18"/>
                <w:lang w:val="en-US"/>
              </w:rPr>
              <w:t>11</w:t>
            </w:r>
            <w:r w:rsidR="00333F36" w:rsidRPr="001B412A">
              <w:rPr>
                <w:rFonts w:ascii="Arial" w:hAnsi="Arial" w:cs="Arial"/>
                <w:iCs/>
                <w:sz w:val="18"/>
                <w:szCs w:val="18"/>
              </w:rPr>
              <w:t xml:space="preserve"> </w:t>
            </w:r>
            <w:proofErr w:type="spellStart"/>
            <w:r w:rsidR="00333F36" w:rsidRPr="001B412A">
              <w:rPr>
                <w:rFonts w:ascii="Arial" w:hAnsi="Arial" w:cs="Arial"/>
                <w:iCs/>
                <w:sz w:val="18"/>
                <w:szCs w:val="18"/>
              </w:rPr>
              <w:t>pps</w:t>
            </w:r>
            <w:proofErr w:type="spellEnd"/>
          </w:p>
        </w:tc>
        <w:tc>
          <w:tcPr>
            <w:tcW w:w="464" w:type="pct"/>
            <w:tcBorders>
              <w:top w:val="single" w:sz="4" w:space="0" w:color="auto"/>
              <w:bottom w:val="single" w:sz="12" w:space="0" w:color="auto"/>
            </w:tcBorders>
            <w:vAlign w:val="center"/>
          </w:tcPr>
          <w:p w14:paraId="1DA2BEC6" w14:textId="08BCBAB0" w:rsidR="00333F36" w:rsidRPr="001B412A" w:rsidRDefault="00CE5A7E" w:rsidP="00333F36">
            <w:pPr>
              <w:spacing w:after="0" w:line="240" w:lineRule="auto"/>
              <w:jc w:val="right"/>
              <w:rPr>
                <w:rFonts w:ascii="Arial" w:eastAsia="Times New Roman" w:hAnsi="Arial" w:cs="Arial"/>
                <w:iCs/>
                <w:color w:val="000000"/>
                <w:sz w:val="18"/>
                <w:szCs w:val="18"/>
                <w:lang w:val="en-US" w:eastAsia="ru-RU"/>
              </w:rPr>
            </w:pPr>
            <w:r w:rsidRPr="001B412A">
              <w:rPr>
                <w:rFonts w:ascii="Arial" w:hAnsi="Arial" w:cs="Arial"/>
                <w:iCs/>
                <w:sz w:val="18"/>
                <w:szCs w:val="18"/>
                <w:lang w:val="en-US"/>
              </w:rPr>
              <w:t>42</w:t>
            </w:r>
            <w:r w:rsidR="00333F36" w:rsidRPr="001B412A">
              <w:rPr>
                <w:rFonts w:ascii="Arial" w:hAnsi="Arial" w:cs="Arial"/>
                <w:iCs/>
                <w:sz w:val="18"/>
                <w:szCs w:val="18"/>
              </w:rPr>
              <w:t>%</w:t>
            </w:r>
          </w:p>
        </w:tc>
        <w:tc>
          <w:tcPr>
            <w:tcW w:w="464" w:type="pct"/>
            <w:tcBorders>
              <w:top w:val="single" w:sz="4" w:space="0" w:color="auto"/>
              <w:bottom w:val="single" w:sz="12" w:space="0" w:color="auto"/>
            </w:tcBorders>
            <w:vAlign w:val="center"/>
          </w:tcPr>
          <w:p w14:paraId="077D74EB" w14:textId="3E8FCC27" w:rsidR="00333F36" w:rsidRPr="001B412A" w:rsidRDefault="00CE5A7E" w:rsidP="00333F36">
            <w:pPr>
              <w:spacing w:after="0" w:line="240" w:lineRule="auto"/>
              <w:jc w:val="right"/>
              <w:rPr>
                <w:rFonts w:ascii="Arial" w:eastAsia="Times New Roman" w:hAnsi="Arial" w:cs="Arial"/>
                <w:iCs/>
                <w:color w:val="000000"/>
                <w:sz w:val="18"/>
                <w:szCs w:val="18"/>
                <w:lang w:val="en-US" w:eastAsia="ru-RU"/>
              </w:rPr>
            </w:pPr>
            <w:r w:rsidRPr="001B412A">
              <w:rPr>
                <w:rFonts w:ascii="Arial" w:hAnsi="Arial" w:cs="Arial"/>
                <w:iCs/>
                <w:sz w:val="18"/>
                <w:szCs w:val="18"/>
                <w:lang w:val="en-US"/>
              </w:rPr>
              <w:t>6</w:t>
            </w:r>
            <w:r w:rsidR="00333F36" w:rsidRPr="001B412A">
              <w:rPr>
                <w:rFonts w:ascii="Arial" w:hAnsi="Arial" w:cs="Arial"/>
                <w:iCs/>
                <w:sz w:val="18"/>
                <w:szCs w:val="18"/>
              </w:rPr>
              <w:t xml:space="preserve"> </w:t>
            </w:r>
            <w:proofErr w:type="spellStart"/>
            <w:r w:rsidR="00333F36" w:rsidRPr="001B412A">
              <w:rPr>
                <w:rFonts w:ascii="Arial" w:hAnsi="Arial" w:cs="Arial"/>
                <w:iCs/>
                <w:sz w:val="18"/>
                <w:szCs w:val="18"/>
              </w:rPr>
              <w:t>pps</w:t>
            </w:r>
            <w:proofErr w:type="spellEnd"/>
          </w:p>
        </w:tc>
        <w:tc>
          <w:tcPr>
            <w:tcW w:w="464" w:type="pct"/>
            <w:tcBorders>
              <w:top w:val="single" w:sz="4" w:space="0" w:color="auto"/>
              <w:bottom w:val="single" w:sz="12" w:space="0" w:color="auto"/>
            </w:tcBorders>
            <w:shd w:val="clear" w:color="auto" w:fill="auto"/>
            <w:vAlign w:val="center"/>
          </w:tcPr>
          <w:p w14:paraId="72FB1DAE" w14:textId="1AEDA78A" w:rsidR="00333F36" w:rsidRPr="001B412A" w:rsidRDefault="00CE5A7E" w:rsidP="00333F36">
            <w:pPr>
              <w:spacing w:after="0" w:line="240" w:lineRule="auto"/>
              <w:jc w:val="right"/>
              <w:rPr>
                <w:rFonts w:ascii="Arial" w:eastAsia="Times New Roman" w:hAnsi="Arial" w:cs="Arial"/>
                <w:iCs/>
                <w:color w:val="000000"/>
                <w:sz w:val="18"/>
                <w:szCs w:val="18"/>
                <w:lang w:val="en-US" w:eastAsia="ru-RU"/>
              </w:rPr>
            </w:pPr>
            <w:r w:rsidRPr="001B412A">
              <w:rPr>
                <w:rFonts w:ascii="Arial" w:hAnsi="Arial" w:cs="Arial"/>
                <w:iCs/>
                <w:sz w:val="18"/>
                <w:szCs w:val="18"/>
                <w:lang w:val="en-US"/>
              </w:rPr>
              <w:t>45</w:t>
            </w:r>
            <w:r w:rsidR="00333F36" w:rsidRPr="001B412A">
              <w:rPr>
                <w:rFonts w:ascii="Arial" w:hAnsi="Arial" w:cs="Arial"/>
                <w:iCs/>
                <w:sz w:val="18"/>
                <w:szCs w:val="18"/>
              </w:rPr>
              <w:t>%</w:t>
            </w:r>
          </w:p>
        </w:tc>
        <w:tc>
          <w:tcPr>
            <w:tcW w:w="464" w:type="pct"/>
            <w:tcBorders>
              <w:top w:val="single" w:sz="4" w:space="0" w:color="auto"/>
              <w:bottom w:val="single" w:sz="12" w:space="0" w:color="auto"/>
            </w:tcBorders>
            <w:shd w:val="clear" w:color="auto" w:fill="auto"/>
            <w:vAlign w:val="center"/>
          </w:tcPr>
          <w:p w14:paraId="26AE92E6" w14:textId="6D93A543" w:rsidR="00333F36" w:rsidRPr="00300447" w:rsidRDefault="00CE5A7E" w:rsidP="00333F36">
            <w:pPr>
              <w:spacing w:after="0" w:line="240" w:lineRule="auto"/>
              <w:jc w:val="right"/>
              <w:rPr>
                <w:rFonts w:ascii="Arial" w:eastAsia="Times New Roman" w:hAnsi="Arial" w:cs="Arial"/>
                <w:iCs/>
                <w:color w:val="000000"/>
                <w:sz w:val="18"/>
                <w:szCs w:val="18"/>
                <w:lang w:val="en-US" w:eastAsia="ru-RU"/>
              </w:rPr>
            </w:pPr>
            <w:r>
              <w:rPr>
                <w:rFonts w:ascii="Arial" w:hAnsi="Arial" w:cs="Arial"/>
                <w:iCs/>
                <w:sz w:val="18"/>
                <w:szCs w:val="18"/>
                <w:lang w:val="en-US"/>
              </w:rPr>
              <w:t>42</w:t>
            </w:r>
            <w:r w:rsidR="00333F36" w:rsidRPr="00300447">
              <w:rPr>
                <w:rFonts w:ascii="Arial" w:hAnsi="Arial" w:cs="Arial"/>
                <w:iCs/>
                <w:sz w:val="18"/>
                <w:szCs w:val="18"/>
              </w:rPr>
              <w:t>%</w:t>
            </w:r>
          </w:p>
        </w:tc>
        <w:tc>
          <w:tcPr>
            <w:tcW w:w="463" w:type="pct"/>
            <w:tcBorders>
              <w:top w:val="single" w:sz="4" w:space="0" w:color="auto"/>
              <w:bottom w:val="single" w:sz="12" w:space="0" w:color="auto"/>
            </w:tcBorders>
            <w:shd w:val="clear" w:color="auto" w:fill="auto"/>
            <w:vAlign w:val="center"/>
          </w:tcPr>
          <w:p w14:paraId="1246509B" w14:textId="01DF7601" w:rsidR="00333F36" w:rsidRPr="00300447" w:rsidRDefault="00CE5A7E" w:rsidP="00333F36">
            <w:pPr>
              <w:spacing w:after="0" w:line="240" w:lineRule="auto"/>
              <w:jc w:val="right"/>
              <w:rPr>
                <w:rFonts w:ascii="Arial" w:eastAsia="Times New Roman" w:hAnsi="Arial" w:cs="Arial"/>
                <w:iCs/>
                <w:color w:val="000000"/>
                <w:sz w:val="18"/>
                <w:szCs w:val="18"/>
                <w:lang w:val="en-US" w:eastAsia="ru-RU"/>
              </w:rPr>
            </w:pPr>
            <w:r>
              <w:rPr>
                <w:rFonts w:ascii="Arial" w:hAnsi="Arial" w:cs="Arial"/>
                <w:iCs/>
                <w:sz w:val="18"/>
                <w:szCs w:val="18"/>
                <w:lang w:val="en-US"/>
              </w:rPr>
              <w:t>3</w:t>
            </w:r>
            <w:r w:rsidR="00333F36" w:rsidRPr="00300447">
              <w:rPr>
                <w:rFonts w:ascii="Arial" w:hAnsi="Arial" w:cs="Arial"/>
                <w:iCs/>
                <w:sz w:val="18"/>
                <w:szCs w:val="18"/>
              </w:rPr>
              <w:t xml:space="preserve"> </w:t>
            </w:r>
            <w:proofErr w:type="spellStart"/>
            <w:r w:rsidR="00333F36" w:rsidRPr="00300447">
              <w:rPr>
                <w:rFonts w:ascii="Arial" w:hAnsi="Arial" w:cs="Arial"/>
                <w:iCs/>
                <w:sz w:val="18"/>
                <w:szCs w:val="18"/>
              </w:rPr>
              <w:t>pps</w:t>
            </w:r>
            <w:proofErr w:type="spellEnd"/>
          </w:p>
        </w:tc>
      </w:tr>
      <w:tr w:rsidR="00D01686" w:rsidRPr="00300447" w14:paraId="66D578C9" w14:textId="77777777" w:rsidTr="00F56364">
        <w:trPr>
          <w:trHeight w:val="352"/>
        </w:trPr>
        <w:tc>
          <w:tcPr>
            <w:tcW w:w="1158" w:type="pct"/>
            <w:tcBorders>
              <w:top w:val="single" w:sz="12" w:space="0" w:color="auto"/>
            </w:tcBorders>
            <w:shd w:val="clear" w:color="auto" w:fill="auto"/>
            <w:noWrap/>
            <w:vAlign w:val="center"/>
          </w:tcPr>
          <w:p w14:paraId="424B4FEB" w14:textId="77777777" w:rsidR="00D01686" w:rsidRPr="00300447" w:rsidRDefault="00D01686" w:rsidP="00D01686">
            <w:pPr>
              <w:spacing w:after="0" w:line="240" w:lineRule="auto"/>
              <w:jc w:val="both"/>
              <w:rPr>
                <w:rFonts w:ascii="Arial" w:eastAsia="Times New Roman" w:hAnsi="Arial" w:cs="Arial"/>
                <w:b/>
                <w:color w:val="000000"/>
                <w:sz w:val="18"/>
                <w:szCs w:val="18"/>
                <w:lang w:val="en-US" w:eastAsia="ru-RU"/>
              </w:rPr>
            </w:pPr>
            <w:r w:rsidRPr="00300447">
              <w:rPr>
                <w:rFonts w:ascii="Arial" w:eastAsia="Times New Roman" w:hAnsi="Arial" w:cs="Arial"/>
                <w:b/>
                <w:color w:val="000000"/>
                <w:sz w:val="18"/>
                <w:szCs w:val="18"/>
                <w:lang w:val="en-US" w:eastAsia="ru-RU"/>
              </w:rPr>
              <w:t>Average price per 1 kg net of VAT, US$</w:t>
            </w:r>
          </w:p>
        </w:tc>
        <w:tc>
          <w:tcPr>
            <w:tcW w:w="131" w:type="pct"/>
            <w:vAlign w:val="center"/>
          </w:tcPr>
          <w:p w14:paraId="5E45CF5F" w14:textId="77777777" w:rsidR="00D01686" w:rsidRPr="00300447" w:rsidRDefault="00D01686" w:rsidP="00D01686">
            <w:pPr>
              <w:spacing w:after="0" w:line="240" w:lineRule="auto"/>
              <w:jc w:val="right"/>
              <w:rPr>
                <w:rFonts w:ascii="Arial" w:eastAsia="Times New Roman" w:hAnsi="Arial" w:cs="Arial"/>
                <w:b/>
                <w:color w:val="000000"/>
                <w:sz w:val="18"/>
                <w:szCs w:val="18"/>
                <w:lang w:val="en-US" w:eastAsia="ru-RU"/>
              </w:rPr>
            </w:pPr>
          </w:p>
        </w:tc>
        <w:tc>
          <w:tcPr>
            <w:tcW w:w="464" w:type="pct"/>
            <w:tcBorders>
              <w:top w:val="single" w:sz="12" w:space="0" w:color="auto"/>
            </w:tcBorders>
            <w:shd w:val="clear" w:color="auto" w:fill="auto"/>
            <w:noWrap/>
            <w:vAlign w:val="center"/>
          </w:tcPr>
          <w:p w14:paraId="37316A05" w14:textId="75DDA2A8" w:rsidR="00D01686" w:rsidRPr="001B412A" w:rsidRDefault="00DC2D7F" w:rsidP="00D01686">
            <w:pPr>
              <w:spacing w:after="0" w:line="240" w:lineRule="auto"/>
              <w:jc w:val="right"/>
              <w:rPr>
                <w:rFonts w:ascii="Arial" w:eastAsia="Times New Roman" w:hAnsi="Arial" w:cs="Arial"/>
                <w:b/>
                <w:color w:val="000000"/>
                <w:sz w:val="18"/>
                <w:szCs w:val="18"/>
                <w:lang w:val="en-US" w:eastAsia="ru-RU"/>
              </w:rPr>
            </w:pPr>
            <w:r w:rsidRPr="001B412A">
              <w:rPr>
                <w:rFonts w:ascii="Arial" w:eastAsia="Times New Roman" w:hAnsi="Arial" w:cs="Arial"/>
                <w:b/>
                <w:color w:val="000000"/>
                <w:sz w:val="18"/>
                <w:szCs w:val="18"/>
                <w:lang w:val="uk-UA" w:eastAsia="ru-RU"/>
              </w:rPr>
              <w:t>2.0</w:t>
            </w:r>
            <w:r w:rsidR="00575FDA" w:rsidRPr="001B412A">
              <w:rPr>
                <w:rFonts w:ascii="Arial" w:eastAsia="Times New Roman" w:hAnsi="Arial" w:cs="Arial"/>
                <w:b/>
                <w:color w:val="000000"/>
                <w:sz w:val="18"/>
                <w:szCs w:val="18"/>
                <w:lang w:val="en-US" w:eastAsia="ru-RU"/>
              </w:rPr>
              <w:t>3</w:t>
            </w:r>
          </w:p>
        </w:tc>
        <w:tc>
          <w:tcPr>
            <w:tcW w:w="464" w:type="pct"/>
            <w:tcBorders>
              <w:top w:val="single" w:sz="12" w:space="0" w:color="auto"/>
            </w:tcBorders>
            <w:shd w:val="clear" w:color="auto" w:fill="auto"/>
            <w:noWrap/>
            <w:vAlign w:val="center"/>
          </w:tcPr>
          <w:p w14:paraId="7DBD1AFA" w14:textId="021CA987" w:rsidR="00D01686" w:rsidRPr="001B412A" w:rsidRDefault="00D01686" w:rsidP="00D01686">
            <w:pPr>
              <w:spacing w:after="0" w:line="240" w:lineRule="auto"/>
              <w:jc w:val="right"/>
              <w:rPr>
                <w:rFonts w:ascii="Arial" w:eastAsia="Times New Roman" w:hAnsi="Arial" w:cs="Arial"/>
                <w:b/>
                <w:color w:val="000000"/>
                <w:sz w:val="18"/>
                <w:szCs w:val="18"/>
                <w:lang w:val="en-US" w:eastAsia="ru-RU"/>
              </w:rPr>
            </w:pPr>
            <w:r w:rsidRPr="001B412A">
              <w:rPr>
                <w:rFonts w:ascii="Arial" w:eastAsia="Times New Roman" w:hAnsi="Arial" w:cs="Arial"/>
                <w:b/>
                <w:color w:val="000000"/>
                <w:sz w:val="18"/>
                <w:szCs w:val="18"/>
                <w:lang w:val="en-US" w:eastAsia="ru-RU"/>
              </w:rPr>
              <w:t>1.67</w:t>
            </w:r>
          </w:p>
        </w:tc>
        <w:tc>
          <w:tcPr>
            <w:tcW w:w="464" w:type="pct"/>
            <w:tcBorders>
              <w:top w:val="single" w:sz="12" w:space="0" w:color="auto"/>
            </w:tcBorders>
            <w:shd w:val="clear" w:color="auto" w:fill="auto"/>
            <w:noWrap/>
            <w:vAlign w:val="center"/>
          </w:tcPr>
          <w:p w14:paraId="5AC0EEDE" w14:textId="4AFEB2BC" w:rsidR="00D01686" w:rsidRPr="001B412A" w:rsidRDefault="00DC2D7F" w:rsidP="00D01686">
            <w:pPr>
              <w:spacing w:after="0" w:line="240" w:lineRule="auto"/>
              <w:jc w:val="right"/>
              <w:rPr>
                <w:rFonts w:ascii="Arial" w:eastAsia="Times New Roman" w:hAnsi="Arial" w:cs="Arial"/>
                <w:b/>
                <w:color w:val="000000"/>
                <w:sz w:val="18"/>
                <w:szCs w:val="18"/>
                <w:lang w:val="en-US" w:eastAsia="ru-RU"/>
              </w:rPr>
            </w:pPr>
            <w:r w:rsidRPr="001B412A">
              <w:rPr>
                <w:rFonts w:ascii="Arial" w:eastAsia="Times New Roman" w:hAnsi="Arial" w:cs="Arial"/>
                <w:b/>
                <w:color w:val="000000"/>
                <w:sz w:val="18"/>
                <w:szCs w:val="18"/>
                <w:lang w:val="uk-UA" w:eastAsia="ru-RU"/>
              </w:rPr>
              <w:t>2</w:t>
            </w:r>
            <w:r w:rsidR="00575FDA" w:rsidRPr="001B412A">
              <w:rPr>
                <w:rFonts w:ascii="Arial" w:eastAsia="Times New Roman" w:hAnsi="Arial" w:cs="Arial"/>
                <w:b/>
                <w:color w:val="000000"/>
                <w:sz w:val="18"/>
                <w:szCs w:val="18"/>
                <w:lang w:val="en-US" w:eastAsia="ru-RU"/>
              </w:rPr>
              <w:t>2</w:t>
            </w:r>
            <w:r w:rsidR="00D01686" w:rsidRPr="001B412A">
              <w:rPr>
                <w:rFonts w:ascii="Arial" w:eastAsia="Times New Roman" w:hAnsi="Arial" w:cs="Arial"/>
                <w:b/>
                <w:color w:val="000000"/>
                <w:sz w:val="18"/>
                <w:szCs w:val="18"/>
                <w:lang w:val="en-US" w:eastAsia="ru-RU"/>
              </w:rPr>
              <w:t>%</w:t>
            </w:r>
          </w:p>
        </w:tc>
        <w:tc>
          <w:tcPr>
            <w:tcW w:w="464" w:type="pct"/>
            <w:tcBorders>
              <w:top w:val="single" w:sz="12" w:space="0" w:color="auto"/>
            </w:tcBorders>
            <w:vAlign w:val="center"/>
          </w:tcPr>
          <w:p w14:paraId="369892D7" w14:textId="107F695F" w:rsidR="00D01686" w:rsidRPr="001B412A" w:rsidRDefault="00D01686" w:rsidP="00D01686">
            <w:pPr>
              <w:spacing w:after="0" w:line="240" w:lineRule="auto"/>
              <w:jc w:val="right"/>
              <w:rPr>
                <w:rFonts w:ascii="Arial" w:hAnsi="Arial" w:cs="Arial"/>
                <w:b/>
                <w:sz w:val="18"/>
                <w:szCs w:val="18"/>
                <w:lang w:val="en-US"/>
              </w:rPr>
            </w:pPr>
            <w:r w:rsidRPr="001B412A">
              <w:rPr>
                <w:rFonts w:ascii="Arial" w:hAnsi="Arial" w:cs="Arial"/>
                <w:b/>
                <w:sz w:val="18"/>
                <w:szCs w:val="18"/>
                <w:lang w:val="en-US"/>
              </w:rPr>
              <w:t>1.84</w:t>
            </w:r>
          </w:p>
        </w:tc>
        <w:tc>
          <w:tcPr>
            <w:tcW w:w="464" w:type="pct"/>
            <w:tcBorders>
              <w:top w:val="single" w:sz="12" w:space="0" w:color="auto"/>
            </w:tcBorders>
            <w:vAlign w:val="center"/>
          </w:tcPr>
          <w:p w14:paraId="164613EE" w14:textId="60991957" w:rsidR="00D01686" w:rsidRPr="001B412A" w:rsidRDefault="00DC2D7F" w:rsidP="00D01686">
            <w:pPr>
              <w:spacing w:after="0" w:line="240" w:lineRule="auto"/>
              <w:jc w:val="right"/>
              <w:rPr>
                <w:rFonts w:ascii="Arial" w:hAnsi="Arial" w:cs="Arial"/>
                <w:b/>
                <w:sz w:val="18"/>
                <w:szCs w:val="18"/>
                <w:lang w:val="en-US"/>
              </w:rPr>
            </w:pPr>
            <w:r w:rsidRPr="001B412A">
              <w:rPr>
                <w:rFonts w:ascii="Arial" w:hAnsi="Arial" w:cs="Arial"/>
                <w:b/>
                <w:sz w:val="18"/>
                <w:szCs w:val="18"/>
                <w:lang w:val="uk-UA"/>
              </w:rPr>
              <w:t>1</w:t>
            </w:r>
            <w:r w:rsidR="007931BB" w:rsidRPr="001B412A">
              <w:rPr>
                <w:rFonts w:ascii="Arial" w:hAnsi="Arial" w:cs="Arial"/>
                <w:b/>
                <w:sz w:val="18"/>
                <w:szCs w:val="18"/>
                <w:lang w:val="uk-UA"/>
              </w:rPr>
              <w:t>1</w:t>
            </w:r>
            <w:r w:rsidR="00D01686" w:rsidRPr="001B412A">
              <w:rPr>
                <w:rFonts w:ascii="Arial" w:hAnsi="Arial" w:cs="Arial"/>
                <w:b/>
                <w:sz w:val="18"/>
                <w:szCs w:val="18"/>
                <w:lang w:val="en-US"/>
              </w:rPr>
              <w:t>%</w:t>
            </w:r>
          </w:p>
        </w:tc>
        <w:tc>
          <w:tcPr>
            <w:tcW w:w="464" w:type="pct"/>
            <w:tcBorders>
              <w:top w:val="single" w:sz="12" w:space="0" w:color="auto"/>
            </w:tcBorders>
            <w:shd w:val="clear" w:color="auto" w:fill="auto"/>
            <w:vAlign w:val="center"/>
          </w:tcPr>
          <w:p w14:paraId="1977526D" w14:textId="26AF3EC4" w:rsidR="00D01686" w:rsidRPr="001B412A" w:rsidRDefault="00DC2D7F" w:rsidP="00D01686">
            <w:pPr>
              <w:spacing w:after="0" w:line="240" w:lineRule="auto"/>
              <w:jc w:val="right"/>
              <w:rPr>
                <w:rFonts w:ascii="Arial" w:eastAsia="Times New Roman" w:hAnsi="Arial" w:cs="Arial"/>
                <w:b/>
                <w:color w:val="000000"/>
                <w:sz w:val="18"/>
                <w:szCs w:val="18"/>
                <w:lang w:val="en-US" w:eastAsia="ru-RU"/>
              </w:rPr>
            </w:pPr>
            <w:r w:rsidRPr="001B412A">
              <w:rPr>
                <w:rFonts w:ascii="Arial" w:eastAsia="Times New Roman" w:hAnsi="Arial" w:cs="Arial"/>
                <w:b/>
                <w:color w:val="000000"/>
                <w:sz w:val="18"/>
                <w:szCs w:val="18"/>
                <w:lang w:val="uk-UA" w:eastAsia="ru-RU"/>
              </w:rPr>
              <w:t>1.9</w:t>
            </w:r>
            <w:r w:rsidR="007931BB" w:rsidRPr="001B412A">
              <w:rPr>
                <w:rFonts w:ascii="Arial" w:eastAsia="Times New Roman" w:hAnsi="Arial" w:cs="Arial"/>
                <w:b/>
                <w:color w:val="000000"/>
                <w:sz w:val="18"/>
                <w:szCs w:val="18"/>
                <w:lang w:val="en-US" w:eastAsia="ru-RU"/>
              </w:rPr>
              <w:t>3</w:t>
            </w:r>
          </w:p>
        </w:tc>
        <w:tc>
          <w:tcPr>
            <w:tcW w:w="464" w:type="pct"/>
            <w:tcBorders>
              <w:top w:val="single" w:sz="12" w:space="0" w:color="auto"/>
            </w:tcBorders>
            <w:shd w:val="clear" w:color="auto" w:fill="auto"/>
            <w:vAlign w:val="center"/>
          </w:tcPr>
          <w:p w14:paraId="11A1E595" w14:textId="2B230228" w:rsidR="00D01686" w:rsidRPr="00D01686" w:rsidRDefault="00D01686" w:rsidP="00D01686">
            <w:pPr>
              <w:spacing w:after="0" w:line="240" w:lineRule="auto"/>
              <w:jc w:val="right"/>
              <w:rPr>
                <w:rFonts w:ascii="Arial" w:eastAsia="Times New Roman" w:hAnsi="Arial" w:cs="Arial"/>
                <w:b/>
                <w:color w:val="000000"/>
                <w:sz w:val="18"/>
                <w:szCs w:val="18"/>
                <w:lang w:val="en-US" w:eastAsia="ru-RU"/>
              </w:rPr>
            </w:pPr>
            <w:r w:rsidRPr="00D01686">
              <w:rPr>
                <w:rFonts w:ascii="Arial" w:eastAsia="Times New Roman" w:hAnsi="Arial" w:cs="Arial"/>
                <w:b/>
                <w:color w:val="000000"/>
                <w:sz w:val="18"/>
                <w:szCs w:val="18"/>
                <w:lang w:val="en-US" w:eastAsia="ru-RU"/>
              </w:rPr>
              <w:t>1.56</w:t>
            </w:r>
          </w:p>
        </w:tc>
        <w:tc>
          <w:tcPr>
            <w:tcW w:w="463" w:type="pct"/>
            <w:tcBorders>
              <w:top w:val="single" w:sz="12" w:space="0" w:color="auto"/>
            </w:tcBorders>
            <w:shd w:val="clear" w:color="auto" w:fill="auto"/>
            <w:vAlign w:val="center"/>
          </w:tcPr>
          <w:p w14:paraId="0AF151A2" w14:textId="5284D7B7" w:rsidR="00D01686" w:rsidRPr="00D01686" w:rsidRDefault="00D01686" w:rsidP="00D01686">
            <w:pPr>
              <w:spacing w:after="0" w:line="240" w:lineRule="auto"/>
              <w:jc w:val="right"/>
              <w:rPr>
                <w:rFonts w:ascii="Arial" w:eastAsia="Times New Roman" w:hAnsi="Arial" w:cs="Arial"/>
                <w:b/>
                <w:color w:val="000000"/>
                <w:sz w:val="18"/>
                <w:szCs w:val="18"/>
                <w:lang w:val="en-US" w:eastAsia="ru-RU"/>
              </w:rPr>
            </w:pPr>
            <w:r w:rsidRPr="00D01686">
              <w:rPr>
                <w:rFonts w:ascii="Arial" w:eastAsia="Times New Roman" w:hAnsi="Arial" w:cs="Arial"/>
                <w:b/>
                <w:color w:val="000000"/>
                <w:sz w:val="18"/>
                <w:szCs w:val="18"/>
                <w:lang w:val="ru-UA" w:eastAsia="ru-RU"/>
              </w:rPr>
              <w:t>2</w:t>
            </w:r>
            <w:r w:rsidR="007931BB">
              <w:rPr>
                <w:rFonts w:ascii="Arial" w:eastAsia="Times New Roman" w:hAnsi="Arial" w:cs="Arial"/>
                <w:b/>
                <w:color w:val="000000"/>
                <w:sz w:val="18"/>
                <w:szCs w:val="18"/>
                <w:lang w:val="ru-UA" w:eastAsia="ru-RU"/>
              </w:rPr>
              <w:t>4</w:t>
            </w:r>
            <w:r w:rsidRPr="00D01686">
              <w:rPr>
                <w:rFonts w:ascii="Arial" w:eastAsia="Times New Roman" w:hAnsi="Arial" w:cs="Arial"/>
                <w:b/>
                <w:color w:val="000000"/>
                <w:sz w:val="18"/>
                <w:szCs w:val="18"/>
                <w:lang w:val="en-US" w:eastAsia="ru-RU"/>
              </w:rPr>
              <w:t>%</w:t>
            </w:r>
          </w:p>
        </w:tc>
      </w:tr>
      <w:tr w:rsidR="00D01686" w:rsidRPr="00300447" w14:paraId="7B004451" w14:textId="77777777" w:rsidTr="00F56364">
        <w:trPr>
          <w:trHeight w:hRule="exact" w:val="67"/>
        </w:trPr>
        <w:tc>
          <w:tcPr>
            <w:tcW w:w="1158" w:type="pct"/>
            <w:tcBorders>
              <w:top w:val="single" w:sz="2" w:space="0" w:color="auto"/>
            </w:tcBorders>
            <w:shd w:val="clear" w:color="auto" w:fill="auto"/>
            <w:noWrap/>
            <w:vAlign w:val="center"/>
          </w:tcPr>
          <w:p w14:paraId="2687950E" w14:textId="77777777" w:rsidR="00D01686" w:rsidRPr="00300447" w:rsidRDefault="00D01686" w:rsidP="00D01686">
            <w:pPr>
              <w:spacing w:after="0" w:line="240" w:lineRule="auto"/>
              <w:jc w:val="both"/>
              <w:rPr>
                <w:rFonts w:ascii="Arial" w:eastAsia="Times New Roman" w:hAnsi="Arial" w:cs="Arial"/>
                <w:b/>
                <w:bCs/>
                <w:color w:val="000000"/>
                <w:sz w:val="18"/>
                <w:szCs w:val="18"/>
                <w:lang w:val="en-US" w:eastAsia="ru-RU"/>
              </w:rPr>
            </w:pPr>
          </w:p>
        </w:tc>
        <w:tc>
          <w:tcPr>
            <w:tcW w:w="131" w:type="pct"/>
            <w:vAlign w:val="center"/>
          </w:tcPr>
          <w:p w14:paraId="3A6E125A" w14:textId="77777777" w:rsidR="00D01686" w:rsidRPr="00300447" w:rsidRDefault="00D01686" w:rsidP="00D01686">
            <w:pPr>
              <w:spacing w:after="0" w:line="240" w:lineRule="auto"/>
              <w:jc w:val="both"/>
              <w:rPr>
                <w:rFonts w:ascii="Arial" w:eastAsia="Times New Roman" w:hAnsi="Arial" w:cs="Arial"/>
                <w:color w:val="000000"/>
                <w:sz w:val="18"/>
                <w:szCs w:val="18"/>
                <w:lang w:val="en-US" w:eastAsia="ru-RU"/>
              </w:rPr>
            </w:pPr>
          </w:p>
        </w:tc>
        <w:tc>
          <w:tcPr>
            <w:tcW w:w="464" w:type="pct"/>
            <w:tcBorders>
              <w:top w:val="single" w:sz="2" w:space="0" w:color="auto"/>
            </w:tcBorders>
            <w:shd w:val="clear" w:color="auto" w:fill="auto"/>
            <w:noWrap/>
            <w:vAlign w:val="center"/>
          </w:tcPr>
          <w:p w14:paraId="2BC2DF7D" w14:textId="77777777"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2" w:space="0" w:color="auto"/>
            </w:tcBorders>
            <w:shd w:val="clear" w:color="auto" w:fill="auto"/>
            <w:noWrap/>
            <w:vAlign w:val="center"/>
          </w:tcPr>
          <w:p w14:paraId="6E047B40" w14:textId="77777777"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2" w:space="0" w:color="auto"/>
            </w:tcBorders>
            <w:shd w:val="clear" w:color="auto" w:fill="auto"/>
            <w:noWrap/>
            <w:vAlign w:val="center"/>
          </w:tcPr>
          <w:p w14:paraId="3CF932F9" w14:textId="77777777"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2" w:space="0" w:color="auto"/>
            </w:tcBorders>
            <w:vAlign w:val="center"/>
          </w:tcPr>
          <w:p w14:paraId="3F254383" w14:textId="77777777"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2" w:space="0" w:color="auto"/>
            </w:tcBorders>
            <w:vAlign w:val="center"/>
          </w:tcPr>
          <w:p w14:paraId="139BD641" w14:textId="77777777"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2" w:space="0" w:color="auto"/>
            </w:tcBorders>
            <w:shd w:val="clear" w:color="auto" w:fill="auto"/>
            <w:vAlign w:val="center"/>
          </w:tcPr>
          <w:p w14:paraId="5C773109" w14:textId="77777777"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2" w:space="0" w:color="auto"/>
            </w:tcBorders>
            <w:shd w:val="clear" w:color="auto" w:fill="auto"/>
            <w:vAlign w:val="center"/>
          </w:tcPr>
          <w:p w14:paraId="63A113AA" w14:textId="77777777"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p>
        </w:tc>
        <w:tc>
          <w:tcPr>
            <w:tcW w:w="463" w:type="pct"/>
            <w:tcBorders>
              <w:top w:val="single" w:sz="2" w:space="0" w:color="auto"/>
            </w:tcBorders>
            <w:shd w:val="clear" w:color="auto" w:fill="auto"/>
            <w:vAlign w:val="center"/>
          </w:tcPr>
          <w:p w14:paraId="357C4217" w14:textId="77777777"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p>
        </w:tc>
      </w:tr>
      <w:tr w:rsidR="00D01686" w:rsidRPr="00300447" w14:paraId="2520AFF0" w14:textId="77777777" w:rsidTr="00F56364">
        <w:trPr>
          <w:trHeight w:val="352"/>
        </w:trPr>
        <w:tc>
          <w:tcPr>
            <w:tcW w:w="1158" w:type="pct"/>
            <w:shd w:val="clear" w:color="auto" w:fill="auto"/>
            <w:noWrap/>
            <w:vAlign w:val="center"/>
            <w:hideMark/>
          </w:tcPr>
          <w:p w14:paraId="5449E111" w14:textId="77777777" w:rsidR="00D01686" w:rsidRPr="00300447" w:rsidRDefault="00D01686" w:rsidP="00D01686">
            <w:pPr>
              <w:spacing w:after="0" w:line="240" w:lineRule="auto"/>
              <w:jc w:val="both"/>
              <w:rPr>
                <w:rFonts w:ascii="Arial" w:eastAsia="Times New Roman" w:hAnsi="Arial" w:cs="Arial"/>
                <w:color w:val="000000"/>
                <w:sz w:val="18"/>
                <w:szCs w:val="18"/>
                <w:lang w:val="en-US" w:eastAsia="ru-RU"/>
              </w:rPr>
            </w:pPr>
            <w:r w:rsidRPr="00300447">
              <w:rPr>
                <w:rFonts w:ascii="Arial" w:eastAsia="Times New Roman" w:hAnsi="Arial" w:cs="Arial"/>
                <w:color w:val="000000"/>
                <w:sz w:val="18"/>
                <w:szCs w:val="18"/>
                <w:lang w:val="en-US" w:eastAsia="ru-RU"/>
              </w:rPr>
              <w:t>Average price per 1 kg net of VAT, UAH (Ukraine)</w:t>
            </w:r>
          </w:p>
        </w:tc>
        <w:tc>
          <w:tcPr>
            <w:tcW w:w="131" w:type="pct"/>
            <w:vAlign w:val="center"/>
          </w:tcPr>
          <w:p w14:paraId="314C3CF1" w14:textId="77777777" w:rsidR="00D01686" w:rsidRPr="00300447" w:rsidRDefault="00D01686" w:rsidP="00D01686">
            <w:pPr>
              <w:spacing w:after="0" w:line="240" w:lineRule="auto"/>
              <w:jc w:val="both"/>
              <w:rPr>
                <w:rFonts w:ascii="Arial" w:eastAsia="Times New Roman" w:hAnsi="Arial" w:cs="Arial"/>
                <w:color w:val="000000"/>
                <w:sz w:val="18"/>
                <w:szCs w:val="18"/>
                <w:lang w:val="en-US" w:eastAsia="ru-RU"/>
              </w:rPr>
            </w:pPr>
          </w:p>
        </w:tc>
        <w:tc>
          <w:tcPr>
            <w:tcW w:w="464" w:type="pct"/>
            <w:shd w:val="clear" w:color="auto" w:fill="auto"/>
            <w:noWrap/>
            <w:vAlign w:val="center"/>
          </w:tcPr>
          <w:p w14:paraId="54CAB561" w14:textId="60A1EF58"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41.77</w:t>
            </w:r>
          </w:p>
        </w:tc>
        <w:tc>
          <w:tcPr>
            <w:tcW w:w="464" w:type="pct"/>
            <w:shd w:val="clear" w:color="auto" w:fill="auto"/>
            <w:noWrap/>
            <w:vAlign w:val="center"/>
          </w:tcPr>
          <w:p w14:paraId="7F9D1D2E" w14:textId="11380439"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44.88</w:t>
            </w:r>
          </w:p>
        </w:tc>
        <w:tc>
          <w:tcPr>
            <w:tcW w:w="464" w:type="pct"/>
            <w:shd w:val="clear" w:color="auto" w:fill="auto"/>
            <w:noWrap/>
            <w:vAlign w:val="center"/>
          </w:tcPr>
          <w:p w14:paraId="497570D6" w14:textId="77F983B2"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-7%</w:t>
            </w:r>
          </w:p>
        </w:tc>
        <w:tc>
          <w:tcPr>
            <w:tcW w:w="464" w:type="pct"/>
            <w:vAlign w:val="center"/>
          </w:tcPr>
          <w:p w14:paraId="397696C9" w14:textId="01095579" w:rsidR="00D01686" w:rsidRPr="001B412A" w:rsidRDefault="00D01686" w:rsidP="00D01686">
            <w:pPr>
              <w:spacing w:after="0" w:line="240" w:lineRule="auto"/>
              <w:jc w:val="right"/>
              <w:rPr>
                <w:rFonts w:ascii="Arial" w:hAnsi="Arial" w:cs="Arial"/>
                <w:sz w:val="18"/>
                <w:szCs w:val="18"/>
                <w:lang w:val="en-US"/>
              </w:rPr>
            </w:pPr>
            <w:r w:rsidRPr="001B412A">
              <w:rPr>
                <w:rFonts w:ascii="Arial" w:hAnsi="Arial" w:cs="Arial"/>
                <w:sz w:val="18"/>
                <w:szCs w:val="18"/>
                <w:lang w:val="en-US"/>
              </w:rPr>
              <w:t>45.62</w:t>
            </w:r>
          </w:p>
        </w:tc>
        <w:tc>
          <w:tcPr>
            <w:tcW w:w="464" w:type="pct"/>
            <w:vAlign w:val="center"/>
          </w:tcPr>
          <w:p w14:paraId="15837D15" w14:textId="269C422A" w:rsidR="00D01686" w:rsidRPr="001B412A" w:rsidRDefault="00D01686" w:rsidP="00D01686">
            <w:pPr>
              <w:spacing w:after="0" w:line="240" w:lineRule="auto"/>
              <w:jc w:val="right"/>
              <w:rPr>
                <w:rFonts w:ascii="Arial" w:hAnsi="Arial" w:cs="Arial"/>
                <w:sz w:val="18"/>
                <w:szCs w:val="18"/>
                <w:lang w:val="en-US"/>
              </w:rPr>
            </w:pPr>
            <w:r w:rsidRPr="001B412A">
              <w:rPr>
                <w:rFonts w:ascii="Arial" w:hAnsi="Arial" w:cs="Arial"/>
                <w:sz w:val="18"/>
                <w:szCs w:val="18"/>
                <w:lang w:val="en-US"/>
              </w:rPr>
              <w:t>-8%</w:t>
            </w:r>
          </w:p>
        </w:tc>
        <w:tc>
          <w:tcPr>
            <w:tcW w:w="464" w:type="pct"/>
            <w:shd w:val="clear" w:color="auto" w:fill="auto"/>
            <w:vAlign w:val="center"/>
          </w:tcPr>
          <w:p w14:paraId="70623CDB" w14:textId="324926A3"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43.86</w:t>
            </w:r>
          </w:p>
        </w:tc>
        <w:tc>
          <w:tcPr>
            <w:tcW w:w="464" w:type="pct"/>
            <w:shd w:val="clear" w:color="auto" w:fill="auto"/>
            <w:vAlign w:val="center"/>
          </w:tcPr>
          <w:p w14:paraId="03C5A08A" w14:textId="54BDA17C"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43.06</w:t>
            </w:r>
          </w:p>
        </w:tc>
        <w:tc>
          <w:tcPr>
            <w:tcW w:w="463" w:type="pct"/>
            <w:shd w:val="clear" w:color="auto" w:fill="auto"/>
            <w:vAlign w:val="center"/>
          </w:tcPr>
          <w:p w14:paraId="4FAC6EBA" w14:textId="47E1F2CF"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1%</w:t>
            </w:r>
          </w:p>
        </w:tc>
      </w:tr>
      <w:tr w:rsidR="00D01686" w:rsidRPr="00300447" w14:paraId="165361C0" w14:textId="77777777" w:rsidTr="00F56364">
        <w:trPr>
          <w:trHeight w:val="352"/>
        </w:trPr>
        <w:tc>
          <w:tcPr>
            <w:tcW w:w="1158" w:type="pct"/>
            <w:shd w:val="clear" w:color="auto" w:fill="auto"/>
            <w:noWrap/>
            <w:vAlign w:val="center"/>
          </w:tcPr>
          <w:p w14:paraId="720A3FE9" w14:textId="77777777" w:rsidR="00D01686" w:rsidRPr="00300447" w:rsidRDefault="00D01686" w:rsidP="00D01686">
            <w:pPr>
              <w:spacing w:after="0" w:line="240" w:lineRule="auto"/>
              <w:jc w:val="both"/>
              <w:rPr>
                <w:rFonts w:ascii="Arial" w:eastAsia="Times New Roman" w:hAnsi="Arial" w:cs="Arial"/>
                <w:color w:val="000000"/>
                <w:sz w:val="18"/>
                <w:szCs w:val="18"/>
                <w:lang w:val="en-US" w:eastAsia="ru-RU"/>
              </w:rPr>
            </w:pPr>
            <w:r w:rsidRPr="00300447">
              <w:rPr>
                <w:rFonts w:ascii="Arial" w:eastAsia="Times New Roman" w:hAnsi="Arial" w:cs="Arial"/>
                <w:color w:val="000000"/>
                <w:sz w:val="18"/>
                <w:szCs w:val="18"/>
                <w:lang w:val="en-US" w:eastAsia="ru-RU"/>
              </w:rPr>
              <w:t>Average price per 1 kg net of VAT, US$ (Ukraine)</w:t>
            </w:r>
          </w:p>
        </w:tc>
        <w:tc>
          <w:tcPr>
            <w:tcW w:w="131" w:type="pct"/>
            <w:vAlign w:val="center"/>
          </w:tcPr>
          <w:p w14:paraId="0E42B08E" w14:textId="77777777" w:rsidR="00D01686" w:rsidRPr="00300447" w:rsidRDefault="00D01686" w:rsidP="00D01686">
            <w:pPr>
              <w:spacing w:after="0" w:line="240" w:lineRule="auto"/>
              <w:jc w:val="both"/>
              <w:rPr>
                <w:rFonts w:ascii="Arial" w:eastAsia="Times New Roman" w:hAnsi="Arial" w:cs="Arial"/>
                <w:color w:val="000000"/>
                <w:sz w:val="18"/>
                <w:szCs w:val="18"/>
                <w:lang w:val="en-US" w:eastAsia="ru-RU"/>
              </w:rPr>
            </w:pPr>
          </w:p>
        </w:tc>
        <w:tc>
          <w:tcPr>
            <w:tcW w:w="464" w:type="pct"/>
            <w:shd w:val="clear" w:color="auto" w:fill="auto"/>
            <w:noWrap/>
            <w:vAlign w:val="center"/>
          </w:tcPr>
          <w:p w14:paraId="2F7BE212" w14:textId="4B79D2AF"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1.43</w:t>
            </w:r>
          </w:p>
        </w:tc>
        <w:tc>
          <w:tcPr>
            <w:tcW w:w="464" w:type="pct"/>
            <w:shd w:val="clear" w:color="auto" w:fill="auto"/>
            <w:noWrap/>
            <w:vAlign w:val="center"/>
          </w:tcPr>
          <w:p w14:paraId="3E9CA601" w14:textId="25B3BE7A"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1.63</w:t>
            </w:r>
          </w:p>
        </w:tc>
        <w:tc>
          <w:tcPr>
            <w:tcW w:w="464" w:type="pct"/>
            <w:shd w:val="clear" w:color="auto" w:fill="auto"/>
            <w:noWrap/>
            <w:vAlign w:val="center"/>
          </w:tcPr>
          <w:p w14:paraId="1A99498F" w14:textId="1E70BCA5"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-12%</w:t>
            </w:r>
          </w:p>
        </w:tc>
        <w:tc>
          <w:tcPr>
            <w:tcW w:w="464" w:type="pct"/>
            <w:vAlign w:val="center"/>
          </w:tcPr>
          <w:p w14:paraId="05A7BA96" w14:textId="6E636AD0" w:rsidR="00D01686" w:rsidRPr="001B412A" w:rsidRDefault="00D01686" w:rsidP="00D01686">
            <w:pPr>
              <w:spacing w:after="0" w:line="240" w:lineRule="auto"/>
              <w:jc w:val="right"/>
              <w:rPr>
                <w:rFonts w:ascii="Arial" w:hAnsi="Arial" w:cs="Arial"/>
                <w:sz w:val="18"/>
                <w:szCs w:val="18"/>
                <w:lang w:val="en-US"/>
              </w:rPr>
            </w:pPr>
            <w:r w:rsidRPr="001B412A">
              <w:rPr>
                <w:rFonts w:ascii="Arial" w:hAnsi="Arial" w:cs="Arial"/>
                <w:sz w:val="18"/>
                <w:szCs w:val="18"/>
                <w:lang w:val="en-US"/>
              </w:rPr>
              <w:t>1.60</w:t>
            </w:r>
          </w:p>
        </w:tc>
        <w:tc>
          <w:tcPr>
            <w:tcW w:w="464" w:type="pct"/>
            <w:vAlign w:val="center"/>
          </w:tcPr>
          <w:p w14:paraId="0EADB27C" w14:textId="2CEB6C5A" w:rsidR="00D01686" w:rsidRPr="001B412A" w:rsidRDefault="00D01686" w:rsidP="00D01686">
            <w:pPr>
              <w:spacing w:after="0" w:line="240" w:lineRule="auto"/>
              <w:jc w:val="right"/>
              <w:rPr>
                <w:rFonts w:ascii="Arial" w:hAnsi="Arial" w:cs="Arial"/>
                <w:sz w:val="18"/>
                <w:szCs w:val="18"/>
                <w:lang w:val="en-US"/>
              </w:rPr>
            </w:pPr>
            <w:r w:rsidRPr="001B412A">
              <w:rPr>
                <w:rFonts w:ascii="Arial" w:hAnsi="Arial" w:cs="Arial"/>
                <w:sz w:val="18"/>
                <w:szCs w:val="18"/>
                <w:lang w:val="en-US"/>
              </w:rPr>
              <w:t>-11%</w:t>
            </w:r>
          </w:p>
        </w:tc>
        <w:tc>
          <w:tcPr>
            <w:tcW w:w="464" w:type="pct"/>
            <w:shd w:val="clear" w:color="auto" w:fill="auto"/>
            <w:vAlign w:val="center"/>
          </w:tcPr>
          <w:p w14:paraId="38A4F60C" w14:textId="0294B442"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1.51</w:t>
            </w:r>
          </w:p>
        </w:tc>
        <w:tc>
          <w:tcPr>
            <w:tcW w:w="464" w:type="pct"/>
            <w:shd w:val="clear" w:color="auto" w:fill="auto"/>
            <w:vAlign w:val="center"/>
          </w:tcPr>
          <w:p w14:paraId="2B7FEA46" w14:textId="681D65EB"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1.55</w:t>
            </w:r>
          </w:p>
        </w:tc>
        <w:tc>
          <w:tcPr>
            <w:tcW w:w="463" w:type="pct"/>
            <w:shd w:val="clear" w:color="auto" w:fill="auto"/>
            <w:vAlign w:val="center"/>
          </w:tcPr>
          <w:p w14:paraId="654B56F2" w14:textId="6CAAB84B"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-3%</w:t>
            </w:r>
          </w:p>
        </w:tc>
      </w:tr>
      <w:tr w:rsidR="00D01686" w:rsidRPr="00300447" w14:paraId="297ABF10" w14:textId="77777777" w:rsidTr="00F56364">
        <w:trPr>
          <w:trHeight w:val="352"/>
        </w:trPr>
        <w:tc>
          <w:tcPr>
            <w:tcW w:w="1158" w:type="pct"/>
            <w:tcBorders>
              <w:bottom w:val="single" w:sz="12" w:space="0" w:color="auto"/>
            </w:tcBorders>
            <w:shd w:val="clear" w:color="auto" w:fill="auto"/>
            <w:noWrap/>
            <w:vAlign w:val="center"/>
          </w:tcPr>
          <w:p w14:paraId="17D9C271" w14:textId="77777777" w:rsidR="00D01686" w:rsidRPr="00300447" w:rsidRDefault="00D01686" w:rsidP="00D01686">
            <w:pPr>
              <w:spacing w:after="0" w:line="240" w:lineRule="auto"/>
              <w:jc w:val="both"/>
              <w:rPr>
                <w:rFonts w:ascii="Arial" w:eastAsia="Times New Roman" w:hAnsi="Arial" w:cs="Arial"/>
                <w:color w:val="000000"/>
                <w:sz w:val="18"/>
                <w:szCs w:val="18"/>
                <w:lang w:val="en-US" w:eastAsia="ru-RU"/>
              </w:rPr>
            </w:pPr>
            <w:r w:rsidRPr="00300447">
              <w:rPr>
                <w:rFonts w:ascii="Arial" w:eastAsia="Times New Roman" w:hAnsi="Arial" w:cs="Arial"/>
                <w:color w:val="000000"/>
                <w:sz w:val="18"/>
                <w:szCs w:val="18"/>
                <w:lang w:val="en-US" w:eastAsia="ru-RU"/>
              </w:rPr>
              <w:t>Average price per 1 kg net of VAT, US$ (export)</w:t>
            </w:r>
          </w:p>
        </w:tc>
        <w:tc>
          <w:tcPr>
            <w:tcW w:w="131" w:type="pct"/>
            <w:vAlign w:val="center"/>
          </w:tcPr>
          <w:p w14:paraId="18052BAA" w14:textId="77777777" w:rsidR="00D01686" w:rsidRPr="00300447" w:rsidRDefault="00D01686" w:rsidP="00D01686">
            <w:pPr>
              <w:spacing w:after="0" w:line="240" w:lineRule="auto"/>
              <w:jc w:val="both"/>
              <w:rPr>
                <w:rFonts w:ascii="Arial" w:eastAsia="Times New Roman" w:hAnsi="Arial" w:cs="Arial"/>
                <w:color w:val="000000"/>
                <w:sz w:val="18"/>
                <w:szCs w:val="18"/>
                <w:lang w:val="en-US" w:eastAsia="ru-RU"/>
              </w:rPr>
            </w:pPr>
          </w:p>
        </w:tc>
        <w:tc>
          <w:tcPr>
            <w:tcW w:w="464" w:type="pct"/>
            <w:tcBorders>
              <w:bottom w:val="single" w:sz="12" w:space="0" w:color="auto"/>
            </w:tcBorders>
            <w:shd w:val="clear" w:color="auto" w:fill="auto"/>
            <w:noWrap/>
            <w:vAlign w:val="center"/>
          </w:tcPr>
          <w:p w14:paraId="1968DE98" w14:textId="2D6F6732" w:rsidR="00D01686" w:rsidRPr="001B412A" w:rsidRDefault="00D01686" w:rsidP="00D01686">
            <w:pPr>
              <w:spacing w:after="0" w:line="240" w:lineRule="auto"/>
              <w:jc w:val="right"/>
              <w:rPr>
                <w:rFonts w:ascii="Arial" w:eastAsia="Times New Roman" w:hAnsi="Arial" w:cs="Arial"/>
                <w:color w:val="000000"/>
                <w:sz w:val="18"/>
                <w:szCs w:val="18"/>
                <w:lang w:val="uk-UA" w:eastAsia="ru-RU"/>
              </w:rPr>
            </w:pPr>
            <w:r w:rsidRPr="001B412A">
              <w:rPr>
                <w:rFonts w:ascii="Arial" w:eastAsia="Times New Roman" w:hAnsi="Arial" w:cs="Arial"/>
                <w:color w:val="000000"/>
                <w:sz w:val="18"/>
                <w:szCs w:val="18"/>
                <w:lang w:val="en-US" w:eastAsia="ru-RU"/>
              </w:rPr>
              <w:t>2.</w:t>
            </w:r>
            <w:r w:rsidR="00575FDA" w:rsidRPr="001B412A">
              <w:rPr>
                <w:rFonts w:ascii="Arial" w:eastAsia="Times New Roman" w:hAnsi="Arial" w:cs="Arial"/>
                <w:color w:val="000000"/>
                <w:sz w:val="18"/>
                <w:szCs w:val="18"/>
                <w:lang w:val="en-US" w:eastAsia="ru-RU"/>
              </w:rPr>
              <w:t>63</w:t>
            </w:r>
          </w:p>
        </w:tc>
        <w:tc>
          <w:tcPr>
            <w:tcW w:w="464" w:type="pct"/>
            <w:tcBorders>
              <w:bottom w:val="single" w:sz="12" w:space="0" w:color="auto"/>
            </w:tcBorders>
            <w:shd w:val="clear" w:color="auto" w:fill="auto"/>
            <w:noWrap/>
            <w:vAlign w:val="center"/>
          </w:tcPr>
          <w:p w14:paraId="67302BC8" w14:textId="2AA653B3"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1.69</w:t>
            </w:r>
          </w:p>
        </w:tc>
        <w:tc>
          <w:tcPr>
            <w:tcW w:w="464" w:type="pct"/>
            <w:tcBorders>
              <w:bottom w:val="single" w:sz="12" w:space="0" w:color="auto"/>
            </w:tcBorders>
            <w:shd w:val="clear" w:color="auto" w:fill="auto"/>
            <w:noWrap/>
            <w:vAlign w:val="center"/>
          </w:tcPr>
          <w:p w14:paraId="3E0C8B32" w14:textId="573C1B58" w:rsidR="00D01686" w:rsidRPr="001B412A" w:rsidRDefault="00DC2D7F"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uk-UA" w:eastAsia="ru-RU"/>
              </w:rPr>
              <w:t>5</w:t>
            </w:r>
            <w:r w:rsidR="007931BB" w:rsidRPr="001B412A">
              <w:rPr>
                <w:rFonts w:ascii="Arial" w:eastAsia="Times New Roman" w:hAnsi="Arial" w:cs="Arial"/>
                <w:color w:val="000000"/>
                <w:sz w:val="18"/>
                <w:szCs w:val="18"/>
                <w:lang w:val="en-US" w:eastAsia="ru-RU"/>
              </w:rPr>
              <w:t>5</w:t>
            </w:r>
            <w:r w:rsidR="00D01686" w:rsidRPr="001B412A">
              <w:rPr>
                <w:rFonts w:ascii="Arial" w:eastAsia="Times New Roman" w:hAnsi="Arial" w:cs="Arial"/>
                <w:color w:val="000000"/>
                <w:sz w:val="18"/>
                <w:szCs w:val="18"/>
                <w:lang w:val="en-US" w:eastAsia="ru-RU"/>
              </w:rPr>
              <w:t>%</w:t>
            </w:r>
          </w:p>
        </w:tc>
        <w:tc>
          <w:tcPr>
            <w:tcW w:w="464" w:type="pct"/>
            <w:tcBorders>
              <w:bottom w:val="single" w:sz="12" w:space="0" w:color="auto"/>
            </w:tcBorders>
            <w:vAlign w:val="center"/>
          </w:tcPr>
          <w:p w14:paraId="0244DA74" w14:textId="6418E0AB" w:rsidR="00D01686" w:rsidRPr="001B412A" w:rsidRDefault="00D01686" w:rsidP="00D01686">
            <w:pPr>
              <w:spacing w:after="0" w:line="240" w:lineRule="auto"/>
              <w:jc w:val="right"/>
              <w:rPr>
                <w:rFonts w:ascii="Arial" w:hAnsi="Arial" w:cs="Arial"/>
                <w:sz w:val="18"/>
                <w:szCs w:val="18"/>
                <w:lang w:val="en-US"/>
              </w:rPr>
            </w:pPr>
            <w:r w:rsidRPr="001B412A">
              <w:rPr>
                <w:rFonts w:ascii="Arial" w:hAnsi="Arial" w:cs="Arial"/>
                <w:sz w:val="18"/>
                <w:szCs w:val="18"/>
                <w:lang w:val="en-US"/>
              </w:rPr>
              <w:t>2.01</w:t>
            </w:r>
          </w:p>
        </w:tc>
        <w:tc>
          <w:tcPr>
            <w:tcW w:w="464" w:type="pct"/>
            <w:tcBorders>
              <w:bottom w:val="single" w:sz="12" w:space="0" w:color="auto"/>
            </w:tcBorders>
            <w:vAlign w:val="center"/>
          </w:tcPr>
          <w:p w14:paraId="267D4D17" w14:textId="4B9479BE" w:rsidR="00D01686" w:rsidRPr="001B412A" w:rsidRDefault="00DC2D7F" w:rsidP="00D01686">
            <w:pPr>
              <w:spacing w:after="0" w:line="240" w:lineRule="auto"/>
              <w:jc w:val="right"/>
              <w:rPr>
                <w:rFonts w:ascii="Arial" w:hAnsi="Arial" w:cs="Arial"/>
                <w:sz w:val="18"/>
                <w:szCs w:val="18"/>
                <w:lang w:val="en-US"/>
              </w:rPr>
            </w:pPr>
            <w:r w:rsidRPr="001B412A">
              <w:rPr>
                <w:rFonts w:ascii="Arial" w:hAnsi="Arial" w:cs="Arial"/>
                <w:sz w:val="18"/>
                <w:szCs w:val="18"/>
                <w:lang w:val="uk-UA"/>
              </w:rPr>
              <w:t>3</w:t>
            </w:r>
            <w:r w:rsidR="007931BB" w:rsidRPr="001B412A">
              <w:rPr>
                <w:rFonts w:ascii="Arial" w:hAnsi="Arial" w:cs="Arial"/>
                <w:sz w:val="18"/>
                <w:szCs w:val="18"/>
                <w:lang w:val="en-US"/>
              </w:rPr>
              <w:t>1</w:t>
            </w:r>
            <w:r w:rsidR="00D01686" w:rsidRPr="001B412A">
              <w:rPr>
                <w:rFonts w:ascii="Arial" w:hAnsi="Arial" w:cs="Arial"/>
                <w:sz w:val="18"/>
                <w:szCs w:val="18"/>
                <w:lang w:val="en-US"/>
              </w:rPr>
              <w:t>%</w:t>
            </w:r>
          </w:p>
        </w:tc>
        <w:tc>
          <w:tcPr>
            <w:tcW w:w="464" w:type="pct"/>
            <w:tcBorders>
              <w:bottom w:val="single" w:sz="12" w:space="0" w:color="auto"/>
            </w:tcBorders>
            <w:shd w:val="clear" w:color="auto" w:fill="auto"/>
            <w:vAlign w:val="center"/>
          </w:tcPr>
          <w:p w14:paraId="300320A2" w14:textId="524AFFE2" w:rsidR="00D01686" w:rsidRPr="001B412A" w:rsidRDefault="00D01686" w:rsidP="00D01686">
            <w:pPr>
              <w:spacing w:after="0" w:line="240" w:lineRule="auto"/>
              <w:jc w:val="right"/>
              <w:rPr>
                <w:rFonts w:ascii="Arial" w:eastAsia="Times New Roman" w:hAnsi="Arial" w:cs="Arial"/>
                <w:color w:val="000000"/>
                <w:sz w:val="18"/>
                <w:szCs w:val="18"/>
                <w:lang w:val="en-US" w:eastAsia="ru-RU"/>
              </w:rPr>
            </w:pPr>
            <w:r w:rsidRPr="001B412A">
              <w:rPr>
                <w:rFonts w:ascii="Arial" w:eastAsia="Times New Roman" w:hAnsi="Arial" w:cs="Arial"/>
                <w:color w:val="000000"/>
                <w:sz w:val="18"/>
                <w:szCs w:val="18"/>
                <w:lang w:val="en-US" w:eastAsia="ru-RU"/>
              </w:rPr>
              <w:t>2.</w:t>
            </w:r>
            <w:r w:rsidR="007931BB" w:rsidRPr="001B412A">
              <w:rPr>
                <w:rFonts w:ascii="Arial" w:eastAsia="Times New Roman" w:hAnsi="Arial" w:cs="Arial"/>
                <w:color w:val="000000"/>
                <w:sz w:val="18"/>
                <w:szCs w:val="18"/>
                <w:lang w:val="en-US" w:eastAsia="ru-RU"/>
              </w:rPr>
              <w:t>28</w:t>
            </w:r>
          </w:p>
        </w:tc>
        <w:tc>
          <w:tcPr>
            <w:tcW w:w="464" w:type="pct"/>
            <w:tcBorders>
              <w:bottom w:val="single" w:sz="12" w:space="0" w:color="auto"/>
            </w:tcBorders>
            <w:shd w:val="clear" w:color="auto" w:fill="auto"/>
            <w:vAlign w:val="center"/>
          </w:tcPr>
          <w:p w14:paraId="0307B6F4" w14:textId="16C24892"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1.56</w:t>
            </w:r>
          </w:p>
        </w:tc>
        <w:tc>
          <w:tcPr>
            <w:tcW w:w="463" w:type="pct"/>
            <w:tcBorders>
              <w:bottom w:val="single" w:sz="12" w:space="0" w:color="auto"/>
            </w:tcBorders>
            <w:shd w:val="clear" w:color="auto" w:fill="auto"/>
            <w:vAlign w:val="center"/>
          </w:tcPr>
          <w:p w14:paraId="5A0268C9" w14:textId="3FEB3E29"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4</w:t>
            </w:r>
            <w:r w:rsidR="007931BB">
              <w:rPr>
                <w:rFonts w:ascii="Arial" w:eastAsia="Times New Roman" w:hAnsi="Arial" w:cs="Arial"/>
                <w:color w:val="000000"/>
                <w:sz w:val="18"/>
                <w:szCs w:val="18"/>
                <w:lang w:val="en-US" w:eastAsia="ru-RU"/>
              </w:rPr>
              <w:t>6</w:t>
            </w:r>
            <w:r w:rsidRPr="00D01686">
              <w:rPr>
                <w:rFonts w:ascii="Arial" w:eastAsia="Times New Roman" w:hAnsi="Arial" w:cs="Arial"/>
                <w:color w:val="000000"/>
                <w:sz w:val="18"/>
                <w:szCs w:val="18"/>
                <w:lang w:val="en-US" w:eastAsia="ru-RU"/>
              </w:rPr>
              <w:t>%</w:t>
            </w:r>
          </w:p>
        </w:tc>
      </w:tr>
      <w:tr w:rsidR="00333F36" w:rsidRPr="00300447" w14:paraId="7D417B6B" w14:textId="77777777" w:rsidTr="00F56364">
        <w:trPr>
          <w:trHeight w:hRule="exact" w:val="57"/>
        </w:trPr>
        <w:tc>
          <w:tcPr>
            <w:tcW w:w="1158" w:type="pct"/>
            <w:tcBorders>
              <w:top w:val="single" w:sz="12" w:space="0" w:color="auto"/>
            </w:tcBorders>
            <w:shd w:val="clear" w:color="auto" w:fill="auto"/>
            <w:noWrap/>
            <w:vAlign w:val="center"/>
          </w:tcPr>
          <w:p w14:paraId="6500A3B3" w14:textId="77777777" w:rsidR="00333F36" w:rsidRPr="00300447" w:rsidRDefault="00333F36" w:rsidP="00333F36">
            <w:pPr>
              <w:spacing w:after="0" w:line="240" w:lineRule="auto"/>
              <w:jc w:val="both"/>
              <w:rPr>
                <w:rFonts w:ascii="Arial" w:eastAsia="Times New Roman" w:hAnsi="Arial" w:cs="Arial"/>
                <w:b/>
                <w:bCs/>
                <w:color w:val="000000"/>
                <w:sz w:val="18"/>
                <w:szCs w:val="18"/>
                <w:lang w:val="en-US" w:eastAsia="ru-RU"/>
              </w:rPr>
            </w:pPr>
          </w:p>
        </w:tc>
        <w:tc>
          <w:tcPr>
            <w:tcW w:w="131" w:type="pct"/>
            <w:vAlign w:val="center"/>
          </w:tcPr>
          <w:p w14:paraId="6494F087" w14:textId="77777777" w:rsidR="00333F36" w:rsidRPr="00300447" w:rsidRDefault="00333F36" w:rsidP="00333F36">
            <w:pPr>
              <w:spacing w:after="0" w:line="240" w:lineRule="auto"/>
              <w:jc w:val="both"/>
              <w:rPr>
                <w:rFonts w:ascii="Arial" w:eastAsia="Times New Roman" w:hAnsi="Arial" w:cs="Arial"/>
                <w:color w:val="000000"/>
                <w:sz w:val="18"/>
                <w:szCs w:val="18"/>
                <w:lang w:val="en-US" w:eastAsia="ru-RU"/>
              </w:rPr>
            </w:pPr>
          </w:p>
        </w:tc>
        <w:tc>
          <w:tcPr>
            <w:tcW w:w="464" w:type="pct"/>
            <w:tcBorders>
              <w:top w:val="single" w:sz="12" w:space="0" w:color="auto"/>
            </w:tcBorders>
            <w:shd w:val="clear" w:color="auto" w:fill="auto"/>
            <w:noWrap/>
            <w:vAlign w:val="center"/>
          </w:tcPr>
          <w:p w14:paraId="40DC5777" w14:textId="77777777" w:rsidR="00333F36" w:rsidRPr="001B412A" w:rsidRDefault="00333F36" w:rsidP="00333F3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12" w:space="0" w:color="auto"/>
            </w:tcBorders>
            <w:shd w:val="clear" w:color="auto" w:fill="auto"/>
            <w:noWrap/>
            <w:vAlign w:val="center"/>
          </w:tcPr>
          <w:p w14:paraId="601443B3" w14:textId="77777777" w:rsidR="00333F36" w:rsidRPr="001B412A" w:rsidRDefault="00333F36" w:rsidP="00333F3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12" w:space="0" w:color="auto"/>
            </w:tcBorders>
            <w:shd w:val="clear" w:color="auto" w:fill="auto"/>
            <w:noWrap/>
            <w:vAlign w:val="center"/>
          </w:tcPr>
          <w:p w14:paraId="04761135" w14:textId="77777777" w:rsidR="00333F36" w:rsidRPr="001B412A" w:rsidRDefault="00333F36" w:rsidP="00333F3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12" w:space="0" w:color="auto"/>
            </w:tcBorders>
            <w:vAlign w:val="center"/>
          </w:tcPr>
          <w:p w14:paraId="407ED64D" w14:textId="77777777" w:rsidR="00333F36" w:rsidRPr="001B412A" w:rsidRDefault="00333F36" w:rsidP="00333F36">
            <w:pPr>
              <w:spacing w:after="0" w:line="240" w:lineRule="auto"/>
              <w:jc w:val="right"/>
              <w:rPr>
                <w:rFonts w:ascii="Arial" w:hAnsi="Arial" w:cs="Arial"/>
                <w:sz w:val="18"/>
                <w:szCs w:val="18"/>
              </w:rPr>
            </w:pPr>
          </w:p>
        </w:tc>
        <w:tc>
          <w:tcPr>
            <w:tcW w:w="464" w:type="pct"/>
            <w:tcBorders>
              <w:top w:val="single" w:sz="12" w:space="0" w:color="auto"/>
            </w:tcBorders>
            <w:vAlign w:val="center"/>
          </w:tcPr>
          <w:p w14:paraId="5CF01CB7" w14:textId="77777777" w:rsidR="00333F36" w:rsidRPr="001B412A" w:rsidRDefault="00333F36" w:rsidP="00333F36">
            <w:pPr>
              <w:spacing w:after="0" w:line="240" w:lineRule="auto"/>
              <w:jc w:val="right"/>
              <w:rPr>
                <w:rFonts w:ascii="Arial" w:hAnsi="Arial" w:cs="Arial"/>
                <w:sz w:val="18"/>
                <w:szCs w:val="18"/>
              </w:rPr>
            </w:pPr>
          </w:p>
        </w:tc>
        <w:tc>
          <w:tcPr>
            <w:tcW w:w="464" w:type="pct"/>
            <w:tcBorders>
              <w:top w:val="single" w:sz="12" w:space="0" w:color="auto"/>
            </w:tcBorders>
            <w:shd w:val="clear" w:color="auto" w:fill="auto"/>
            <w:vAlign w:val="center"/>
          </w:tcPr>
          <w:p w14:paraId="028A8308" w14:textId="77777777" w:rsidR="00333F36" w:rsidRPr="003169A2" w:rsidRDefault="00333F36" w:rsidP="00333F36">
            <w:pPr>
              <w:spacing w:after="0" w:line="240" w:lineRule="auto"/>
              <w:jc w:val="right"/>
              <w:rPr>
                <w:rFonts w:ascii="Arial" w:eastAsia="Times New Roman" w:hAnsi="Arial" w:cs="Arial"/>
                <w:color w:val="000000"/>
                <w:sz w:val="18"/>
                <w:szCs w:val="18"/>
                <w:lang w:val="uk-UA" w:eastAsia="ru-RU"/>
              </w:rPr>
            </w:pPr>
          </w:p>
        </w:tc>
        <w:tc>
          <w:tcPr>
            <w:tcW w:w="464" w:type="pct"/>
            <w:tcBorders>
              <w:top w:val="single" w:sz="12" w:space="0" w:color="auto"/>
            </w:tcBorders>
            <w:shd w:val="clear" w:color="auto" w:fill="auto"/>
            <w:vAlign w:val="center"/>
          </w:tcPr>
          <w:p w14:paraId="16D188A0"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c>
          <w:tcPr>
            <w:tcW w:w="463" w:type="pct"/>
            <w:tcBorders>
              <w:top w:val="single" w:sz="12" w:space="0" w:color="auto"/>
            </w:tcBorders>
            <w:shd w:val="clear" w:color="auto" w:fill="auto"/>
            <w:vAlign w:val="center"/>
          </w:tcPr>
          <w:p w14:paraId="7F7316E0"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r>
      <w:tr w:rsidR="00333F36" w:rsidRPr="00300447" w14:paraId="0F94BC4B" w14:textId="77777777" w:rsidTr="00F56364">
        <w:trPr>
          <w:trHeight w:val="352"/>
        </w:trPr>
        <w:tc>
          <w:tcPr>
            <w:tcW w:w="1158" w:type="pct"/>
            <w:shd w:val="clear" w:color="auto" w:fill="auto"/>
            <w:noWrap/>
            <w:vAlign w:val="center"/>
          </w:tcPr>
          <w:p w14:paraId="5428B560" w14:textId="77777777" w:rsidR="00333F36" w:rsidRPr="00300447" w:rsidRDefault="00333F36" w:rsidP="00333F36">
            <w:pPr>
              <w:spacing w:after="0" w:line="240" w:lineRule="auto"/>
              <w:jc w:val="both"/>
              <w:rPr>
                <w:rFonts w:ascii="Arial" w:eastAsia="Times New Roman" w:hAnsi="Arial" w:cs="Arial"/>
                <w:b/>
                <w:bCs/>
                <w:color w:val="000000"/>
                <w:sz w:val="18"/>
                <w:szCs w:val="18"/>
                <w:lang w:val="en-US" w:eastAsia="ru-RU"/>
              </w:rPr>
            </w:pPr>
            <w:r w:rsidRPr="00300447">
              <w:rPr>
                <w:rFonts w:ascii="Arial" w:eastAsia="Times New Roman" w:hAnsi="Arial" w:cs="Arial"/>
                <w:b/>
                <w:bCs/>
                <w:color w:val="000000"/>
                <w:sz w:val="18"/>
                <w:szCs w:val="18"/>
                <w:lang w:val="en-US" w:eastAsia="ru-RU"/>
              </w:rPr>
              <w:t>Sunflower oil</w:t>
            </w:r>
          </w:p>
        </w:tc>
        <w:tc>
          <w:tcPr>
            <w:tcW w:w="131" w:type="pct"/>
            <w:vAlign w:val="center"/>
          </w:tcPr>
          <w:p w14:paraId="38C3074E" w14:textId="77777777" w:rsidR="00333F36" w:rsidRPr="00300447" w:rsidRDefault="00333F36" w:rsidP="00333F36">
            <w:pPr>
              <w:spacing w:after="0" w:line="240" w:lineRule="auto"/>
              <w:jc w:val="both"/>
              <w:rPr>
                <w:rFonts w:ascii="Arial" w:eastAsia="Times New Roman" w:hAnsi="Arial" w:cs="Arial"/>
                <w:color w:val="000000"/>
                <w:sz w:val="18"/>
                <w:szCs w:val="18"/>
                <w:lang w:val="en-US" w:eastAsia="ru-RU"/>
              </w:rPr>
            </w:pPr>
          </w:p>
        </w:tc>
        <w:tc>
          <w:tcPr>
            <w:tcW w:w="464" w:type="pct"/>
            <w:shd w:val="clear" w:color="auto" w:fill="auto"/>
            <w:noWrap/>
            <w:vAlign w:val="center"/>
          </w:tcPr>
          <w:p w14:paraId="2CFC169A"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c>
          <w:tcPr>
            <w:tcW w:w="464" w:type="pct"/>
            <w:shd w:val="clear" w:color="auto" w:fill="auto"/>
            <w:noWrap/>
            <w:vAlign w:val="center"/>
          </w:tcPr>
          <w:p w14:paraId="5DFBCE90"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c>
          <w:tcPr>
            <w:tcW w:w="464" w:type="pct"/>
            <w:shd w:val="clear" w:color="auto" w:fill="auto"/>
            <w:noWrap/>
            <w:vAlign w:val="center"/>
          </w:tcPr>
          <w:p w14:paraId="20304221"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c>
          <w:tcPr>
            <w:tcW w:w="464" w:type="pct"/>
            <w:vAlign w:val="center"/>
          </w:tcPr>
          <w:p w14:paraId="7665C154" w14:textId="77777777" w:rsidR="00333F36" w:rsidRPr="00300447" w:rsidRDefault="00333F36" w:rsidP="00333F36">
            <w:pPr>
              <w:spacing w:after="0" w:line="240" w:lineRule="auto"/>
              <w:jc w:val="right"/>
              <w:rPr>
                <w:rFonts w:ascii="Arial" w:hAnsi="Arial" w:cs="Arial"/>
                <w:sz w:val="18"/>
                <w:szCs w:val="18"/>
              </w:rPr>
            </w:pPr>
          </w:p>
        </w:tc>
        <w:tc>
          <w:tcPr>
            <w:tcW w:w="464" w:type="pct"/>
            <w:vAlign w:val="center"/>
          </w:tcPr>
          <w:p w14:paraId="38B6AF73" w14:textId="77777777" w:rsidR="00333F36" w:rsidRPr="00300447" w:rsidRDefault="00333F36" w:rsidP="00333F36">
            <w:pPr>
              <w:spacing w:after="0" w:line="240" w:lineRule="auto"/>
              <w:jc w:val="right"/>
              <w:rPr>
                <w:rFonts w:ascii="Arial" w:hAnsi="Arial" w:cs="Arial"/>
                <w:sz w:val="18"/>
                <w:szCs w:val="18"/>
              </w:rPr>
            </w:pPr>
          </w:p>
        </w:tc>
        <w:tc>
          <w:tcPr>
            <w:tcW w:w="464" w:type="pct"/>
            <w:shd w:val="clear" w:color="auto" w:fill="auto"/>
            <w:vAlign w:val="center"/>
          </w:tcPr>
          <w:p w14:paraId="53759309"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c>
          <w:tcPr>
            <w:tcW w:w="464" w:type="pct"/>
            <w:shd w:val="clear" w:color="auto" w:fill="auto"/>
            <w:vAlign w:val="center"/>
          </w:tcPr>
          <w:p w14:paraId="6096AC51"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c>
          <w:tcPr>
            <w:tcW w:w="463" w:type="pct"/>
            <w:shd w:val="clear" w:color="auto" w:fill="auto"/>
            <w:vAlign w:val="center"/>
          </w:tcPr>
          <w:p w14:paraId="0F5D766C"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r>
      <w:tr w:rsidR="00D01686" w:rsidRPr="00300447" w14:paraId="19B851F0" w14:textId="77777777" w:rsidTr="00F56364">
        <w:trPr>
          <w:trHeight w:val="352"/>
        </w:trPr>
        <w:tc>
          <w:tcPr>
            <w:tcW w:w="1158" w:type="pct"/>
            <w:tcBorders>
              <w:bottom w:val="single" w:sz="12" w:space="0" w:color="auto"/>
            </w:tcBorders>
            <w:shd w:val="clear" w:color="auto" w:fill="auto"/>
            <w:noWrap/>
            <w:vAlign w:val="center"/>
            <w:hideMark/>
          </w:tcPr>
          <w:p w14:paraId="58083F6B" w14:textId="77777777" w:rsidR="00D01686" w:rsidRPr="00300447" w:rsidRDefault="00D01686" w:rsidP="00D01686">
            <w:pPr>
              <w:spacing w:after="0" w:line="240" w:lineRule="auto"/>
              <w:rPr>
                <w:rFonts w:ascii="Arial" w:eastAsia="Times New Roman" w:hAnsi="Arial" w:cs="Arial"/>
                <w:color w:val="000000"/>
                <w:sz w:val="18"/>
                <w:szCs w:val="18"/>
                <w:lang w:val="en-US" w:eastAsia="ru-RU"/>
              </w:rPr>
            </w:pPr>
            <w:r w:rsidRPr="00300447">
              <w:rPr>
                <w:rFonts w:ascii="Arial" w:eastAsia="Times New Roman" w:hAnsi="Arial" w:cs="Arial"/>
                <w:color w:val="000000"/>
                <w:sz w:val="18"/>
                <w:szCs w:val="18"/>
                <w:lang w:val="en-US" w:eastAsia="ru-RU"/>
              </w:rPr>
              <w:t xml:space="preserve">Sales volume, third </w:t>
            </w:r>
            <w:proofErr w:type="gramStart"/>
            <w:r w:rsidRPr="00300447">
              <w:rPr>
                <w:rFonts w:ascii="Arial" w:eastAsia="Times New Roman" w:hAnsi="Arial" w:cs="Arial"/>
                <w:color w:val="000000"/>
                <w:sz w:val="18"/>
                <w:szCs w:val="18"/>
                <w:lang w:val="en-US" w:eastAsia="ru-RU"/>
              </w:rPr>
              <w:t>parties</w:t>
            </w:r>
            <w:proofErr w:type="gramEnd"/>
            <w:r w:rsidRPr="00300447">
              <w:rPr>
                <w:rFonts w:ascii="Arial" w:eastAsia="Times New Roman" w:hAnsi="Arial" w:cs="Arial"/>
                <w:color w:val="000000"/>
                <w:sz w:val="18"/>
                <w:szCs w:val="18"/>
                <w:lang w:val="en-US" w:eastAsia="ru-RU"/>
              </w:rPr>
              <w:t xml:space="preserve"> </w:t>
            </w:r>
            <w:proofErr w:type="spellStart"/>
            <w:r w:rsidRPr="00300447">
              <w:rPr>
                <w:rFonts w:ascii="Arial" w:eastAsia="Times New Roman" w:hAnsi="Arial" w:cs="Arial"/>
                <w:color w:val="000000"/>
                <w:sz w:val="18"/>
                <w:szCs w:val="18"/>
                <w:lang w:val="en-US" w:eastAsia="ru-RU"/>
              </w:rPr>
              <w:t>tonnes</w:t>
            </w:r>
            <w:proofErr w:type="spellEnd"/>
          </w:p>
        </w:tc>
        <w:tc>
          <w:tcPr>
            <w:tcW w:w="131" w:type="pct"/>
            <w:vAlign w:val="center"/>
          </w:tcPr>
          <w:p w14:paraId="4F75D239" w14:textId="77777777" w:rsidR="00D01686" w:rsidRPr="00300447" w:rsidRDefault="00D01686" w:rsidP="00D01686">
            <w:pPr>
              <w:spacing w:after="0" w:line="240" w:lineRule="auto"/>
              <w:jc w:val="right"/>
              <w:rPr>
                <w:rFonts w:ascii="Arial" w:eastAsia="Times New Roman" w:hAnsi="Arial" w:cs="Arial"/>
                <w:color w:val="000000"/>
                <w:sz w:val="18"/>
                <w:szCs w:val="18"/>
                <w:lang w:val="en-US" w:eastAsia="ru-RU"/>
              </w:rPr>
            </w:pPr>
          </w:p>
        </w:tc>
        <w:tc>
          <w:tcPr>
            <w:tcW w:w="464" w:type="pct"/>
            <w:tcBorders>
              <w:bottom w:val="single" w:sz="12" w:space="0" w:color="auto"/>
            </w:tcBorders>
            <w:shd w:val="clear" w:color="auto" w:fill="auto"/>
            <w:noWrap/>
            <w:vAlign w:val="center"/>
          </w:tcPr>
          <w:p w14:paraId="760EB330" w14:textId="51173D01" w:rsidR="00D01686" w:rsidRPr="00D01686" w:rsidRDefault="00D01686" w:rsidP="00D01686">
            <w:pPr>
              <w:spacing w:after="0" w:line="240" w:lineRule="auto"/>
              <w:jc w:val="right"/>
              <w:rPr>
                <w:rFonts w:ascii="Arial" w:eastAsia="Times New Roman" w:hAnsi="Arial" w:cs="Arial"/>
                <w:color w:val="000000"/>
                <w:sz w:val="18"/>
                <w:szCs w:val="18"/>
                <w:lang w:val="ru-UA" w:eastAsia="ru-RU"/>
              </w:rPr>
            </w:pPr>
            <w:r w:rsidRPr="00D01686">
              <w:rPr>
                <w:rFonts w:ascii="Arial" w:hAnsi="Arial" w:cs="Arial"/>
                <w:sz w:val="18"/>
                <w:szCs w:val="18"/>
                <w:lang w:val="en-US"/>
              </w:rPr>
              <w:t>48,495</w:t>
            </w:r>
          </w:p>
        </w:tc>
        <w:tc>
          <w:tcPr>
            <w:tcW w:w="464" w:type="pct"/>
            <w:tcBorders>
              <w:bottom w:val="single" w:sz="12" w:space="0" w:color="auto"/>
            </w:tcBorders>
            <w:shd w:val="clear" w:color="auto" w:fill="auto"/>
            <w:noWrap/>
            <w:vAlign w:val="center"/>
          </w:tcPr>
          <w:p w14:paraId="2CFD3A84" w14:textId="35712668"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35,192</w:t>
            </w:r>
          </w:p>
        </w:tc>
        <w:tc>
          <w:tcPr>
            <w:tcW w:w="464" w:type="pct"/>
            <w:tcBorders>
              <w:bottom w:val="single" w:sz="12" w:space="0" w:color="auto"/>
            </w:tcBorders>
            <w:shd w:val="clear" w:color="auto" w:fill="auto"/>
            <w:noWrap/>
            <w:vAlign w:val="center"/>
          </w:tcPr>
          <w:p w14:paraId="09BA9A05" w14:textId="02907433"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hAnsi="Arial" w:cs="Arial"/>
                <w:sz w:val="18"/>
                <w:szCs w:val="18"/>
                <w:lang w:val="en-US"/>
              </w:rPr>
              <w:t>38</w:t>
            </w:r>
            <w:r w:rsidRPr="00D01686">
              <w:rPr>
                <w:rFonts w:ascii="Arial" w:hAnsi="Arial" w:cs="Arial"/>
                <w:sz w:val="18"/>
                <w:szCs w:val="18"/>
              </w:rPr>
              <w:t>%</w:t>
            </w:r>
          </w:p>
        </w:tc>
        <w:tc>
          <w:tcPr>
            <w:tcW w:w="464" w:type="pct"/>
            <w:tcBorders>
              <w:bottom w:val="single" w:sz="12" w:space="0" w:color="auto"/>
            </w:tcBorders>
            <w:vAlign w:val="center"/>
          </w:tcPr>
          <w:p w14:paraId="56B370E8" w14:textId="2D9B2C80" w:rsidR="00D01686" w:rsidRPr="00D01686" w:rsidRDefault="00D01686" w:rsidP="00D01686">
            <w:pPr>
              <w:spacing w:after="0" w:line="240" w:lineRule="auto"/>
              <w:jc w:val="right"/>
              <w:rPr>
                <w:rFonts w:ascii="Arial" w:hAnsi="Arial" w:cs="Arial"/>
                <w:sz w:val="18"/>
                <w:szCs w:val="18"/>
                <w:lang w:val="en-US"/>
              </w:rPr>
            </w:pPr>
            <w:r w:rsidRPr="00D01686">
              <w:rPr>
                <w:rFonts w:ascii="Arial" w:hAnsi="Arial" w:cs="Arial"/>
                <w:sz w:val="18"/>
                <w:szCs w:val="18"/>
                <w:lang w:val="en-US"/>
              </w:rPr>
              <w:t>32,981</w:t>
            </w:r>
          </w:p>
        </w:tc>
        <w:tc>
          <w:tcPr>
            <w:tcW w:w="464" w:type="pct"/>
            <w:tcBorders>
              <w:bottom w:val="single" w:sz="12" w:space="0" w:color="auto"/>
            </w:tcBorders>
            <w:vAlign w:val="center"/>
          </w:tcPr>
          <w:p w14:paraId="3CFF4BDF" w14:textId="6977CCB0" w:rsidR="00D01686" w:rsidRPr="00D01686" w:rsidRDefault="00D01686" w:rsidP="00D01686">
            <w:pPr>
              <w:spacing w:after="0" w:line="240" w:lineRule="auto"/>
              <w:jc w:val="right"/>
              <w:rPr>
                <w:rFonts w:ascii="Arial" w:hAnsi="Arial" w:cs="Arial"/>
                <w:sz w:val="18"/>
                <w:szCs w:val="18"/>
              </w:rPr>
            </w:pPr>
            <w:r w:rsidRPr="00D01686">
              <w:rPr>
                <w:rFonts w:ascii="Arial" w:hAnsi="Arial" w:cs="Arial"/>
                <w:sz w:val="18"/>
                <w:szCs w:val="18"/>
                <w:lang w:val="en-US"/>
              </w:rPr>
              <w:t>47</w:t>
            </w:r>
            <w:r w:rsidRPr="00D01686">
              <w:rPr>
                <w:rFonts w:ascii="Arial" w:hAnsi="Arial" w:cs="Arial"/>
                <w:sz w:val="18"/>
                <w:szCs w:val="18"/>
              </w:rPr>
              <w:t>%</w:t>
            </w:r>
          </w:p>
        </w:tc>
        <w:tc>
          <w:tcPr>
            <w:tcW w:w="464" w:type="pct"/>
            <w:tcBorders>
              <w:bottom w:val="single" w:sz="12" w:space="0" w:color="auto"/>
            </w:tcBorders>
            <w:shd w:val="clear" w:color="auto" w:fill="auto"/>
            <w:vAlign w:val="center"/>
          </w:tcPr>
          <w:p w14:paraId="290E90D1" w14:textId="445F8D5B"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81,476</w:t>
            </w:r>
          </w:p>
        </w:tc>
        <w:tc>
          <w:tcPr>
            <w:tcW w:w="464" w:type="pct"/>
            <w:tcBorders>
              <w:bottom w:val="single" w:sz="12" w:space="0" w:color="auto"/>
            </w:tcBorders>
            <w:shd w:val="clear" w:color="auto" w:fill="auto"/>
            <w:vAlign w:val="center"/>
          </w:tcPr>
          <w:p w14:paraId="2ED65D7F" w14:textId="4E2A17AD"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91,140</w:t>
            </w:r>
          </w:p>
        </w:tc>
        <w:tc>
          <w:tcPr>
            <w:tcW w:w="463" w:type="pct"/>
            <w:tcBorders>
              <w:bottom w:val="single" w:sz="12" w:space="0" w:color="auto"/>
            </w:tcBorders>
            <w:shd w:val="clear" w:color="auto" w:fill="auto"/>
            <w:vAlign w:val="center"/>
          </w:tcPr>
          <w:p w14:paraId="70CD941F" w14:textId="5593E401"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hAnsi="Arial" w:cs="Arial"/>
                <w:sz w:val="18"/>
                <w:szCs w:val="18"/>
              </w:rPr>
              <w:t>-</w:t>
            </w:r>
            <w:r w:rsidRPr="00D01686">
              <w:rPr>
                <w:rFonts w:ascii="Arial" w:hAnsi="Arial" w:cs="Arial"/>
                <w:sz w:val="18"/>
                <w:szCs w:val="18"/>
                <w:lang w:val="en-US"/>
              </w:rPr>
              <w:t>11</w:t>
            </w:r>
            <w:r w:rsidRPr="00D01686">
              <w:rPr>
                <w:rFonts w:ascii="Arial" w:hAnsi="Arial" w:cs="Arial"/>
                <w:sz w:val="18"/>
                <w:szCs w:val="18"/>
              </w:rPr>
              <w:t>%</w:t>
            </w:r>
          </w:p>
        </w:tc>
      </w:tr>
      <w:tr w:rsidR="00333F36" w:rsidRPr="00300447" w14:paraId="299B3EDC" w14:textId="77777777" w:rsidTr="00F56364">
        <w:trPr>
          <w:trHeight w:val="352"/>
        </w:trPr>
        <w:tc>
          <w:tcPr>
            <w:tcW w:w="1158" w:type="pct"/>
            <w:tcBorders>
              <w:top w:val="single" w:sz="12" w:space="0" w:color="auto"/>
            </w:tcBorders>
            <w:shd w:val="clear" w:color="auto" w:fill="auto"/>
            <w:noWrap/>
            <w:vAlign w:val="center"/>
          </w:tcPr>
          <w:p w14:paraId="4F2C3496" w14:textId="77777777" w:rsidR="00333F36" w:rsidRPr="00300447" w:rsidRDefault="00333F36" w:rsidP="00333F36">
            <w:pPr>
              <w:spacing w:after="0" w:line="240" w:lineRule="auto"/>
              <w:jc w:val="both"/>
              <w:rPr>
                <w:rFonts w:ascii="Arial" w:eastAsia="Times New Roman" w:hAnsi="Arial" w:cs="Arial"/>
                <w:b/>
                <w:bCs/>
                <w:color w:val="000000"/>
                <w:sz w:val="18"/>
                <w:szCs w:val="18"/>
                <w:lang w:val="en-US" w:eastAsia="ru-RU"/>
              </w:rPr>
            </w:pPr>
            <w:r w:rsidRPr="00300447">
              <w:rPr>
                <w:rFonts w:ascii="Arial" w:eastAsia="Times New Roman" w:hAnsi="Arial" w:cs="Arial"/>
                <w:b/>
                <w:bCs/>
                <w:color w:val="000000"/>
                <w:sz w:val="18"/>
                <w:szCs w:val="18"/>
                <w:lang w:val="en-US" w:eastAsia="ru-RU"/>
              </w:rPr>
              <w:t>Soybeans oil</w:t>
            </w:r>
          </w:p>
        </w:tc>
        <w:tc>
          <w:tcPr>
            <w:tcW w:w="131" w:type="pct"/>
            <w:vAlign w:val="center"/>
          </w:tcPr>
          <w:p w14:paraId="6DEA3482" w14:textId="77777777" w:rsidR="00333F36" w:rsidRPr="00300447" w:rsidRDefault="00333F36" w:rsidP="00333F36">
            <w:pPr>
              <w:spacing w:after="0" w:line="240" w:lineRule="auto"/>
              <w:jc w:val="right"/>
              <w:rPr>
                <w:rFonts w:ascii="Arial" w:eastAsia="Times New Roman" w:hAnsi="Arial" w:cs="Arial"/>
                <w:b/>
                <w:bCs/>
                <w:color w:val="000000"/>
                <w:sz w:val="18"/>
                <w:szCs w:val="18"/>
                <w:lang w:val="en-US" w:eastAsia="ru-RU"/>
              </w:rPr>
            </w:pPr>
          </w:p>
        </w:tc>
        <w:tc>
          <w:tcPr>
            <w:tcW w:w="464" w:type="pct"/>
            <w:tcBorders>
              <w:top w:val="single" w:sz="12" w:space="0" w:color="auto"/>
            </w:tcBorders>
            <w:shd w:val="clear" w:color="auto" w:fill="auto"/>
            <w:noWrap/>
            <w:vAlign w:val="center"/>
          </w:tcPr>
          <w:p w14:paraId="4CED4D25"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12" w:space="0" w:color="auto"/>
            </w:tcBorders>
            <w:shd w:val="clear" w:color="auto" w:fill="auto"/>
            <w:noWrap/>
            <w:vAlign w:val="center"/>
          </w:tcPr>
          <w:p w14:paraId="46B57043" w14:textId="77777777" w:rsidR="00333F36" w:rsidRPr="00300447" w:rsidRDefault="00333F36" w:rsidP="00333F36">
            <w:pPr>
              <w:spacing w:after="0" w:line="240" w:lineRule="auto"/>
              <w:jc w:val="right"/>
              <w:rPr>
                <w:rFonts w:ascii="Arial" w:eastAsia="Times New Roman" w:hAnsi="Arial" w:cs="Arial"/>
                <w:color w:val="000000"/>
                <w:sz w:val="18"/>
                <w:szCs w:val="18"/>
                <w:lang w:val="en-US" w:eastAsia="ru-RU"/>
              </w:rPr>
            </w:pPr>
          </w:p>
        </w:tc>
        <w:tc>
          <w:tcPr>
            <w:tcW w:w="464" w:type="pct"/>
            <w:tcBorders>
              <w:top w:val="single" w:sz="12" w:space="0" w:color="auto"/>
            </w:tcBorders>
            <w:shd w:val="clear" w:color="auto" w:fill="auto"/>
            <w:noWrap/>
            <w:vAlign w:val="center"/>
          </w:tcPr>
          <w:p w14:paraId="39A0A2CA" w14:textId="77777777" w:rsidR="00333F36" w:rsidRPr="00300447" w:rsidRDefault="00333F36" w:rsidP="00333F36">
            <w:pPr>
              <w:spacing w:after="0" w:line="240" w:lineRule="auto"/>
              <w:jc w:val="right"/>
              <w:rPr>
                <w:rFonts w:ascii="Arial" w:hAnsi="Arial" w:cs="Arial"/>
                <w:sz w:val="18"/>
                <w:szCs w:val="18"/>
              </w:rPr>
            </w:pPr>
          </w:p>
        </w:tc>
        <w:tc>
          <w:tcPr>
            <w:tcW w:w="464" w:type="pct"/>
            <w:tcBorders>
              <w:top w:val="single" w:sz="12" w:space="0" w:color="auto"/>
            </w:tcBorders>
            <w:vAlign w:val="center"/>
          </w:tcPr>
          <w:p w14:paraId="6292012A" w14:textId="77777777" w:rsidR="00333F36" w:rsidRPr="00300447" w:rsidRDefault="00333F36" w:rsidP="00333F36">
            <w:pPr>
              <w:spacing w:after="0" w:line="240" w:lineRule="auto"/>
              <w:jc w:val="right"/>
              <w:rPr>
                <w:rFonts w:ascii="Arial" w:hAnsi="Arial" w:cs="Arial"/>
                <w:sz w:val="18"/>
                <w:szCs w:val="18"/>
              </w:rPr>
            </w:pPr>
          </w:p>
        </w:tc>
        <w:tc>
          <w:tcPr>
            <w:tcW w:w="464" w:type="pct"/>
            <w:tcBorders>
              <w:top w:val="single" w:sz="12" w:space="0" w:color="auto"/>
            </w:tcBorders>
            <w:vAlign w:val="center"/>
          </w:tcPr>
          <w:p w14:paraId="164383AC" w14:textId="77777777" w:rsidR="00333F36" w:rsidRPr="00300447" w:rsidRDefault="00333F36" w:rsidP="00333F36">
            <w:pPr>
              <w:spacing w:after="0" w:line="240" w:lineRule="auto"/>
              <w:jc w:val="right"/>
              <w:rPr>
                <w:rFonts w:ascii="Arial" w:hAnsi="Arial" w:cs="Arial"/>
                <w:sz w:val="18"/>
                <w:szCs w:val="18"/>
              </w:rPr>
            </w:pPr>
          </w:p>
        </w:tc>
        <w:tc>
          <w:tcPr>
            <w:tcW w:w="464" w:type="pct"/>
            <w:tcBorders>
              <w:top w:val="single" w:sz="12" w:space="0" w:color="auto"/>
            </w:tcBorders>
            <w:shd w:val="clear" w:color="auto" w:fill="auto"/>
            <w:vAlign w:val="center"/>
          </w:tcPr>
          <w:p w14:paraId="371F280A" w14:textId="77777777" w:rsidR="00333F36" w:rsidRPr="00300447" w:rsidRDefault="00333F36" w:rsidP="00333F36">
            <w:pPr>
              <w:spacing w:after="0" w:line="240" w:lineRule="auto"/>
              <w:jc w:val="right"/>
              <w:rPr>
                <w:rFonts w:ascii="Arial" w:hAnsi="Arial" w:cs="Arial"/>
                <w:sz w:val="18"/>
                <w:szCs w:val="18"/>
              </w:rPr>
            </w:pPr>
          </w:p>
        </w:tc>
        <w:tc>
          <w:tcPr>
            <w:tcW w:w="464" w:type="pct"/>
            <w:tcBorders>
              <w:top w:val="single" w:sz="12" w:space="0" w:color="auto"/>
            </w:tcBorders>
            <w:shd w:val="clear" w:color="auto" w:fill="auto"/>
            <w:vAlign w:val="center"/>
          </w:tcPr>
          <w:p w14:paraId="414FD735" w14:textId="77777777" w:rsidR="00333F36" w:rsidRPr="00300447" w:rsidRDefault="00333F36" w:rsidP="00333F36">
            <w:pPr>
              <w:spacing w:after="0" w:line="240" w:lineRule="auto"/>
              <w:jc w:val="right"/>
              <w:rPr>
                <w:rFonts w:ascii="Arial" w:hAnsi="Arial" w:cs="Arial"/>
                <w:sz w:val="18"/>
                <w:szCs w:val="18"/>
              </w:rPr>
            </w:pPr>
          </w:p>
        </w:tc>
        <w:tc>
          <w:tcPr>
            <w:tcW w:w="463" w:type="pct"/>
            <w:tcBorders>
              <w:top w:val="single" w:sz="12" w:space="0" w:color="auto"/>
            </w:tcBorders>
            <w:shd w:val="clear" w:color="auto" w:fill="auto"/>
            <w:vAlign w:val="center"/>
          </w:tcPr>
          <w:p w14:paraId="2EFFE259" w14:textId="77777777" w:rsidR="00333F36" w:rsidRPr="00300447" w:rsidRDefault="00333F36" w:rsidP="00333F36">
            <w:pPr>
              <w:spacing w:after="0" w:line="240" w:lineRule="auto"/>
              <w:jc w:val="right"/>
              <w:rPr>
                <w:rFonts w:ascii="Arial" w:hAnsi="Arial" w:cs="Arial"/>
                <w:sz w:val="18"/>
                <w:szCs w:val="18"/>
              </w:rPr>
            </w:pPr>
          </w:p>
        </w:tc>
      </w:tr>
      <w:tr w:rsidR="00D01686" w:rsidRPr="00300447" w14:paraId="28B258CE" w14:textId="77777777" w:rsidTr="00F56364">
        <w:trPr>
          <w:trHeight w:val="352"/>
        </w:trPr>
        <w:tc>
          <w:tcPr>
            <w:tcW w:w="1158" w:type="pct"/>
            <w:tcBorders>
              <w:bottom w:val="single" w:sz="12" w:space="0" w:color="auto"/>
            </w:tcBorders>
            <w:shd w:val="clear" w:color="auto" w:fill="auto"/>
            <w:noWrap/>
            <w:vAlign w:val="center"/>
          </w:tcPr>
          <w:p w14:paraId="43C73F2F" w14:textId="77777777" w:rsidR="00D01686" w:rsidRPr="00300447" w:rsidRDefault="00D01686" w:rsidP="00D01686">
            <w:pPr>
              <w:spacing w:after="0" w:line="240" w:lineRule="auto"/>
              <w:jc w:val="both"/>
              <w:rPr>
                <w:rFonts w:ascii="Arial" w:eastAsia="Times New Roman" w:hAnsi="Arial" w:cs="Arial"/>
                <w:color w:val="000000"/>
                <w:sz w:val="18"/>
                <w:szCs w:val="18"/>
                <w:lang w:val="en-US" w:eastAsia="ru-RU"/>
              </w:rPr>
            </w:pPr>
            <w:r w:rsidRPr="00300447">
              <w:rPr>
                <w:rFonts w:ascii="Arial" w:eastAsia="Times New Roman" w:hAnsi="Arial" w:cs="Arial"/>
                <w:color w:val="000000"/>
                <w:sz w:val="18"/>
                <w:szCs w:val="18"/>
                <w:lang w:val="en-US" w:eastAsia="ru-RU"/>
              </w:rPr>
              <w:t xml:space="preserve">Sales volume, third </w:t>
            </w:r>
            <w:proofErr w:type="gramStart"/>
            <w:r w:rsidRPr="00300447">
              <w:rPr>
                <w:rFonts w:ascii="Arial" w:eastAsia="Times New Roman" w:hAnsi="Arial" w:cs="Arial"/>
                <w:color w:val="000000"/>
                <w:sz w:val="18"/>
                <w:szCs w:val="18"/>
                <w:lang w:val="en-US" w:eastAsia="ru-RU"/>
              </w:rPr>
              <w:t>parties</w:t>
            </w:r>
            <w:proofErr w:type="gramEnd"/>
            <w:r w:rsidRPr="00300447">
              <w:rPr>
                <w:rFonts w:ascii="Arial" w:eastAsia="Times New Roman" w:hAnsi="Arial" w:cs="Arial"/>
                <w:color w:val="000000"/>
                <w:sz w:val="18"/>
                <w:szCs w:val="18"/>
                <w:lang w:val="en-US" w:eastAsia="ru-RU"/>
              </w:rPr>
              <w:t xml:space="preserve"> </w:t>
            </w:r>
            <w:proofErr w:type="spellStart"/>
            <w:r w:rsidRPr="00300447">
              <w:rPr>
                <w:rFonts w:ascii="Arial" w:eastAsia="Times New Roman" w:hAnsi="Arial" w:cs="Arial"/>
                <w:color w:val="000000"/>
                <w:sz w:val="18"/>
                <w:szCs w:val="18"/>
                <w:lang w:val="en-US" w:eastAsia="ru-RU"/>
              </w:rPr>
              <w:t>tonnes</w:t>
            </w:r>
            <w:proofErr w:type="spellEnd"/>
          </w:p>
        </w:tc>
        <w:tc>
          <w:tcPr>
            <w:tcW w:w="131" w:type="pct"/>
            <w:vAlign w:val="center"/>
          </w:tcPr>
          <w:p w14:paraId="4DCFCFEE" w14:textId="77777777" w:rsidR="00D01686" w:rsidRPr="00300447" w:rsidRDefault="00D01686" w:rsidP="00D01686">
            <w:pPr>
              <w:spacing w:after="0" w:line="240" w:lineRule="auto"/>
              <w:jc w:val="right"/>
              <w:rPr>
                <w:rFonts w:ascii="Arial" w:eastAsia="Times New Roman" w:hAnsi="Arial" w:cs="Arial"/>
                <w:color w:val="000000"/>
                <w:sz w:val="18"/>
                <w:szCs w:val="18"/>
                <w:lang w:val="en-US" w:eastAsia="ru-RU"/>
              </w:rPr>
            </w:pPr>
          </w:p>
        </w:tc>
        <w:tc>
          <w:tcPr>
            <w:tcW w:w="464" w:type="pct"/>
            <w:tcBorders>
              <w:bottom w:val="single" w:sz="12" w:space="0" w:color="auto"/>
            </w:tcBorders>
            <w:shd w:val="clear" w:color="auto" w:fill="auto"/>
            <w:noWrap/>
            <w:vAlign w:val="center"/>
          </w:tcPr>
          <w:p w14:paraId="3868BFD8" w14:textId="33296FE1"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hAnsi="Arial" w:cs="Arial"/>
                <w:color w:val="000000"/>
                <w:sz w:val="18"/>
                <w:szCs w:val="18"/>
                <w:lang w:val="en-US" w:eastAsia="ru-RU"/>
              </w:rPr>
              <w:t>9,191</w:t>
            </w:r>
          </w:p>
        </w:tc>
        <w:tc>
          <w:tcPr>
            <w:tcW w:w="464" w:type="pct"/>
            <w:tcBorders>
              <w:bottom w:val="single" w:sz="12" w:space="0" w:color="auto"/>
            </w:tcBorders>
            <w:shd w:val="clear" w:color="auto" w:fill="auto"/>
            <w:noWrap/>
            <w:vAlign w:val="center"/>
          </w:tcPr>
          <w:p w14:paraId="259487E7" w14:textId="74B919D8"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11,871</w:t>
            </w:r>
          </w:p>
        </w:tc>
        <w:tc>
          <w:tcPr>
            <w:tcW w:w="464" w:type="pct"/>
            <w:tcBorders>
              <w:bottom w:val="single" w:sz="12" w:space="0" w:color="auto"/>
            </w:tcBorders>
            <w:shd w:val="clear" w:color="auto" w:fill="auto"/>
            <w:noWrap/>
            <w:vAlign w:val="center"/>
          </w:tcPr>
          <w:p w14:paraId="4E2E78DE" w14:textId="29C14645"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hAnsi="Arial" w:cs="Arial"/>
                <w:sz w:val="18"/>
                <w:szCs w:val="18"/>
                <w:lang w:val="en-US"/>
              </w:rPr>
              <w:t>-23</w:t>
            </w:r>
            <w:r w:rsidRPr="00D01686">
              <w:rPr>
                <w:rFonts w:ascii="Arial" w:hAnsi="Arial" w:cs="Arial"/>
                <w:sz w:val="18"/>
                <w:szCs w:val="18"/>
              </w:rPr>
              <w:t>%</w:t>
            </w:r>
          </w:p>
        </w:tc>
        <w:tc>
          <w:tcPr>
            <w:tcW w:w="464" w:type="pct"/>
            <w:tcBorders>
              <w:bottom w:val="single" w:sz="12" w:space="0" w:color="auto"/>
            </w:tcBorders>
            <w:vAlign w:val="center"/>
          </w:tcPr>
          <w:p w14:paraId="67DFAF38" w14:textId="169482AE" w:rsidR="00D01686" w:rsidRPr="00D01686" w:rsidRDefault="00D01686" w:rsidP="00D01686">
            <w:pPr>
              <w:spacing w:after="0" w:line="240" w:lineRule="auto"/>
              <w:jc w:val="right"/>
              <w:rPr>
                <w:rFonts w:ascii="Arial" w:hAnsi="Arial" w:cs="Arial"/>
                <w:sz w:val="18"/>
                <w:szCs w:val="18"/>
                <w:lang w:val="en-US"/>
              </w:rPr>
            </w:pPr>
            <w:r w:rsidRPr="00D01686">
              <w:rPr>
                <w:rFonts w:ascii="Arial" w:hAnsi="Arial" w:cs="Arial"/>
                <w:sz w:val="18"/>
                <w:szCs w:val="18"/>
                <w:lang w:val="en-US"/>
              </w:rPr>
              <w:t>10,355</w:t>
            </w:r>
          </w:p>
        </w:tc>
        <w:tc>
          <w:tcPr>
            <w:tcW w:w="464" w:type="pct"/>
            <w:tcBorders>
              <w:bottom w:val="single" w:sz="12" w:space="0" w:color="auto"/>
            </w:tcBorders>
            <w:vAlign w:val="center"/>
          </w:tcPr>
          <w:p w14:paraId="0B51D7A1" w14:textId="19880B55" w:rsidR="00D01686" w:rsidRPr="00D01686" w:rsidRDefault="00D01686" w:rsidP="00D01686">
            <w:pPr>
              <w:spacing w:after="0" w:line="240" w:lineRule="auto"/>
              <w:jc w:val="right"/>
              <w:rPr>
                <w:rFonts w:ascii="Arial" w:hAnsi="Arial" w:cs="Arial"/>
                <w:sz w:val="18"/>
                <w:szCs w:val="18"/>
              </w:rPr>
            </w:pPr>
            <w:r w:rsidRPr="00D01686">
              <w:rPr>
                <w:rFonts w:ascii="Arial" w:hAnsi="Arial" w:cs="Arial"/>
                <w:sz w:val="18"/>
                <w:szCs w:val="18"/>
                <w:lang w:val="en-US"/>
              </w:rPr>
              <w:t>-11</w:t>
            </w:r>
            <w:r w:rsidRPr="00D01686">
              <w:rPr>
                <w:rFonts w:ascii="Arial" w:hAnsi="Arial" w:cs="Arial"/>
                <w:sz w:val="18"/>
                <w:szCs w:val="18"/>
              </w:rPr>
              <w:t>%</w:t>
            </w:r>
          </w:p>
        </w:tc>
        <w:tc>
          <w:tcPr>
            <w:tcW w:w="464" w:type="pct"/>
            <w:tcBorders>
              <w:bottom w:val="single" w:sz="12" w:space="0" w:color="auto"/>
            </w:tcBorders>
            <w:shd w:val="clear" w:color="auto" w:fill="auto"/>
            <w:vAlign w:val="center"/>
          </w:tcPr>
          <w:p w14:paraId="5DC9FE9F" w14:textId="6C017B0E"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19,547</w:t>
            </w:r>
          </w:p>
        </w:tc>
        <w:tc>
          <w:tcPr>
            <w:tcW w:w="464" w:type="pct"/>
            <w:tcBorders>
              <w:bottom w:val="single" w:sz="12" w:space="0" w:color="auto"/>
            </w:tcBorders>
            <w:shd w:val="clear" w:color="auto" w:fill="auto"/>
            <w:vAlign w:val="center"/>
          </w:tcPr>
          <w:p w14:paraId="293A1060" w14:textId="54293453"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eastAsia="Times New Roman" w:hAnsi="Arial" w:cs="Arial"/>
                <w:color w:val="000000"/>
                <w:sz w:val="18"/>
                <w:szCs w:val="18"/>
                <w:lang w:val="en-US" w:eastAsia="ru-RU"/>
              </w:rPr>
              <w:t>23,017</w:t>
            </w:r>
          </w:p>
        </w:tc>
        <w:tc>
          <w:tcPr>
            <w:tcW w:w="463" w:type="pct"/>
            <w:tcBorders>
              <w:bottom w:val="single" w:sz="12" w:space="0" w:color="auto"/>
            </w:tcBorders>
            <w:shd w:val="clear" w:color="auto" w:fill="auto"/>
            <w:vAlign w:val="center"/>
          </w:tcPr>
          <w:p w14:paraId="3392FAF5" w14:textId="7EEAE6F8" w:rsidR="00D01686" w:rsidRPr="00D01686" w:rsidRDefault="00D01686" w:rsidP="00D01686">
            <w:pPr>
              <w:spacing w:after="0" w:line="240" w:lineRule="auto"/>
              <w:jc w:val="right"/>
              <w:rPr>
                <w:rFonts w:ascii="Arial" w:eastAsia="Times New Roman" w:hAnsi="Arial" w:cs="Arial"/>
                <w:color w:val="000000"/>
                <w:sz w:val="18"/>
                <w:szCs w:val="18"/>
                <w:lang w:val="en-US" w:eastAsia="ru-RU"/>
              </w:rPr>
            </w:pPr>
            <w:r w:rsidRPr="00D01686">
              <w:rPr>
                <w:rFonts w:ascii="Arial" w:hAnsi="Arial" w:cs="Arial"/>
                <w:sz w:val="18"/>
                <w:szCs w:val="18"/>
                <w:lang w:val="en-US"/>
              </w:rPr>
              <w:t>-15</w:t>
            </w:r>
            <w:r w:rsidRPr="00D01686">
              <w:rPr>
                <w:rFonts w:ascii="Arial" w:hAnsi="Arial" w:cs="Arial"/>
                <w:sz w:val="18"/>
                <w:szCs w:val="18"/>
              </w:rPr>
              <w:t>%</w:t>
            </w:r>
          </w:p>
        </w:tc>
      </w:tr>
    </w:tbl>
    <w:bookmarkEnd w:id="0"/>
    <w:p w14:paraId="2A4B3627" w14:textId="532416E1" w:rsidR="00C57DB6" w:rsidRPr="00113315" w:rsidRDefault="00C57DB6" w:rsidP="00C57DB6">
      <w:pPr>
        <w:rPr>
          <w:rFonts w:ascii="Arial" w:hAnsi="Arial" w:cs="Arial"/>
          <w:i/>
          <w:iCs/>
          <w:sz w:val="14"/>
          <w:szCs w:val="16"/>
          <w:lang w:val="en-US"/>
        </w:rPr>
      </w:pPr>
      <w:r w:rsidRPr="00113315">
        <w:rPr>
          <w:lang w:val="en-US"/>
        </w:rPr>
        <w:t>*</w:t>
      </w:r>
      <w:r w:rsidRPr="00113315">
        <w:rPr>
          <w:rFonts w:ascii="Arial" w:hAnsi="Arial" w:cs="Arial"/>
          <w:i/>
          <w:iCs/>
          <w:sz w:val="14"/>
          <w:szCs w:val="16"/>
          <w:lang w:val="en-US"/>
        </w:rPr>
        <w:t xml:space="preserve"> Average official FX rate for </w:t>
      </w:r>
      <w:r>
        <w:rPr>
          <w:rFonts w:ascii="Arial" w:hAnsi="Arial" w:cs="Arial"/>
          <w:i/>
          <w:iCs/>
          <w:sz w:val="14"/>
          <w:szCs w:val="16"/>
          <w:lang w:val="en-US"/>
        </w:rPr>
        <w:t>Q2 202</w:t>
      </w:r>
      <w:r w:rsidR="00D01686">
        <w:rPr>
          <w:rFonts w:ascii="Arial" w:hAnsi="Arial" w:cs="Arial"/>
          <w:i/>
          <w:iCs/>
          <w:sz w:val="14"/>
          <w:szCs w:val="16"/>
          <w:lang w:val="en-US"/>
        </w:rPr>
        <w:t>2</w:t>
      </w:r>
      <w:r w:rsidRPr="00113315">
        <w:rPr>
          <w:rFonts w:ascii="Arial" w:hAnsi="Arial" w:cs="Arial"/>
          <w:i/>
          <w:iCs/>
          <w:sz w:val="14"/>
          <w:szCs w:val="16"/>
          <w:lang w:val="en-US"/>
        </w:rPr>
        <w:t xml:space="preserve"> UAH/US$ </w:t>
      </w:r>
      <w:r w:rsidR="00D01686">
        <w:rPr>
          <w:rFonts w:ascii="Arial" w:hAnsi="Arial" w:cs="Arial"/>
          <w:i/>
          <w:iCs/>
          <w:sz w:val="14"/>
          <w:szCs w:val="16"/>
          <w:lang w:val="en-US"/>
        </w:rPr>
        <w:t>29.25</w:t>
      </w:r>
      <w:r>
        <w:rPr>
          <w:rFonts w:ascii="Arial" w:hAnsi="Arial" w:cs="Arial"/>
          <w:i/>
          <w:iCs/>
          <w:sz w:val="14"/>
          <w:szCs w:val="16"/>
          <w:lang w:val="en-US"/>
        </w:rPr>
        <w:t xml:space="preserve"> </w:t>
      </w:r>
      <w:r w:rsidRPr="00113315">
        <w:rPr>
          <w:rFonts w:ascii="Arial" w:hAnsi="Arial" w:cs="Arial"/>
          <w:i/>
          <w:iCs/>
          <w:sz w:val="14"/>
          <w:szCs w:val="16"/>
          <w:lang w:val="en-US"/>
        </w:rPr>
        <w:t xml:space="preserve">and for </w:t>
      </w:r>
      <w:r>
        <w:rPr>
          <w:rFonts w:ascii="Arial" w:hAnsi="Arial" w:cs="Arial"/>
          <w:i/>
          <w:iCs/>
          <w:sz w:val="14"/>
          <w:szCs w:val="16"/>
          <w:lang w:val="en-US"/>
        </w:rPr>
        <w:t>Q2 2021</w:t>
      </w:r>
      <w:r w:rsidRPr="00113315">
        <w:rPr>
          <w:rFonts w:ascii="Arial" w:hAnsi="Arial" w:cs="Arial"/>
          <w:i/>
          <w:iCs/>
          <w:sz w:val="14"/>
          <w:szCs w:val="16"/>
          <w:lang w:val="en-US"/>
        </w:rPr>
        <w:t xml:space="preserve"> UAH/US$ </w:t>
      </w:r>
      <w:r>
        <w:rPr>
          <w:rFonts w:ascii="Arial" w:hAnsi="Arial" w:cs="Arial"/>
          <w:i/>
          <w:iCs/>
          <w:sz w:val="14"/>
          <w:szCs w:val="16"/>
          <w:lang w:val="en-US"/>
        </w:rPr>
        <w:t>27.59</w:t>
      </w:r>
    </w:p>
    <w:p w14:paraId="22693A5B" w14:textId="09CB9117" w:rsidR="00C57DB6" w:rsidRDefault="00C57DB6" w:rsidP="00C57DB6">
      <w:pPr>
        <w:rPr>
          <w:rFonts w:ascii="Arial" w:hAnsi="Arial" w:cs="Arial"/>
          <w:i/>
          <w:iCs/>
          <w:sz w:val="14"/>
          <w:szCs w:val="16"/>
          <w:lang w:val="en-US"/>
        </w:rPr>
      </w:pPr>
      <w:r w:rsidRPr="00113315">
        <w:rPr>
          <w:lang w:val="en-US"/>
        </w:rPr>
        <w:t xml:space="preserve">  </w:t>
      </w:r>
      <w:r w:rsidRPr="00113315">
        <w:rPr>
          <w:rFonts w:ascii="Arial" w:hAnsi="Arial" w:cs="Arial"/>
          <w:i/>
          <w:iCs/>
          <w:sz w:val="14"/>
          <w:szCs w:val="16"/>
          <w:lang w:val="en-US"/>
        </w:rPr>
        <w:t xml:space="preserve"> Average official FX rate for </w:t>
      </w:r>
      <w:r>
        <w:rPr>
          <w:rFonts w:ascii="Arial" w:hAnsi="Arial" w:cs="Arial"/>
          <w:i/>
          <w:iCs/>
          <w:sz w:val="14"/>
          <w:szCs w:val="16"/>
          <w:lang w:val="en-US"/>
        </w:rPr>
        <w:t>H1 202</w:t>
      </w:r>
      <w:r w:rsidR="00D01686">
        <w:rPr>
          <w:rFonts w:ascii="Arial" w:hAnsi="Arial" w:cs="Arial"/>
          <w:i/>
          <w:iCs/>
          <w:sz w:val="14"/>
          <w:szCs w:val="16"/>
          <w:lang w:val="en-US"/>
        </w:rPr>
        <w:t>2</w:t>
      </w:r>
      <w:r>
        <w:rPr>
          <w:rFonts w:ascii="Arial" w:hAnsi="Arial" w:cs="Arial"/>
          <w:i/>
          <w:iCs/>
          <w:sz w:val="14"/>
          <w:szCs w:val="16"/>
          <w:lang w:val="en-US"/>
        </w:rPr>
        <w:t xml:space="preserve"> UAH/US$ </w:t>
      </w:r>
      <w:r w:rsidR="00D01686">
        <w:rPr>
          <w:rFonts w:ascii="Arial" w:hAnsi="Arial" w:cs="Arial"/>
          <w:i/>
          <w:iCs/>
          <w:sz w:val="14"/>
          <w:szCs w:val="16"/>
          <w:lang w:val="en-US"/>
        </w:rPr>
        <w:t>28.90</w:t>
      </w:r>
      <w:r>
        <w:rPr>
          <w:rFonts w:ascii="Arial" w:hAnsi="Arial" w:cs="Arial"/>
          <w:i/>
          <w:iCs/>
          <w:sz w:val="14"/>
          <w:szCs w:val="16"/>
          <w:lang w:val="en-US"/>
        </w:rPr>
        <w:t xml:space="preserve"> </w:t>
      </w:r>
      <w:r w:rsidRPr="00113315">
        <w:rPr>
          <w:rFonts w:ascii="Arial" w:hAnsi="Arial" w:cs="Arial"/>
          <w:i/>
          <w:iCs/>
          <w:sz w:val="14"/>
          <w:szCs w:val="16"/>
          <w:lang w:val="en-US"/>
        </w:rPr>
        <w:t xml:space="preserve">and for </w:t>
      </w:r>
      <w:r>
        <w:rPr>
          <w:rFonts w:ascii="Arial" w:hAnsi="Arial" w:cs="Arial"/>
          <w:i/>
          <w:iCs/>
          <w:sz w:val="14"/>
          <w:szCs w:val="16"/>
          <w:lang w:val="en-US"/>
        </w:rPr>
        <w:t>H1 2021 UAH/US$ 27.78</w:t>
      </w:r>
    </w:p>
    <w:p w14:paraId="6189CB43" w14:textId="29FD3841" w:rsidR="00D01686" w:rsidRPr="00113315" w:rsidRDefault="00D01686" w:rsidP="00C57DB6">
      <w:pPr>
        <w:rPr>
          <w:rFonts w:ascii="Arial" w:hAnsi="Arial" w:cs="Arial"/>
          <w:i/>
          <w:iCs/>
          <w:sz w:val="14"/>
          <w:szCs w:val="16"/>
          <w:lang w:val="en-US"/>
        </w:rPr>
      </w:pPr>
    </w:p>
    <w:p w14:paraId="39F073C6" w14:textId="77777777" w:rsidR="00C57DB6" w:rsidRPr="00F05E59" w:rsidRDefault="00C57DB6" w:rsidP="00C57DB6">
      <w:pPr>
        <w:pStyle w:val="c3"/>
        <w:jc w:val="both"/>
        <w:rPr>
          <w:b/>
          <w:sz w:val="22"/>
          <w:szCs w:val="22"/>
          <w:lang w:val="en-US"/>
        </w:rPr>
      </w:pPr>
      <w:r w:rsidRPr="00F05E59">
        <w:rPr>
          <w:b/>
          <w:sz w:val="22"/>
          <w:szCs w:val="22"/>
          <w:lang w:val="en-US"/>
        </w:rPr>
        <w:t>Poultry Prices</w:t>
      </w:r>
    </w:p>
    <w:p w14:paraId="58964E0B" w14:textId="2013A3EA" w:rsidR="00C57DB6" w:rsidRPr="00D01686" w:rsidRDefault="00C57DB6" w:rsidP="00C57DB6">
      <w:pPr>
        <w:pStyle w:val="c3"/>
        <w:jc w:val="both"/>
        <w:rPr>
          <w:color w:val="000000" w:themeColor="text1"/>
          <w:sz w:val="20"/>
          <w:szCs w:val="20"/>
          <w:lang w:val="en-US"/>
        </w:rPr>
      </w:pPr>
      <w:r w:rsidRPr="00D01686">
        <w:rPr>
          <w:color w:val="000000" w:themeColor="text1"/>
          <w:sz w:val="20"/>
          <w:szCs w:val="20"/>
        </w:rPr>
        <w:t>Through the</w:t>
      </w:r>
      <w:r w:rsidRPr="00D01686">
        <w:rPr>
          <w:color w:val="000000" w:themeColor="text1"/>
          <w:sz w:val="20"/>
          <w:szCs w:val="20"/>
          <w:lang w:val="en-US"/>
        </w:rPr>
        <w:t xml:space="preserve"> second quarter of 202</w:t>
      </w:r>
      <w:r w:rsidR="00D01686">
        <w:rPr>
          <w:color w:val="000000" w:themeColor="text1"/>
          <w:sz w:val="20"/>
          <w:szCs w:val="20"/>
          <w:lang w:val="en-US"/>
        </w:rPr>
        <w:t>2</w:t>
      </w:r>
      <w:r w:rsidRPr="00D01686">
        <w:rPr>
          <w:color w:val="000000" w:themeColor="text1"/>
          <w:sz w:val="20"/>
          <w:szCs w:val="20"/>
        </w:rPr>
        <w:t xml:space="preserve"> the average chicken meat pric</w:t>
      </w:r>
      <w:r w:rsidR="00D76771">
        <w:rPr>
          <w:color w:val="000000" w:themeColor="text1"/>
          <w:sz w:val="20"/>
          <w:szCs w:val="20"/>
        </w:rPr>
        <w:t>e (including culinary products)</w:t>
      </w:r>
      <w:r w:rsidRPr="00D01686">
        <w:rPr>
          <w:color w:val="000000" w:themeColor="text1"/>
          <w:sz w:val="20"/>
          <w:szCs w:val="20"/>
        </w:rPr>
        <w:t xml:space="preserve"> constituted US$ </w:t>
      </w:r>
      <w:r w:rsidR="00F249FA">
        <w:rPr>
          <w:color w:val="000000" w:themeColor="text1"/>
          <w:sz w:val="20"/>
          <w:szCs w:val="20"/>
          <w:lang w:val="uk-UA"/>
        </w:rPr>
        <w:t>2.0</w:t>
      </w:r>
      <w:r w:rsidR="007931BB">
        <w:rPr>
          <w:color w:val="000000" w:themeColor="text1"/>
          <w:sz w:val="20"/>
          <w:szCs w:val="20"/>
          <w:lang w:val="en-US"/>
        </w:rPr>
        <w:t>3</w:t>
      </w:r>
      <w:r w:rsidRPr="00D01686">
        <w:rPr>
          <w:color w:val="000000" w:themeColor="text1"/>
          <w:sz w:val="20"/>
          <w:szCs w:val="20"/>
        </w:rPr>
        <w:t xml:space="preserve"> per 1 kg </w:t>
      </w:r>
      <w:r w:rsidRPr="00D01686">
        <w:rPr>
          <w:color w:val="000000" w:themeColor="text1"/>
          <w:sz w:val="20"/>
          <w:szCs w:val="20"/>
          <w:lang w:val="en-US"/>
        </w:rPr>
        <w:t xml:space="preserve">of natural weight (excluding VAT), which increased by </w:t>
      </w:r>
      <w:r w:rsidR="00F249FA">
        <w:rPr>
          <w:color w:val="000000" w:themeColor="text1"/>
          <w:sz w:val="20"/>
          <w:szCs w:val="20"/>
          <w:lang w:val="uk-UA"/>
        </w:rPr>
        <w:t>2</w:t>
      </w:r>
      <w:r w:rsidR="007931BB">
        <w:rPr>
          <w:color w:val="000000" w:themeColor="text1"/>
          <w:sz w:val="20"/>
          <w:szCs w:val="20"/>
          <w:lang w:val="en-US"/>
        </w:rPr>
        <w:t>2</w:t>
      </w:r>
      <w:r w:rsidRPr="00D01686">
        <w:rPr>
          <w:color w:val="000000" w:themeColor="text1"/>
          <w:sz w:val="20"/>
          <w:szCs w:val="20"/>
          <w:lang w:val="en-US"/>
        </w:rPr>
        <w:t>% year-on-year; in H1 202</w:t>
      </w:r>
      <w:r w:rsidR="00D76771">
        <w:rPr>
          <w:color w:val="000000" w:themeColor="text1"/>
          <w:sz w:val="20"/>
          <w:szCs w:val="20"/>
          <w:lang w:val="en-US"/>
        </w:rPr>
        <w:t>2</w:t>
      </w:r>
      <w:r w:rsidRPr="00D01686">
        <w:rPr>
          <w:color w:val="000000" w:themeColor="text1"/>
          <w:sz w:val="20"/>
          <w:szCs w:val="20"/>
          <w:lang w:val="en-US"/>
        </w:rPr>
        <w:t xml:space="preserve"> the average chicken meat price increased by </w:t>
      </w:r>
      <w:r w:rsidR="00D76771">
        <w:rPr>
          <w:color w:val="000000" w:themeColor="text1"/>
          <w:sz w:val="20"/>
          <w:szCs w:val="20"/>
          <w:lang w:val="en-US"/>
        </w:rPr>
        <w:t>2</w:t>
      </w:r>
      <w:r w:rsidR="007931BB">
        <w:rPr>
          <w:color w:val="000000" w:themeColor="text1"/>
          <w:sz w:val="20"/>
          <w:szCs w:val="20"/>
          <w:lang w:val="en-US"/>
        </w:rPr>
        <w:t>4</w:t>
      </w:r>
      <w:r w:rsidRPr="00D01686">
        <w:rPr>
          <w:color w:val="000000" w:themeColor="text1"/>
          <w:sz w:val="20"/>
          <w:szCs w:val="20"/>
          <w:lang w:val="en-US"/>
        </w:rPr>
        <w:t>% year-on-year to US$ 1.</w:t>
      </w:r>
      <w:r w:rsidR="00FD6D17">
        <w:rPr>
          <w:color w:val="000000" w:themeColor="text1"/>
          <w:sz w:val="20"/>
          <w:szCs w:val="20"/>
          <w:lang w:val="en-US"/>
        </w:rPr>
        <w:t>9</w:t>
      </w:r>
      <w:r w:rsidR="007931BB">
        <w:rPr>
          <w:color w:val="000000" w:themeColor="text1"/>
          <w:sz w:val="20"/>
          <w:szCs w:val="20"/>
          <w:lang w:val="en-US"/>
        </w:rPr>
        <w:t>3</w:t>
      </w:r>
      <w:r w:rsidRPr="00D01686">
        <w:rPr>
          <w:color w:val="000000" w:themeColor="text1"/>
          <w:sz w:val="20"/>
          <w:szCs w:val="20"/>
          <w:lang w:val="en-US"/>
        </w:rPr>
        <w:t xml:space="preserve"> </w:t>
      </w:r>
      <w:r w:rsidRPr="00D01686">
        <w:rPr>
          <w:color w:val="000000" w:themeColor="text1"/>
          <w:sz w:val="20"/>
          <w:szCs w:val="20"/>
        </w:rPr>
        <w:t>per 1 kg</w:t>
      </w:r>
      <w:r w:rsidR="00D879F7">
        <w:rPr>
          <w:color w:val="000000" w:themeColor="text1"/>
          <w:sz w:val="20"/>
          <w:szCs w:val="20"/>
        </w:rPr>
        <w:t>, driven</w:t>
      </w:r>
      <w:r w:rsidR="00333DD3">
        <w:rPr>
          <w:color w:val="000000" w:themeColor="text1"/>
          <w:sz w:val="20"/>
          <w:szCs w:val="20"/>
        </w:rPr>
        <w:t xml:space="preserve"> mainly by growth in Q1 2022</w:t>
      </w:r>
      <w:r w:rsidR="00156C14">
        <w:rPr>
          <w:color w:val="000000" w:themeColor="text1"/>
          <w:sz w:val="20"/>
          <w:szCs w:val="20"/>
        </w:rPr>
        <w:t>.</w:t>
      </w:r>
      <w:r w:rsidR="00333DD3">
        <w:rPr>
          <w:color w:val="000000" w:themeColor="text1"/>
          <w:sz w:val="20"/>
          <w:szCs w:val="20"/>
        </w:rPr>
        <w:t xml:space="preserve"> </w:t>
      </w:r>
    </w:p>
    <w:p w14:paraId="193CD10B" w14:textId="71993377" w:rsidR="00C57DB6" w:rsidRPr="00D01686" w:rsidRDefault="00C57DB6" w:rsidP="00C57DB6">
      <w:pPr>
        <w:pStyle w:val="c3"/>
        <w:jc w:val="both"/>
        <w:rPr>
          <w:color w:val="000000" w:themeColor="text1"/>
          <w:sz w:val="20"/>
          <w:szCs w:val="20"/>
          <w:lang w:val="en-US"/>
        </w:rPr>
      </w:pPr>
      <w:r w:rsidRPr="00D01686">
        <w:rPr>
          <w:color w:val="000000" w:themeColor="text1"/>
          <w:sz w:val="20"/>
          <w:szCs w:val="20"/>
          <w:lang w:val="en-US"/>
        </w:rPr>
        <w:t>Poultry prices in Ukraine in Q2 202</w:t>
      </w:r>
      <w:r w:rsidR="00FD6D17">
        <w:rPr>
          <w:color w:val="000000" w:themeColor="text1"/>
          <w:sz w:val="20"/>
          <w:szCs w:val="20"/>
          <w:lang w:val="en-US"/>
        </w:rPr>
        <w:t>2</w:t>
      </w:r>
      <w:r w:rsidRPr="00D01686">
        <w:rPr>
          <w:color w:val="000000" w:themeColor="text1"/>
          <w:sz w:val="20"/>
          <w:szCs w:val="20"/>
          <w:lang w:val="en-US"/>
        </w:rPr>
        <w:t xml:space="preserve"> </w:t>
      </w:r>
      <w:r w:rsidR="00FD6D17">
        <w:rPr>
          <w:color w:val="000000" w:themeColor="text1"/>
          <w:sz w:val="20"/>
          <w:szCs w:val="20"/>
          <w:lang w:val="en-US"/>
        </w:rPr>
        <w:t>de</w:t>
      </w:r>
      <w:r w:rsidRPr="00D01686">
        <w:rPr>
          <w:color w:val="000000" w:themeColor="text1"/>
          <w:sz w:val="20"/>
          <w:szCs w:val="20"/>
          <w:lang w:val="en-US"/>
        </w:rPr>
        <w:t xml:space="preserve">creased by </w:t>
      </w:r>
      <w:r w:rsidR="00FD6D17">
        <w:rPr>
          <w:color w:val="000000" w:themeColor="text1"/>
          <w:sz w:val="20"/>
          <w:szCs w:val="20"/>
          <w:lang w:val="en-US"/>
        </w:rPr>
        <w:t>12</w:t>
      </w:r>
      <w:r w:rsidRPr="00D01686">
        <w:rPr>
          <w:color w:val="000000" w:themeColor="text1"/>
          <w:sz w:val="20"/>
          <w:szCs w:val="20"/>
          <w:lang w:val="en-US"/>
        </w:rPr>
        <w:t>% to US$ 1.</w:t>
      </w:r>
      <w:r w:rsidR="00FD6D17">
        <w:rPr>
          <w:color w:val="000000" w:themeColor="text1"/>
          <w:sz w:val="20"/>
          <w:szCs w:val="20"/>
          <w:lang w:val="en-US"/>
        </w:rPr>
        <w:t>4</w:t>
      </w:r>
      <w:r w:rsidRPr="00D01686">
        <w:rPr>
          <w:color w:val="000000" w:themeColor="text1"/>
          <w:sz w:val="20"/>
          <w:szCs w:val="20"/>
          <w:lang w:val="en-US"/>
        </w:rPr>
        <w:t xml:space="preserve">3 per 1 kg mainly driven by lower share in sales of </w:t>
      </w:r>
      <w:r w:rsidR="00BB3320">
        <w:rPr>
          <w:color w:val="000000" w:themeColor="text1"/>
          <w:sz w:val="20"/>
          <w:szCs w:val="20"/>
          <w:lang w:val="en-US"/>
        </w:rPr>
        <w:t>chilled</w:t>
      </w:r>
      <w:r w:rsidRPr="00D01686">
        <w:rPr>
          <w:color w:val="000000" w:themeColor="text1"/>
          <w:sz w:val="20"/>
          <w:szCs w:val="20"/>
          <w:lang w:val="en-US"/>
        </w:rPr>
        <w:t xml:space="preserve"> </w:t>
      </w:r>
      <w:r w:rsidR="00BB3320">
        <w:rPr>
          <w:color w:val="000000" w:themeColor="text1"/>
          <w:sz w:val="20"/>
          <w:szCs w:val="20"/>
          <w:lang w:val="en-US"/>
        </w:rPr>
        <w:t>meat a</w:t>
      </w:r>
      <w:r w:rsidR="00D879F7">
        <w:rPr>
          <w:color w:val="000000" w:themeColor="text1"/>
          <w:sz w:val="20"/>
          <w:szCs w:val="20"/>
          <w:lang w:val="en-US"/>
        </w:rPr>
        <w:t>s well as</w:t>
      </w:r>
      <w:r w:rsidR="00BB3320">
        <w:rPr>
          <w:color w:val="000000" w:themeColor="text1"/>
          <w:sz w:val="20"/>
          <w:szCs w:val="20"/>
          <w:lang w:val="en-US"/>
        </w:rPr>
        <w:t xml:space="preserve"> product mix structure.</w:t>
      </w:r>
      <w:r w:rsidRPr="00D01686">
        <w:rPr>
          <w:color w:val="000000" w:themeColor="text1"/>
          <w:sz w:val="20"/>
          <w:szCs w:val="20"/>
          <w:lang w:val="en-US"/>
        </w:rPr>
        <w:t xml:space="preserve"> </w:t>
      </w:r>
    </w:p>
    <w:p w14:paraId="4FBA8BCD" w14:textId="732BE469" w:rsidR="00C57DB6" w:rsidRPr="00D01686" w:rsidRDefault="00C57DB6" w:rsidP="00C57DB6">
      <w:pPr>
        <w:pStyle w:val="c3"/>
        <w:jc w:val="both"/>
        <w:rPr>
          <w:color w:val="000000" w:themeColor="text1"/>
          <w:sz w:val="20"/>
          <w:szCs w:val="20"/>
          <w:lang w:val="en-US"/>
        </w:rPr>
      </w:pPr>
      <w:r w:rsidRPr="00D01686">
        <w:rPr>
          <w:color w:val="000000" w:themeColor="text1"/>
          <w:sz w:val="20"/>
          <w:szCs w:val="20"/>
          <w:lang w:val="en-US"/>
        </w:rPr>
        <w:t>Export poultry price in Q2 202</w:t>
      </w:r>
      <w:r w:rsidR="00BB3320">
        <w:rPr>
          <w:color w:val="000000" w:themeColor="text1"/>
          <w:sz w:val="20"/>
          <w:szCs w:val="20"/>
          <w:lang w:val="en-US"/>
        </w:rPr>
        <w:t>2</w:t>
      </w:r>
      <w:r w:rsidRPr="00D01686">
        <w:rPr>
          <w:color w:val="000000" w:themeColor="text1"/>
          <w:sz w:val="20"/>
          <w:szCs w:val="20"/>
          <w:lang w:val="en-US"/>
        </w:rPr>
        <w:t xml:space="preserve"> increased by </w:t>
      </w:r>
      <w:r w:rsidR="00F249FA">
        <w:rPr>
          <w:color w:val="000000" w:themeColor="text1"/>
          <w:sz w:val="20"/>
          <w:szCs w:val="20"/>
          <w:lang w:val="uk-UA"/>
        </w:rPr>
        <w:t>5</w:t>
      </w:r>
      <w:r w:rsidR="007931BB">
        <w:rPr>
          <w:color w:val="000000" w:themeColor="text1"/>
          <w:sz w:val="20"/>
          <w:szCs w:val="20"/>
          <w:lang w:val="en-US"/>
        </w:rPr>
        <w:t>5</w:t>
      </w:r>
      <w:r w:rsidRPr="00D01686">
        <w:rPr>
          <w:color w:val="000000" w:themeColor="text1"/>
          <w:sz w:val="20"/>
          <w:szCs w:val="20"/>
          <w:lang w:val="en-US"/>
        </w:rPr>
        <w:t xml:space="preserve">% year-on-year to US$ </w:t>
      </w:r>
      <w:r w:rsidR="00BB3320">
        <w:rPr>
          <w:color w:val="000000" w:themeColor="text1"/>
          <w:sz w:val="20"/>
          <w:szCs w:val="20"/>
          <w:lang w:val="en-US"/>
        </w:rPr>
        <w:t>2.</w:t>
      </w:r>
      <w:r w:rsidR="00F249FA">
        <w:rPr>
          <w:color w:val="000000" w:themeColor="text1"/>
          <w:sz w:val="20"/>
          <w:szCs w:val="20"/>
          <w:lang w:val="uk-UA"/>
        </w:rPr>
        <w:t>6</w:t>
      </w:r>
      <w:r w:rsidR="007931BB">
        <w:rPr>
          <w:color w:val="000000" w:themeColor="text1"/>
          <w:sz w:val="20"/>
          <w:szCs w:val="20"/>
          <w:lang w:val="en-US"/>
        </w:rPr>
        <w:t>3</w:t>
      </w:r>
      <w:r w:rsidRPr="00D01686">
        <w:rPr>
          <w:color w:val="000000" w:themeColor="text1"/>
          <w:sz w:val="20"/>
          <w:szCs w:val="20"/>
          <w:lang w:val="en-US"/>
        </w:rPr>
        <w:t xml:space="preserve"> per 1 kg, mainly driven </w:t>
      </w:r>
      <w:r w:rsidR="00156C14">
        <w:rPr>
          <w:color w:val="000000" w:themeColor="text1"/>
          <w:sz w:val="20"/>
          <w:szCs w:val="20"/>
          <w:lang w:val="en-US"/>
        </w:rPr>
        <w:t>products mix optimization of sales</w:t>
      </w:r>
      <w:r w:rsidR="00156C14" w:rsidRPr="00D01686">
        <w:rPr>
          <w:color w:val="000000" w:themeColor="text1"/>
          <w:sz w:val="20"/>
          <w:szCs w:val="20"/>
          <w:lang w:val="en-US"/>
        </w:rPr>
        <w:t xml:space="preserve"> </w:t>
      </w:r>
      <w:r w:rsidR="00156C14">
        <w:rPr>
          <w:color w:val="000000" w:themeColor="text1"/>
          <w:sz w:val="20"/>
          <w:szCs w:val="20"/>
          <w:lang w:val="en-US"/>
        </w:rPr>
        <w:t xml:space="preserve">as well as </w:t>
      </w:r>
      <w:r w:rsidRPr="00D01686">
        <w:rPr>
          <w:color w:val="000000" w:themeColor="text1"/>
          <w:sz w:val="20"/>
          <w:szCs w:val="20"/>
          <w:lang w:val="en-US"/>
        </w:rPr>
        <w:t xml:space="preserve">by </w:t>
      </w:r>
      <w:r w:rsidR="00BB3320">
        <w:rPr>
          <w:color w:val="000000" w:themeColor="text1"/>
          <w:sz w:val="20"/>
          <w:szCs w:val="20"/>
          <w:lang w:val="en-US"/>
        </w:rPr>
        <w:t>substantial international price increase across all markets</w:t>
      </w:r>
      <w:r w:rsidR="00244462">
        <w:rPr>
          <w:color w:val="000000" w:themeColor="text1"/>
          <w:sz w:val="20"/>
          <w:szCs w:val="20"/>
          <w:lang w:val="uk-UA"/>
        </w:rPr>
        <w:t xml:space="preserve"> (</w:t>
      </w:r>
      <w:r w:rsidR="00244462">
        <w:rPr>
          <w:color w:val="000000" w:themeColor="text1"/>
          <w:sz w:val="20"/>
          <w:szCs w:val="20"/>
          <w:lang w:val="en-US"/>
        </w:rPr>
        <w:t xml:space="preserve">fillets price in the EU and MENA, small </w:t>
      </w:r>
      <w:proofErr w:type="gramStart"/>
      <w:r w:rsidR="00244462">
        <w:rPr>
          <w:color w:val="000000" w:themeColor="text1"/>
          <w:sz w:val="20"/>
          <w:szCs w:val="20"/>
          <w:lang w:val="en-US"/>
        </w:rPr>
        <w:t>birds</w:t>
      </w:r>
      <w:proofErr w:type="gramEnd"/>
      <w:r w:rsidR="00244462">
        <w:rPr>
          <w:color w:val="000000" w:themeColor="text1"/>
          <w:sz w:val="20"/>
          <w:szCs w:val="20"/>
          <w:lang w:val="en-US"/>
        </w:rPr>
        <w:t xml:space="preserve"> price in the MENA)</w:t>
      </w:r>
      <w:r w:rsidRPr="00D01686">
        <w:rPr>
          <w:color w:val="000000" w:themeColor="text1"/>
          <w:sz w:val="20"/>
          <w:szCs w:val="20"/>
          <w:lang w:val="en-US"/>
        </w:rPr>
        <w:t>.</w:t>
      </w:r>
    </w:p>
    <w:p w14:paraId="11E6EBFF" w14:textId="2DB5E3BC" w:rsidR="000B0034" w:rsidRPr="000B0034" w:rsidRDefault="000B0034" w:rsidP="000B0034">
      <w:pPr>
        <w:pStyle w:val="c3"/>
        <w:jc w:val="both"/>
        <w:rPr>
          <w:b/>
          <w:sz w:val="22"/>
          <w:szCs w:val="22"/>
          <w:lang w:val="en-US"/>
        </w:rPr>
      </w:pPr>
      <w:r>
        <w:rPr>
          <w:b/>
          <w:sz w:val="22"/>
          <w:szCs w:val="22"/>
          <w:lang w:val="en-US"/>
        </w:rPr>
        <w:t>Vegetable Oils</w:t>
      </w:r>
    </w:p>
    <w:p w14:paraId="0AA3D92A" w14:textId="23AF1DBE" w:rsidR="00FE3D9F" w:rsidRDefault="00C57DB6" w:rsidP="00C57DB6">
      <w:pPr>
        <w:pStyle w:val="a5"/>
        <w:jc w:val="both"/>
        <w:rPr>
          <w:rFonts w:ascii="Arial" w:hAnsi="Arial" w:cs="Arial"/>
          <w:color w:val="000000" w:themeColor="text1"/>
          <w:sz w:val="20"/>
          <w:szCs w:val="20"/>
          <w:lang w:val="en-US" w:eastAsia="en-GB"/>
        </w:rPr>
      </w:pPr>
      <w:r w:rsidRPr="000B0034">
        <w:rPr>
          <w:rFonts w:ascii="Arial" w:hAnsi="Arial" w:cs="Arial"/>
          <w:color w:val="000000" w:themeColor="text1"/>
          <w:sz w:val="20"/>
          <w:szCs w:val="20"/>
          <w:lang w:val="en-US" w:eastAsia="en-GB"/>
        </w:rPr>
        <w:t xml:space="preserve">MHP’s sales of sunflower oil </w:t>
      </w:r>
      <w:r w:rsidR="00CD0517" w:rsidRPr="000B0034">
        <w:rPr>
          <w:rFonts w:ascii="Arial" w:hAnsi="Arial" w:cs="Arial"/>
          <w:color w:val="000000" w:themeColor="text1"/>
          <w:sz w:val="20"/>
          <w:szCs w:val="20"/>
          <w:lang w:val="en-US" w:eastAsia="en-GB"/>
        </w:rPr>
        <w:t>in</w:t>
      </w:r>
      <w:r w:rsidRPr="000B0034">
        <w:rPr>
          <w:rFonts w:ascii="Arial" w:hAnsi="Arial" w:cs="Arial"/>
          <w:color w:val="000000" w:themeColor="text1"/>
          <w:sz w:val="20"/>
          <w:szCs w:val="20"/>
          <w:lang w:val="en-US" w:eastAsia="en-GB"/>
        </w:rPr>
        <w:t xml:space="preserve">creased </w:t>
      </w:r>
      <w:r w:rsidR="00CD0517" w:rsidRPr="000B0034">
        <w:rPr>
          <w:rFonts w:ascii="Arial" w:hAnsi="Arial" w:cs="Arial"/>
          <w:color w:val="000000" w:themeColor="text1"/>
          <w:sz w:val="20"/>
          <w:szCs w:val="20"/>
          <w:lang w:val="en-US" w:eastAsia="en-GB"/>
        </w:rPr>
        <w:t>by 38</w:t>
      </w:r>
      <w:r w:rsidRPr="000B0034">
        <w:rPr>
          <w:rFonts w:ascii="Arial" w:hAnsi="Arial" w:cs="Arial"/>
          <w:color w:val="000000" w:themeColor="text1"/>
          <w:sz w:val="20"/>
          <w:szCs w:val="20"/>
          <w:lang w:val="en-US" w:eastAsia="en-GB"/>
        </w:rPr>
        <w:t xml:space="preserve">% </w:t>
      </w:r>
      <w:r w:rsidR="00CD0517" w:rsidRPr="000B0034">
        <w:rPr>
          <w:rFonts w:ascii="Arial" w:hAnsi="Arial" w:cs="Arial"/>
          <w:color w:val="000000" w:themeColor="text1"/>
          <w:sz w:val="20"/>
          <w:szCs w:val="20"/>
          <w:lang w:val="en-US" w:eastAsia="en-GB"/>
        </w:rPr>
        <w:t>to 48,495</w:t>
      </w:r>
      <w:r w:rsidRPr="000B0034">
        <w:rPr>
          <w:rFonts w:ascii="Arial" w:hAnsi="Arial" w:cs="Arial"/>
          <w:color w:val="000000" w:themeColor="text1"/>
          <w:sz w:val="20"/>
          <w:szCs w:val="20"/>
          <w:lang w:val="en-US" w:eastAsia="en-GB"/>
        </w:rPr>
        <w:t xml:space="preserve"> </w:t>
      </w:r>
      <w:proofErr w:type="spellStart"/>
      <w:r w:rsidRPr="000B0034">
        <w:rPr>
          <w:rFonts w:ascii="Arial" w:hAnsi="Arial" w:cs="Arial"/>
          <w:color w:val="000000" w:themeColor="text1"/>
          <w:sz w:val="20"/>
          <w:szCs w:val="20"/>
          <w:lang w:val="en-US" w:eastAsia="en-GB"/>
        </w:rPr>
        <w:t>tonnes</w:t>
      </w:r>
      <w:proofErr w:type="spellEnd"/>
      <w:r w:rsidR="00CD0517" w:rsidRPr="000B0034">
        <w:rPr>
          <w:rFonts w:ascii="Arial" w:hAnsi="Arial" w:cs="Arial"/>
          <w:color w:val="000000" w:themeColor="text1"/>
          <w:sz w:val="20"/>
          <w:szCs w:val="20"/>
          <w:lang w:val="en-US" w:eastAsia="en-GB"/>
        </w:rPr>
        <w:t>, mainly driven by</w:t>
      </w:r>
      <w:r w:rsidR="00FE3D9F">
        <w:rPr>
          <w:rFonts w:ascii="Arial" w:hAnsi="Arial" w:cs="Arial"/>
          <w:color w:val="000000" w:themeColor="text1"/>
          <w:sz w:val="20"/>
          <w:szCs w:val="20"/>
          <w:lang w:val="en-US" w:eastAsia="en-GB"/>
        </w:rPr>
        <w:t xml:space="preserve"> an increase in production of sunflower cake (change in the recipe), which was lower in Q2 2021 (fodder recipe was based more on soyabean cake).</w:t>
      </w:r>
      <w:r w:rsidRPr="000B0034">
        <w:rPr>
          <w:rFonts w:ascii="Arial" w:hAnsi="Arial" w:cs="Arial"/>
          <w:color w:val="000000" w:themeColor="text1"/>
          <w:sz w:val="20"/>
          <w:szCs w:val="20"/>
          <w:lang w:val="en-US" w:eastAsia="en-GB"/>
        </w:rPr>
        <w:t xml:space="preserve"> </w:t>
      </w:r>
    </w:p>
    <w:p w14:paraId="7B8985DF" w14:textId="77777777" w:rsidR="00FE3D9F" w:rsidRDefault="00FE3D9F" w:rsidP="00C57DB6">
      <w:pPr>
        <w:pStyle w:val="a5"/>
        <w:jc w:val="both"/>
        <w:rPr>
          <w:rFonts w:ascii="Arial" w:hAnsi="Arial" w:cs="Arial"/>
          <w:color w:val="000000" w:themeColor="text1"/>
          <w:sz w:val="20"/>
          <w:szCs w:val="20"/>
          <w:lang w:val="en-US" w:eastAsia="en-GB"/>
        </w:rPr>
      </w:pPr>
    </w:p>
    <w:p w14:paraId="7E3CE8A1" w14:textId="4F0E6E95" w:rsidR="00C57DB6" w:rsidRPr="000B0034" w:rsidRDefault="00C57DB6" w:rsidP="00C57DB6">
      <w:pPr>
        <w:pStyle w:val="a5"/>
        <w:jc w:val="both"/>
        <w:rPr>
          <w:rFonts w:ascii="Arial" w:hAnsi="Arial" w:cs="Arial"/>
          <w:color w:val="000000" w:themeColor="text1"/>
          <w:sz w:val="20"/>
          <w:szCs w:val="20"/>
          <w:lang w:val="en-US" w:eastAsia="en-GB"/>
        </w:rPr>
      </w:pPr>
      <w:r w:rsidRPr="000B0034">
        <w:rPr>
          <w:rFonts w:ascii="Arial" w:hAnsi="Arial" w:cs="Arial"/>
          <w:color w:val="000000" w:themeColor="text1"/>
          <w:sz w:val="20"/>
          <w:szCs w:val="20"/>
          <w:lang w:val="en-US" w:eastAsia="en-GB"/>
        </w:rPr>
        <w:t>In H1 202</w:t>
      </w:r>
      <w:r w:rsidR="00CD0517" w:rsidRPr="000B0034">
        <w:rPr>
          <w:rFonts w:ascii="Arial" w:hAnsi="Arial" w:cs="Arial"/>
          <w:color w:val="000000" w:themeColor="text1"/>
          <w:sz w:val="20"/>
          <w:szCs w:val="20"/>
          <w:lang w:val="en-US" w:eastAsia="en-GB"/>
        </w:rPr>
        <w:t xml:space="preserve">2 </w:t>
      </w:r>
      <w:r w:rsidRPr="000B0034">
        <w:rPr>
          <w:rFonts w:ascii="Arial" w:hAnsi="Arial" w:cs="Arial"/>
          <w:color w:val="000000" w:themeColor="text1"/>
          <w:sz w:val="20"/>
          <w:szCs w:val="20"/>
          <w:lang w:val="en-US" w:eastAsia="en-GB"/>
        </w:rPr>
        <w:t xml:space="preserve">sunflower oil exports decreased by </w:t>
      </w:r>
      <w:r w:rsidR="00CD0517" w:rsidRPr="000B0034">
        <w:rPr>
          <w:rFonts w:ascii="Arial" w:hAnsi="Arial" w:cs="Arial"/>
          <w:color w:val="000000" w:themeColor="text1"/>
          <w:sz w:val="20"/>
          <w:szCs w:val="20"/>
          <w:lang w:val="en-US" w:eastAsia="en-GB"/>
        </w:rPr>
        <w:t>11</w:t>
      </w:r>
      <w:r w:rsidRPr="000B0034">
        <w:rPr>
          <w:rFonts w:ascii="Arial" w:hAnsi="Arial" w:cs="Arial"/>
          <w:color w:val="000000" w:themeColor="text1"/>
          <w:sz w:val="20"/>
          <w:szCs w:val="20"/>
          <w:lang w:val="en-US" w:eastAsia="en-GB"/>
        </w:rPr>
        <w:t>% year-on-yea</w:t>
      </w:r>
      <w:r w:rsidR="00CD0517" w:rsidRPr="000B0034">
        <w:rPr>
          <w:rFonts w:ascii="Arial" w:hAnsi="Arial" w:cs="Arial"/>
          <w:color w:val="000000" w:themeColor="text1"/>
          <w:sz w:val="20"/>
          <w:szCs w:val="20"/>
          <w:lang w:val="en-US" w:eastAsia="en-GB"/>
        </w:rPr>
        <w:t>r to 81,476</w:t>
      </w:r>
      <w:r w:rsidRPr="000B0034">
        <w:rPr>
          <w:rFonts w:ascii="Arial" w:hAnsi="Arial" w:cs="Arial"/>
          <w:color w:val="000000" w:themeColor="text1"/>
          <w:sz w:val="20"/>
          <w:szCs w:val="20"/>
          <w:lang w:val="en-US" w:eastAsia="en-GB"/>
        </w:rPr>
        <w:t xml:space="preserve"> </w:t>
      </w:r>
      <w:proofErr w:type="spellStart"/>
      <w:r w:rsidRPr="000B0034">
        <w:rPr>
          <w:rFonts w:ascii="Arial" w:hAnsi="Arial" w:cs="Arial"/>
          <w:color w:val="000000" w:themeColor="text1"/>
          <w:sz w:val="20"/>
          <w:szCs w:val="20"/>
          <w:lang w:val="en-US" w:eastAsia="en-GB"/>
        </w:rPr>
        <w:t>tonnes</w:t>
      </w:r>
      <w:proofErr w:type="spellEnd"/>
      <w:r w:rsidRPr="000B0034">
        <w:rPr>
          <w:rFonts w:ascii="Arial" w:hAnsi="Arial" w:cs="Arial"/>
          <w:color w:val="000000" w:themeColor="text1"/>
          <w:sz w:val="20"/>
          <w:szCs w:val="20"/>
          <w:lang w:val="en-US" w:eastAsia="en-GB"/>
        </w:rPr>
        <w:t xml:space="preserve">. mainly driven by change in delivery terms </w:t>
      </w:r>
      <w:r w:rsidR="00FE3D9F">
        <w:rPr>
          <w:rFonts w:ascii="Arial" w:hAnsi="Arial" w:cs="Arial"/>
          <w:color w:val="000000" w:themeColor="text1"/>
          <w:sz w:val="20"/>
          <w:szCs w:val="20"/>
          <w:lang w:val="en-US" w:eastAsia="en-GB"/>
        </w:rPr>
        <w:t>because of the challenging logistics</w:t>
      </w:r>
      <w:r w:rsidR="00972D7D">
        <w:rPr>
          <w:rFonts w:ascii="Arial" w:hAnsi="Arial" w:cs="Arial"/>
          <w:color w:val="000000" w:themeColor="text1"/>
          <w:sz w:val="20"/>
          <w:szCs w:val="20"/>
          <w:lang w:val="en-US" w:eastAsia="en-GB"/>
        </w:rPr>
        <w:t xml:space="preserve"> (since March)</w:t>
      </w:r>
      <w:r w:rsidR="00FE3D9F">
        <w:rPr>
          <w:rFonts w:ascii="Arial" w:hAnsi="Arial" w:cs="Arial"/>
          <w:color w:val="000000" w:themeColor="text1"/>
          <w:sz w:val="20"/>
          <w:szCs w:val="20"/>
          <w:lang w:val="en-US" w:eastAsia="en-GB"/>
        </w:rPr>
        <w:t xml:space="preserve">, but partially offset by an increase in production </w:t>
      </w:r>
      <w:r w:rsidR="00972D7D">
        <w:rPr>
          <w:rFonts w:ascii="Arial" w:hAnsi="Arial" w:cs="Arial"/>
          <w:color w:val="000000" w:themeColor="text1"/>
          <w:sz w:val="20"/>
          <w:szCs w:val="20"/>
          <w:lang w:val="en-US" w:eastAsia="en-GB"/>
        </w:rPr>
        <w:t>of sunflower oil in Q2 2022</w:t>
      </w:r>
      <w:r w:rsidRPr="000B0034">
        <w:rPr>
          <w:rFonts w:ascii="Arial" w:hAnsi="Arial" w:cs="Arial"/>
          <w:color w:val="000000" w:themeColor="text1"/>
          <w:sz w:val="20"/>
          <w:szCs w:val="20"/>
          <w:lang w:val="en-US" w:eastAsia="en-GB"/>
        </w:rPr>
        <w:t>.</w:t>
      </w:r>
    </w:p>
    <w:p w14:paraId="01B56F4A" w14:textId="77777777" w:rsidR="00C57DB6" w:rsidRPr="000B0034" w:rsidRDefault="00C57DB6" w:rsidP="00C57DB6">
      <w:pPr>
        <w:pStyle w:val="a5"/>
        <w:jc w:val="both"/>
        <w:rPr>
          <w:rFonts w:ascii="Arial" w:hAnsi="Arial" w:cs="Arial"/>
          <w:color w:val="000000" w:themeColor="text1"/>
          <w:sz w:val="20"/>
          <w:szCs w:val="20"/>
          <w:lang w:val="en-US" w:eastAsia="en-GB"/>
        </w:rPr>
      </w:pPr>
    </w:p>
    <w:p w14:paraId="5251285E" w14:textId="0E978312" w:rsidR="00972D7D" w:rsidRDefault="00C57DB6" w:rsidP="00C57DB6">
      <w:pPr>
        <w:pStyle w:val="a5"/>
        <w:jc w:val="both"/>
        <w:rPr>
          <w:rFonts w:ascii="Arial" w:hAnsi="Arial" w:cs="Arial"/>
          <w:color w:val="000000" w:themeColor="text1"/>
          <w:sz w:val="20"/>
          <w:szCs w:val="20"/>
          <w:lang w:val="en-US" w:eastAsia="en-GB"/>
        </w:rPr>
      </w:pPr>
      <w:r w:rsidRPr="000B0034">
        <w:rPr>
          <w:rFonts w:ascii="Arial" w:hAnsi="Arial" w:cs="Arial"/>
          <w:color w:val="000000" w:themeColor="text1"/>
          <w:sz w:val="20"/>
          <w:szCs w:val="20"/>
          <w:lang w:val="en-US" w:eastAsia="en-GB"/>
        </w:rPr>
        <w:t>In Q</w:t>
      </w:r>
      <w:r w:rsidR="00CD0517" w:rsidRPr="000B0034">
        <w:rPr>
          <w:rFonts w:ascii="Arial" w:hAnsi="Arial" w:cs="Arial"/>
          <w:color w:val="000000" w:themeColor="text1"/>
          <w:sz w:val="20"/>
          <w:szCs w:val="20"/>
          <w:lang w:val="en-US" w:eastAsia="en-GB"/>
        </w:rPr>
        <w:t>2</w:t>
      </w:r>
      <w:r w:rsidRPr="000B0034">
        <w:rPr>
          <w:rFonts w:ascii="Arial" w:hAnsi="Arial" w:cs="Arial"/>
          <w:color w:val="000000" w:themeColor="text1"/>
          <w:sz w:val="20"/>
          <w:szCs w:val="20"/>
          <w:lang w:val="en-US" w:eastAsia="en-GB"/>
        </w:rPr>
        <w:t xml:space="preserve"> 202</w:t>
      </w:r>
      <w:r w:rsidR="00CD0517" w:rsidRPr="000B0034">
        <w:rPr>
          <w:rFonts w:ascii="Arial" w:hAnsi="Arial" w:cs="Arial"/>
          <w:color w:val="000000" w:themeColor="text1"/>
          <w:sz w:val="20"/>
          <w:szCs w:val="20"/>
          <w:lang w:val="en-US" w:eastAsia="en-GB"/>
        </w:rPr>
        <w:t>2</w:t>
      </w:r>
      <w:r w:rsidRPr="000B0034">
        <w:rPr>
          <w:rFonts w:ascii="Arial" w:hAnsi="Arial" w:cs="Arial"/>
          <w:color w:val="000000" w:themeColor="text1"/>
          <w:sz w:val="20"/>
          <w:szCs w:val="20"/>
          <w:lang w:val="en-US" w:eastAsia="en-GB"/>
        </w:rPr>
        <w:t xml:space="preserve">, soybean oil exports </w:t>
      </w:r>
      <w:r w:rsidR="00D01954" w:rsidRPr="000B0034">
        <w:rPr>
          <w:rFonts w:ascii="Arial" w:hAnsi="Arial" w:cs="Arial"/>
          <w:color w:val="000000" w:themeColor="text1"/>
          <w:sz w:val="20"/>
          <w:szCs w:val="20"/>
          <w:lang w:val="en-US" w:eastAsia="en-GB"/>
        </w:rPr>
        <w:t>de</w:t>
      </w:r>
      <w:r w:rsidRPr="000B0034">
        <w:rPr>
          <w:rFonts w:ascii="Arial" w:hAnsi="Arial" w:cs="Arial"/>
          <w:color w:val="000000" w:themeColor="text1"/>
          <w:sz w:val="20"/>
          <w:szCs w:val="20"/>
          <w:lang w:val="en-US" w:eastAsia="en-GB"/>
        </w:rPr>
        <w:t xml:space="preserve">creased by </w:t>
      </w:r>
      <w:r w:rsidR="00D01954" w:rsidRPr="000B0034">
        <w:rPr>
          <w:rFonts w:ascii="Arial" w:hAnsi="Arial" w:cs="Arial"/>
          <w:color w:val="000000" w:themeColor="text1"/>
          <w:sz w:val="20"/>
          <w:szCs w:val="20"/>
          <w:lang w:val="en-US" w:eastAsia="en-GB"/>
        </w:rPr>
        <w:t>23%</w:t>
      </w:r>
      <w:r w:rsidRPr="000B0034">
        <w:rPr>
          <w:rFonts w:ascii="Arial" w:hAnsi="Arial" w:cs="Arial"/>
          <w:color w:val="000000" w:themeColor="text1"/>
          <w:sz w:val="20"/>
          <w:szCs w:val="20"/>
          <w:lang w:val="en-US" w:eastAsia="en-GB"/>
        </w:rPr>
        <w:t xml:space="preserve"> year-on-year to </w:t>
      </w:r>
      <w:r w:rsidR="00D01954" w:rsidRPr="000B0034">
        <w:rPr>
          <w:rFonts w:ascii="Arial" w:hAnsi="Arial" w:cs="Arial"/>
          <w:color w:val="000000" w:themeColor="text1"/>
          <w:sz w:val="20"/>
          <w:szCs w:val="20"/>
          <w:lang w:val="en-US" w:eastAsia="en-GB"/>
        </w:rPr>
        <w:t>9,191</w:t>
      </w:r>
      <w:r w:rsidRPr="000B0034">
        <w:rPr>
          <w:rFonts w:ascii="Arial" w:hAnsi="Arial" w:cs="Arial"/>
          <w:color w:val="000000" w:themeColor="text1"/>
          <w:sz w:val="20"/>
          <w:szCs w:val="20"/>
          <w:lang w:val="en-US" w:eastAsia="en-GB"/>
        </w:rPr>
        <w:t xml:space="preserve"> </w:t>
      </w:r>
      <w:proofErr w:type="spellStart"/>
      <w:r w:rsidRPr="000B0034">
        <w:rPr>
          <w:rFonts w:ascii="Arial" w:hAnsi="Arial" w:cs="Arial"/>
          <w:color w:val="000000" w:themeColor="text1"/>
          <w:sz w:val="20"/>
          <w:szCs w:val="20"/>
          <w:lang w:val="en-US" w:eastAsia="en-GB"/>
        </w:rPr>
        <w:t>tonnes</w:t>
      </w:r>
      <w:proofErr w:type="spellEnd"/>
      <w:r w:rsidR="00972D7D">
        <w:rPr>
          <w:rFonts w:ascii="Arial" w:hAnsi="Arial" w:cs="Arial"/>
          <w:color w:val="000000" w:themeColor="text1"/>
          <w:sz w:val="20"/>
          <w:szCs w:val="20"/>
          <w:lang w:val="en-US" w:eastAsia="en-GB"/>
        </w:rPr>
        <w:t xml:space="preserve"> and in</w:t>
      </w:r>
      <w:r w:rsidR="00972D7D" w:rsidRPr="000B0034">
        <w:rPr>
          <w:rFonts w:ascii="Arial" w:hAnsi="Arial" w:cs="Arial"/>
          <w:color w:val="000000" w:themeColor="text1"/>
          <w:sz w:val="20"/>
          <w:szCs w:val="20"/>
          <w:lang w:val="en-US" w:eastAsia="en-GB"/>
        </w:rPr>
        <w:t xml:space="preserve"> H1 2022 sales decreased by 15% year-on-year to 19,547 </w:t>
      </w:r>
      <w:proofErr w:type="spellStart"/>
      <w:r w:rsidR="00972D7D" w:rsidRPr="000B0034">
        <w:rPr>
          <w:rFonts w:ascii="Arial" w:hAnsi="Arial" w:cs="Arial"/>
          <w:color w:val="000000" w:themeColor="text1"/>
          <w:sz w:val="20"/>
          <w:szCs w:val="20"/>
          <w:lang w:val="en-US" w:eastAsia="en-GB"/>
        </w:rPr>
        <w:t>tonnes</w:t>
      </w:r>
      <w:proofErr w:type="spellEnd"/>
      <w:r w:rsidR="00972D7D" w:rsidRPr="000B0034">
        <w:rPr>
          <w:rFonts w:ascii="Arial" w:hAnsi="Arial" w:cs="Arial"/>
          <w:color w:val="000000" w:themeColor="text1"/>
          <w:sz w:val="20"/>
          <w:szCs w:val="20"/>
          <w:lang w:val="en-US" w:eastAsia="en-GB"/>
        </w:rPr>
        <w:t xml:space="preserve"> </w:t>
      </w:r>
      <w:proofErr w:type="gramStart"/>
      <w:r w:rsidR="00972D7D">
        <w:rPr>
          <w:rFonts w:ascii="Arial" w:hAnsi="Arial" w:cs="Arial"/>
          <w:color w:val="000000" w:themeColor="text1"/>
          <w:sz w:val="20"/>
          <w:szCs w:val="20"/>
          <w:lang w:val="en-US" w:eastAsia="en-GB"/>
        </w:rPr>
        <w:t>as a result of</w:t>
      </w:r>
      <w:proofErr w:type="gramEnd"/>
      <w:r w:rsidR="00972D7D">
        <w:rPr>
          <w:rFonts w:ascii="Arial" w:hAnsi="Arial" w:cs="Arial"/>
          <w:color w:val="000000" w:themeColor="text1"/>
          <w:sz w:val="20"/>
          <w:szCs w:val="20"/>
          <w:lang w:val="en-US" w:eastAsia="en-GB"/>
        </w:rPr>
        <w:t xml:space="preserve"> lower production volume of soyabean cake required for the fodder recipe substituted by sunflower cake (mainly in Q2 2022) and challenges associated with export </w:t>
      </w:r>
      <w:proofErr w:type="spellStart"/>
      <w:r w:rsidR="00972D7D">
        <w:rPr>
          <w:rFonts w:ascii="Arial" w:hAnsi="Arial" w:cs="Arial"/>
          <w:color w:val="000000" w:themeColor="text1"/>
          <w:sz w:val="20"/>
          <w:szCs w:val="20"/>
          <w:lang w:val="en-US" w:eastAsia="en-GB"/>
        </w:rPr>
        <w:t>logictics</w:t>
      </w:r>
      <w:proofErr w:type="spellEnd"/>
      <w:r w:rsidR="00972D7D">
        <w:rPr>
          <w:rFonts w:ascii="Arial" w:hAnsi="Arial" w:cs="Arial"/>
          <w:color w:val="000000" w:themeColor="text1"/>
          <w:sz w:val="20"/>
          <w:szCs w:val="20"/>
          <w:lang w:val="en-US" w:eastAsia="en-GB"/>
        </w:rPr>
        <w:t xml:space="preserve"> because of the war in Ukraine.</w:t>
      </w:r>
    </w:p>
    <w:p w14:paraId="658C0C13" w14:textId="48B81A21" w:rsidR="002816CA" w:rsidRDefault="002816CA" w:rsidP="00C57DB6">
      <w:pPr>
        <w:pStyle w:val="a5"/>
        <w:jc w:val="both"/>
        <w:rPr>
          <w:rFonts w:ascii="Arial" w:hAnsi="Arial" w:cs="Arial"/>
          <w:color w:val="000000" w:themeColor="text1"/>
          <w:sz w:val="20"/>
          <w:szCs w:val="20"/>
          <w:lang w:val="en-US" w:eastAsia="en-GB"/>
        </w:rPr>
      </w:pPr>
    </w:p>
    <w:p w14:paraId="00CB4570" w14:textId="77777777" w:rsidR="002816CA" w:rsidRPr="008D43AD" w:rsidRDefault="002816CA" w:rsidP="002816CA">
      <w:pPr>
        <w:pStyle w:val="a5"/>
        <w:jc w:val="both"/>
        <w:rPr>
          <w:rFonts w:ascii="Arial" w:hAnsi="Arial" w:cs="Arial"/>
          <w:sz w:val="20"/>
          <w:szCs w:val="20"/>
          <w:lang w:val="uk-UA" w:eastAsia="ru-RU"/>
        </w:rPr>
      </w:pPr>
      <w:r>
        <w:rPr>
          <w:rFonts w:ascii="Arial" w:hAnsi="Arial" w:cs="Arial"/>
          <w:sz w:val="20"/>
          <w:szCs w:val="20"/>
          <w:lang w:val="en-US" w:eastAsia="ru-RU"/>
        </w:rPr>
        <w:lastRenderedPageBreak/>
        <w:t xml:space="preserve">Since the beginning of the war exports of vegetable oils were substantially limited. As of today, MHP team is undertaking all possible and necessary steps to continue exports of vegetable oils using EU ports, </w:t>
      </w:r>
      <w:proofErr w:type="gramStart"/>
      <w:r>
        <w:rPr>
          <w:rFonts w:ascii="Arial" w:hAnsi="Arial" w:cs="Arial"/>
          <w:sz w:val="20"/>
          <w:szCs w:val="20"/>
          <w:lang w:val="en-US" w:eastAsia="ru-RU"/>
        </w:rPr>
        <w:t>railways</w:t>
      </w:r>
      <w:proofErr w:type="gramEnd"/>
      <w:r>
        <w:rPr>
          <w:rFonts w:ascii="Arial" w:hAnsi="Arial" w:cs="Arial"/>
          <w:sz w:val="20"/>
          <w:szCs w:val="20"/>
          <w:lang w:val="en-US" w:eastAsia="ru-RU"/>
        </w:rPr>
        <w:t xml:space="preserve"> and trucks (flexy tanks/containers).</w:t>
      </w:r>
    </w:p>
    <w:p w14:paraId="5B031C06" w14:textId="77777777" w:rsidR="00972D7D" w:rsidRDefault="00972D7D" w:rsidP="00C57DB6">
      <w:pPr>
        <w:pStyle w:val="a5"/>
        <w:jc w:val="both"/>
        <w:rPr>
          <w:rFonts w:ascii="Arial" w:hAnsi="Arial" w:cs="Arial"/>
          <w:color w:val="000000" w:themeColor="text1"/>
          <w:sz w:val="20"/>
          <w:szCs w:val="20"/>
          <w:lang w:val="en-US" w:eastAsia="en-GB"/>
        </w:rPr>
      </w:pPr>
    </w:p>
    <w:p w14:paraId="5736CF2C" w14:textId="77777777" w:rsidR="00C57DB6" w:rsidRPr="00861156" w:rsidRDefault="00C57DB6" w:rsidP="00C57DB6">
      <w:pPr>
        <w:pStyle w:val="c3"/>
        <w:jc w:val="both"/>
        <w:rPr>
          <w:b/>
          <w:sz w:val="22"/>
          <w:szCs w:val="22"/>
          <w:lang w:val="en-US" w:eastAsia="ru-RU"/>
        </w:rPr>
      </w:pPr>
      <w:r w:rsidRPr="00861156">
        <w:rPr>
          <w:b/>
          <w:sz w:val="22"/>
          <w:szCs w:val="22"/>
          <w:lang w:val="en-US" w:eastAsia="ru-RU"/>
        </w:rPr>
        <w:t>GRAIN GROWING OPERATIONS</w:t>
      </w:r>
    </w:p>
    <w:p w14:paraId="6CB6B06F" w14:textId="029D7459" w:rsidR="00C57DB6" w:rsidRPr="008F08A9" w:rsidRDefault="00C57DB6" w:rsidP="00C57DB6">
      <w:pPr>
        <w:pStyle w:val="c3"/>
        <w:jc w:val="both"/>
        <w:rPr>
          <w:color w:val="000000" w:themeColor="text1"/>
          <w:sz w:val="20"/>
          <w:szCs w:val="20"/>
          <w:lang w:val="en-US" w:eastAsia="ru-RU"/>
        </w:rPr>
      </w:pPr>
      <w:r w:rsidRPr="008F08A9">
        <w:rPr>
          <w:color w:val="000000" w:themeColor="text1"/>
          <w:sz w:val="20"/>
          <w:szCs w:val="20"/>
          <w:lang w:val="en-US" w:eastAsia="ru-RU"/>
        </w:rPr>
        <w:t>In 202</w:t>
      </w:r>
      <w:r w:rsidR="00D01954" w:rsidRPr="008F08A9">
        <w:rPr>
          <w:color w:val="000000" w:themeColor="text1"/>
          <w:sz w:val="20"/>
          <w:szCs w:val="20"/>
          <w:lang w:val="en-US" w:eastAsia="ru-RU"/>
        </w:rPr>
        <w:t>2</w:t>
      </w:r>
      <w:r w:rsidRPr="008F08A9">
        <w:rPr>
          <w:color w:val="000000" w:themeColor="text1"/>
          <w:sz w:val="20"/>
          <w:szCs w:val="20"/>
          <w:lang w:val="en-US" w:eastAsia="ru-RU"/>
        </w:rPr>
        <w:t xml:space="preserve"> in grain growing operations</w:t>
      </w:r>
      <w:r w:rsidR="00D01954" w:rsidRPr="008F08A9">
        <w:rPr>
          <w:color w:val="000000" w:themeColor="text1"/>
          <w:sz w:val="20"/>
          <w:szCs w:val="20"/>
          <w:lang w:val="en-US" w:eastAsia="ru-RU"/>
        </w:rPr>
        <w:t xml:space="preserve"> segment</w:t>
      </w:r>
      <w:r w:rsidRPr="008F08A9">
        <w:rPr>
          <w:color w:val="000000" w:themeColor="text1"/>
          <w:sz w:val="20"/>
          <w:szCs w:val="20"/>
          <w:lang w:val="en-US" w:eastAsia="ru-RU"/>
        </w:rPr>
        <w:t xml:space="preserve"> the Company is to harvest around 3</w:t>
      </w:r>
      <w:r w:rsidR="00D01954" w:rsidRPr="008F08A9">
        <w:rPr>
          <w:color w:val="000000" w:themeColor="text1"/>
          <w:sz w:val="20"/>
          <w:szCs w:val="20"/>
          <w:lang w:val="en-US" w:eastAsia="ru-RU"/>
        </w:rPr>
        <w:t>3</w:t>
      </w:r>
      <w:r w:rsidRPr="008F08A9">
        <w:rPr>
          <w:color w:val="000000" w:themeColor="text1"/>
          <w:sz w:val="20"/>
          <w:szCs w:val="20"/>
          <w:lang w:val="en-US" w:eastAsia="ru-RU"/>
        </w:rPr>
        <w:t>5,000 hectares of land.</w:t>
      </w:r>
    </w:p>
    <w:p w14:paraId="379B9048" w14:textId="6873FA79" w:rsidR="00C57DB6" w:rsidRPr="008F08A9" w:rsidRDefault="00C57DB6" w:rsidP="00C57DB6">
      <w:pPr>
        <w:pStyle w:val="c3"/>
        <w:jc w:val="both"/>
        <w:rPr>
          <w:color w:val="000000" w:themeColor="text1"/>
          <w:sz w:val="20"/>
          <w:szCs w:val="20"/>
          <w:lang w:val="en-US" w:eastAsia="ru-RU"/>
        </w:rPr>
      </w:pPr>
      <w:r w:rsidRPr="008F08A9">
        <w:rPr>
          <w:color w:val="000000" w:themeColor="text1"/>
          <w:sz w:val="20"/>
          <w:szCs w:val="20"/>
          <w:lang w:val="en-US" w:eastAsia="ru-RU"/>
        </w:rPr>
        <w:t xml:space="preserve">The Company’s harvesting campaign of winter </w:t>
      </w:r>
      <w:r w:rsidR="00D01954" w:rsidRPr="008F08A9">
        <w:rPr>
          <w:color w:val="000000" w:themeColor="text1"/>
          <w:sz w:val="20"/>
          <w:szCs w:val="20"/>
          <w:lang w:val="en-US" w:eastAsia="ru-RU"/>
        </w:rPr>
        <w:t>rapeseeds and wheat</w:t>
      </w:r>
      <w:r w:rsidRPr="008F08A9">
        <w:rPr>
          <w:color w:val="000000" w:themeColor="text1"/>
          <w:sz w:val="20"/>
          <w:szCs w:val="20"/>
          <w:lang w:val="en-US" w:eastAsia="ru-RU"/>
        </w:rPr>
        <w:t xml:space="preserve"> is on track</w:t>
      </w:r>
      <w:r w:rsidR="008F08A9">
        <w:rPr>
          <w:color w:val="000000" w:themeColor="text1"/>
          <w:sz w:val="20"/>
          <w:szCs w:val="20"/>
          <w:lang w:val="en-US" w:eastAsia="ru-RU"/>
        </w:rPr>
        <w:t xml:space="preserve">, of which </w:t>
      </w:r>
      <w:r w:rsidR="000B0034">
        <w:rPr>
          <w:color w:val="000000" w:themeColor="text1"/>
          <w:sz w:val="20"/>
          <w:szCs w:val="20"/>
          <w:lang w:val="en-US" w:eastAsia="ru-RU"/>
        </w:rPr>
        <w:t>around 70</w:t>
      </w:r>
      <w:r w:rsidR="008F08A9">
        <w:rPr>
          <w:color w:val="000000" w:themeColor="text1"/>
          <w:sz w:val="20"/>
          <w:szCs w:val="20"/>
          <w:lang w:val="en-US" w:eastAsia="ru-RU"/>
        </w:rPr>
        <w:t>% and 2</w:t>
      </w:r>
      <w:r w:rsidR="000B0034">
        <w:rPr>
          <w:color w:val="000000" w:themeColor="text1"/>
          <w:sz w:val="20"/>
          <w:szCs w:val="20"/>
          <w:lang w:val="en-US" w:eastAsia="ru-RU"/>
        </w:rPr>
        <w:t>5</w:t>
      </w:r>
      <w:r w:rsidR="008F08A9">
        <w:rPr>
          <w:color w:val="000000" w:themeColor="text1"/>
          <w:sz w:val="20"/>
          <w:szCs w:val="20"/>
          <w:lang w:val="en-US" w:eastAsia="ru-RU"/>
        </w:rPr>
        <w:t>% harvested, respectively</w:t>
      </w:r>
      <w:r w:rsidRPr="008F08A9">
        <w:rPr>
          <w:color w:val="000000" w:themeColor="text1"/>
          <w:sz w:val="20"/>
          <w:szCs w:val="20"/>
          <w:lang w:val="en-US" w:eastAsia="ru-RU"/>
        </w:rPr>
        <w:t xml:space="preserve">. All winter crops yields are expected to be good and are in line with the Company’s expectations </w:t>
      </w:r>
      <w:proofErr w:type="gramStart"/>
      <w:r w:rsidRPr="008F08A9">
        <w:rPr>
          <w:color w:val="000000" w:themeColor="text1"/>
          <w:sz w:val="20"/>
          <w:szCs w:val="20"/>
          <w:lang w:val="en-US" w:eastAsia="ru-RU"/>
        </w:rPr>
        <w:t>taking into account</w:t>
      </w:r>
      <w:proofErr w:type="gramEnd"/>
      <w:r w:rsidRPr="008F08A9">
        <w:rPr>
          <w:color w:val="000000" w:themeColor="text1"/>
          <w:sz w:val="20"/>
          <w:szCs w:val="20"/>
          <w:lang w:val="en-US" w:eastAsia="ru-RU"/>
        </w:rPr>
        <w:t xml:space="preserve"> weather condition.</w:t>
      </w:r>
    </w:p>
    <w:p w14:paraId="65FADAAB" w14:textId="77777777" w:rsidR="00C57DB6" w:rsidRPr="008F08A9" w:rsidRDefault="00C57DB6" w:rsidP="00C57DB6">
      <w:pPr>
        <w:pStyle w:val="c3"/>
        <w:jc w:val="both"/>
        <w:rPr>
          <w:color w:val="000000" w:themeColor="text1"/>
          <w:sz w:val="20"/>
          <w:szCs w:val="20"/>
          <w:lang w:val="en-US" w:eastAsia="ru-RU"/>
        </w:rPr>
      </w:pPr>
      <w:r w:rsidRPr="008F08A9">
        <w:rPr>
          <w:color w:val="000000" w:themeColor="text1"/>
          <w:sz w:val="20"/>
          <w:szCs w:val="20"/>
          <w:lang w:val="en-US" w:eastAsia="ru-RU"/>
        </w:rPr>
        <w:t xml:space="preserve">Spring crops (corn, </w:t>
      </w:r>
      <w:proofErr w:type="gramStart"/>
      <w:r w:rsidRPr="008F08A9">
        <w:rPr>
          <w:color w:val="000000" w:themeColor="text1"/>
          <w:sz w:val="20"/>
          <w:szCs w:val="20"/>
          <w:lang w:val="en-US" w:eastAsia="ru-RU"/>
        </w:rPr>
        <w:t>soybeans</w:t>
      </w:r>
      <w:proofErr w:type="gramEnd"/>
      <w:r w:rsidRPr="008F08A9">
        <w:rPr>
          <w:color w:val="000000" w:themeColor="text1"/>
          <w:sz w:val="20"/>
          <w:szCs w:val="20"/>
          <w:lang w:val="en-US" w:eastAsia="ru-RU"/>
        </w:rPr>
        <w:t xml:space="preserve"> and sunflower) are in good condition.</w:t>
      </w:r>
    </w:p>
    <w:p w14:paraId="45FEE4C5" w14:textId="77777777" w:rsidR="008801D1" w:rsidRPr="000B0034" w:rsidRDefault="008801D1" w:rsidP="008801D1">
      <w:pPr>
        <w:pStyle w:val="c3"/>
        <w:jc w:val="both"/>
        <w:rPr>
          <w:b/>
          <w:sz w:val="22"/>
          <w:szCs w:val="22"/>
          <w:lang w:val="en-US" w:eastAsia="ru-RU"/>
        </w:rPr>
      </w:pPr>
      <w:r w:rsidRPr="000B0034">
        <w:rPr>
          <w:b/>
          <w:sz w:val="22"/>
          <w:szCs w:val="22"/>
          <w:lang w:val="en-US" w:eastAsia="ru-RU"/>
        </w:rPr>
        <w:t>OTHER AGRICULTIRAL OPERATIONS AND MEAT PROCESSING</w:t>
      </w:r>
    </w:p>
    <w:tbl>
      <w:tblPr>
        <w:tblW w:w="5000" w:type="pct"/>
        <w:tblLayout w:type="fixed"/>
        <w:tblLook w:val="04A0" w:firstRow="1" w:lastRow="0" w:firstColumn="1" w:lastColumn="0" w:noHBand="0" w:noVBand="1"/>
      </w:tblPr>
      <w:tblGrid>
        <w:gridCol w:w="2299"/>
        <w:gridCol w:w="259"/>
        <w:gridCol w:w="921"/>
        <w:gridCol w:w="921"/>
        <w:gridCol w:w="921"/>
        <w:gridCol w:w="921"/>
        <w:gridCol w:w="921"/>
        <w:gridCol w:w="921"/>
        <w:gridCol w:w="921"/>
        <w:gridCol w:w="917"/>
      </w:tblGrid>
      <w:tr w:rsidR="008801D1" w:rsidRPr="007067E8" w14:paraId="11AF5876" w14:textId="77777777" w:rsidTr="00F56364">
        <w:trPr>
          <w:trHeight w:val="352"/>
        </w:trPr>
        <w:tc>
          <w:tcPr>
            <w:tcW w:w="1159" w:type="pct"/>
            <w:tcBorders>
              <w:bottom w:val="single" w:sz="12" w:space="0" w:color="auto"/>
            </w:tcBorders>
            <w:shd w:val="clear" w:color="auto" w:fill="auto"/>
            <w:noWrap/>
            <w:vAlign w:val="center"/>
          </w:tcPr>
          <w:p w14:paraId="5E9B253E" w14:textId="77777777" w:rsidR="008801D1" w:rsidRPr="007067E8" w:rsidRDefault="008801D1" w:rsidP="00F56364">
            <w:pPr>
              <w:pStyle w:val="c3"/>
              <w:rPr>
                <w:b/>
                <w:bCs/>
                <w:sz w:val="20"/>
                <w:szCs w:val="20"/>
                <w:lang w:val="en-US"/>
              </w:rPr>
            </w:pPr>
            <w:bookmarkStart w:id="1" w:name="_Hlk109650274"/>
            <w:r w:rsidRPr="007067E8">
              <w:rPr>
                <w:b/>
                <w:bCs/>
                <w:sz w:val="20"/>
                <w:szCs w:val="20"/>
                <w:lang w:val="en-US"/>
              </w:rPr>
              <w:t>Meat processing products</w:t>
            </w:r>
          </w:p>
        </w:tc>
        <w:tc>
          <w:tcPr>
            <w:tcW w:w="131" w:type="pct"/>
            <w:tcBorders>
              <w:bottom w:val="single" w:sz="12" w:space="0" w:color="auto"/>
            </w:tcBorders>
            <w:vAlign w:val="center"/>
          </w:tcPr>
          <w:p w14:paraId="00F0A6E6" w14:textId="77777777" w:rsidR="008801D1" w:rsidRPr="007067E8" w:rsidRDefault="008801D1" w:rsidP="00F56364">
            <w:pPr>
              <w:pStyle w:val="c3"/>
              <w:jc w:val="both"/>
              <w:rPr>
                <w:b/>
                <w:bCs/>
                <w:sz w:val="20"/>
                <w:szCs w:val="20"/>
                <w:lang w:val="en-US"/>
              </w:rPr>
            </w:pPr>
          </w:p>
        </w:tc>
        <w:tc>
          <w:tcPr>
            <w:tcW w:w="464" w:type="pct"/>
            <w:tcBorders>
              <w:top w:val="single" w:sz="12" w:space="0" w:color="auto"/>
              <w:bottom w:val="single" w:sz="12" w:space="0" w:color="auto"/>
            </w:tcBorders>
            <w:shd w:val="clear" w:color="auto" w:fill="auto"/>
            <w:noWrap/>
            <w:vAlign w:val="center"/>
          </w:tcPr>
          <w:p w14:paraId="2B3F8432" w14:textId="1FFE391D" w:rsidR="008801D1" w:rsidRPr="007067E8" w:rsidRDefault="008801D1" w:rsidP="00F56364">
            <w:pPr>
              <w:pStyle w:val="c3"/>
              <w:jc w:val="both"/>
              <w:rPr>
                <w:b/>
                <w:bCs/>
                <w:sz w:val="20"/>
                <w:szCs w:val="20"/>
                <w:lang w:val="uk-UA"/>
              </w:rPr>
            </w:pPr>
            <w:r w:rsidRPr="007067E8">
              <w:rPr>
                <w:b/>
                <w:bCs/>
                <w:sz w:val="20"/>
                <w:szCs w:val="20"/>
                <w:lang w:val="en-US"/>
              </w:rPr>
              <w:t>Q</w:t>
            </w:r>
            <w:r>
              <w:rPr>
                <w:b/>
                <w:bCs/>
                <w:sz w:val="20"/>
                <w:szCs w:val="20"/>
                <w:lang w:val="en-US"/>
              </w:rPr>
              <w:t>2</w:t>
            </w:r>
            <w:r w:rsidRPr="007067E8">
              <w:rPr>
                <w:b/>
                <w:bCs/>
                <w:sz w:val="20"/>
                <w:szCs w:val="20"/>
                <w:lang w:val="en-US"/>
              </w:rPr>
              <w:t xml:space="preserve"> 202</w:t>
            </w:r>
            <w:r>
              <w:rPr>
                <w:b/>
                <w:bCs/>
                <w:sz w:val="20"/>
                <w:szCs w:val="20"/>
                <w:lang w:val="en-US"/>
              </w:rPr>
              <w:t>2</w:t>
            </w:r>
          </w:p>
        </w:tc>
        <w:tc>
          <w:tcPr>
            <w:tcW w:w="464" w:type="pct"/>
            <w:tcBorders>
              <w:top w:val="single" w:sz="12" w:space="0" w:color="auto"/>
              <w:bottom w:val="single" w:sz="12" w:space="0" w:color="auto"/>
            </w:tcBorders>
            <w:shd w:val="clear" w:color="auto" w:fill="auto"/>
            <w:noWrap/>
            <w:vAlign w:val="center"/>
          </w:tcPr>
          <w:p w14:paraId="3EBF464F" w14:textId="17AEB516" w:rsidR="008801D1" w:rsidRPr="007067E8" w:rsidRDefault="008801D1" w:rsidP="00F56364">
            <w:pPr>
              <w:pStyle w:val="c3"/>
              <w:jc w:val="both"/>
              <w:rPr>
                <w:b/>
                <w:bCs/>
                <w:sz w:val="20"/>
                <w:szCs w:val="20"/>
                <w:lang w:val="en-US"/>
              </w:rPr>
            </w:pPr>
            <w:r w:rsidRPr="007067E8">
              <w:rPr>
                <w:b/>
                <w:bCs/>
                <w:sz w:val="20"/>
                <w:szCs w:val="20"/>
                <w:lang w:val="en-US"/>
              </w:rPr>
              <w:t>Q</w:t>
            </w:r>
            <w:r>
              <w:rPr>
                <w:b/>
                <w:bCs/>
                <w:sz w:val="20"/>
                <w:szCs w:val="20"/>
                <w:lang w:val="en-US"/>
              </w:rPr>
              <w:t>2</w:t>
            </w:r>
            <w:r w:rsidRPr="007067E8">
              <w:rPr>
                <w:b/>
                <w:bCs/>
                <w:sz w:val="20"/>
                <w:szCs w:val="20"/>
                <w:lang w:val="en-US"/>
              </w:rPr>
              <w:t xml:space="preserve"> 202</w:t>
            </w:r>
            <w:r>
              <w:rPr>
                <w:b/>
                <w:bCs/>
                <w:sz w:val="20"/>
                <w:szCs w:val="20"/>
                <w:lang w:val="en-US"/>
              </w:rPr>
              <w:t>1</w:t>
            </w:r>
          </w:p>
        </w:tc>
        <w:tc>
          <w:tcPr>
            <w:tcW w:w="464" w:type="pct"/>
            <w:tcBorders>
              <w:top w:val="single" w:sz="12" w:space="0" w:color="auto"/>
              <w:bottom w:val="single" w:sz="12" w:space="0" w:color="auto"/>
            </w:tcBorders>
            <w:shd w:val="clear" w:color="auto" w:fill="auto"/>
            <w:noWrap/>
            <w:vAlign w:val="center"/>
          </w:tcPr>
          <w:p w14:paraId="4AF9295D" w14:textId="77777777" w:rsidR="008801D1" w:rsidRPr="007067E8" w:rsidRDefault="008801D1" w:rsidP="00F56364">
            <w:pPr>
              <w:pStyle w:val="c3"/>
              <w:jc w:val="both"/>
              <w:rPr>
                <w:b/>
                <w:bCs/>
                <w:i/>
                <w:iCs/>
                <w:sz w:val="20"/>
                <w:szCs w:val="20"/>
                <w:lang w:val="en-US"/>
              </w:rPr>
            </w:pPr>
            <w:r w:rsidRPr="007067E8">
              <w:rPr>
                <w:b/>
                <w:bCs/>
                <w:i/>
                <w:sz w:val="20"/>
                <w:szCs w:val="20"/>
                <w:lang w:val="en-US"/>
              </w:rPr>
              <w:t xml:space="preserve">% </w:t>
            </w:r>
            <w:proofErr w:type="gramStart"/>
            <w:r w:rsidRPr="007067E8">
              <w:rPr>
                <w:b/>
                <w:bCs/>
                <w:i/>
                <w:sz w:val="20"/>
                <w:szCs w:val="20"/>
                <w:lang w:val="en-US"/>
              </w:rPr>
              <w:t>change</w:t>
            </w:r>
            <w:proofErr w:type="gramEnd"/>
            <w:r w:rsidRPr="007067E8">
              <w:rPr>
                <w:b/>
                <w:bCs/>
                <w:i/>
                <w:sz w:val="20"/>
                <w:szCs w:val="20"/>
                <w:lang w:val="en-US"/>
              </w:rPr>
              <w:t xml:space="preserve"> YoY</w:t>
            </w:r>
          </w:p>
        </w:tc>
        <w:tc>
          <w:tcPr>
            <w:tcW w:w="464" w:type="pct"/>
            <w:tcBorders>
              <w:top w:val="single" w:sz="12" w:space="0" w:color="auto"/>
              <w:bottom w:val="single" w:sz="12" w:space="0" w:color="auto"/>
            </w:tcBorders>
            <w:vAlign w:val="center"/>
          </w:tcPr>
          <w:p w14:paraId="53B4C314" w14:textId="21C43AD0" w:rsidR="008801D1" w:rsidRPr="007067E8" w:rsidDel="00FA5C12" w:rsidRDefault="008801D1" w:rsidP="00F56364">
            <w:pPr>
              <w:pStyle w:val="c3"/>
              <w:jc w:val="both"/>
              <w:rPr>
                <w:b/>
                <w:bCs/>
                <w:iCs/>
                <w:sz w:val="20"/>
                <w:szCs w:val="20"/>
                <w:lang w:val="en-US"/>
              </w:rPr>
            </w:pPr>
            <w:r w:rsidRPr="007067E8">
              <w:rPr>
                <w:b/>
                <w:bCs/>
                <w:sz w:val="20"/>
                <w:szCs w:val="20"/>
                <w:lang w:val="en-US"/>
              </w:rPr>
              <w:t>Q</w:t>
            </w:r>
            <w:r>
              <w:rPr>
                <w:b/>
                <w:bCs/>
                <w:sz w:val="20"/>
                <w:szCs w:val="20"/>
                <w:lang w:val="en-US"/>
              </w:rPr>
              <w:t>1</w:t>
            </w:r>
            <w:r w:rsidRPr="007067E8">
              <w:rPr>
                <w:b/>
                <w:bCs/>
                <w:sz w:val="20"/>
                <w:szCs w:val="20"/>
                <w:lang w:val="en-US"/>
              </w:rPr>
              <w:t xml:space="preserve"> 202</w:t>
            </w:r>
            <w:r>
              <w:rPr>
                <w:b/>
                <w:bCs/>
                <w:sz w:val="20"/>
                <w:szCs w:val="20"/>
                <w:lang w:val="en-US"/>
              </w:rPr>
              <w:t>2</w:t>
            </w:r>
          </w:p>
        </w:tc>
        <w:tc>
          <w:tcPr>
            <w:tcW w:w="464" w:type="pct"/>
            <w:tcBorders>
              <w:top w:val="single" w:sz="12" w:space="0" w:color="auto"/>
              <w:bottom w:val="single" w:sz="12" w:space="0" w:color="auto"/>
            </w:tcBorders>
            <w:vAlign w:val="center"/>
          </w:tcPr>
          <w:p w14:paraId="58ACBE7D" w14:textId="77777777" w:rsidR="008801D1" w:rsidRPr="007067E8" w:rsidDel="00FA5C12" w:rsidRDefault="008801D1" w:rsidP="00F56364">
            <w:pPr>
              <w:pStyle w:val="c3"/>
              <w:jc w:val="both"/>
              <w:rPr>
                <w:b/>
                <w:bCs/>
                <w:iCs/>
                <w:sz w:val="20"/>
                <w:szCs w:val="20"/>
                <w:lang w:val="en-US"/>
              </w:rPr>
            </w:pPr>
            <w:r w:rsidRPr="007067E8">
              <w:rPr>
                <w:b/>
                <w:bCs/>
                <w:i/>
                <w:sz w:val="20"/>
                <w:szCs w:val="20"/>
                <w:lang w:val="en-US"/>
              </w:rPr>
              <w:t xml:space="preserve">% </w:t>
            </w:r>
            <w:proofErr w:type="gramStart"/>
            <w:r w:rsidRPr="007067E8">
              <w:rPr>
                <w:b/>
                <w:bCs/>
                <w:i/>
                <w:sz w:val="20"/>
                <w:szCs w:val="20"/>
                <w:lang w:val="en-US"/>
              </w:rPr>
              <w:t>change</w:t>
            </w:r>
            <w:proofErr w:type="gramEnd"/>
            <w:r w:rsidRPr="007067E8">
              <w:rPr>
                <w:b/>
                <w:bCs/>
                <w:i/>
                <w:sz w:val="20"/>
                <w:szCs w:val="20"/>
                <w:lang w:val="en-US"/>
              </w:rPr>
              <w:t xml:space="preserve"> </w:t>
            </w:r>
            <w:proofErr w:type="spellStart"/>
            <w:r w:rsidRPr="007067E8">
              <w:rPr>
                <w:b/>
                <w:bCs/>
                <w:i/>
                <w:sz w:val="20"/>
                <w:szCs w:val="20"/>
                <w:lang w:val="en-US"/>
              </w:rPr>
              <w:t>QoQ</w:t>
            </w:r>
            <w:proofErr w:type="spellEnd"/>
          </w:p>
        </w:tc>
        <w:tc>
          <w:tcPr>
            <w:tcW w:w="464" w:type="pct"/>
            <w:tcBorders>
              <w:top w:val="single" w:sz="12" w:space="0" w:color="auto"/>
              <w:bottom w:val="single" w:sz="12" w:space="0" w:color="auto"/>
            </w:tcBorders>
            <w:vAlign w:val="center"/>
          </w:tcPr>
          <w:p w14:paraId="7614B4A6" w14:textId="6C1EF28D" w:rsidR="008801D1" w:rsidRPr="007067E8" w:rsidRDefault="008801D1" w:rsidP="00F56364">
            <w:pPr>
              <w:pStyle w:val="c3"/>
              <w:jc w:val="both"/>
              <w:rPr>
                <w:b/>
                <w:bCs/>
                <w:iCs/>
                <w:sz w:val="20"/>
                <w:szCs w:val="20"/>
                <w:lang w:val="uk-UA"/>
              </w:rPr>
            </w:pPr>
            <w:r>
              <w:rPr>
                <w:b/>
                <w:bCs/>
                <w:iCs/>
                <w:sz w:val="20"/>
                <w:szCs w:val="20"/>
                <w:lang w:val="en-US"/>
              </w:rPr>
              <w:t>H1</w:t>
            </w:r>
            <w:r w:rsidRPr="007067E8">
              <w:rPr>
                <w:b/>
                <w:bCs/>
                <w:iCs/>
                <w:sz w:val="20"/>
                <w:szCs w:val="20"/>
                <w:lang w:val="en-US"/>
              </w:rPr>
              <w:t xml:space="preserve"> 202</w:t>
            </w:r>
            <w:r>
              <w:rPr>
                <w:b/>
                <w:bCs/>
                <w:iCs/>
                <w:sz w:val="20"/>
                <w:szCs w:val="20"/>
                <w:lang w:val="en-US"/>
              </w:rPr>
              <w:t>2</w:t>
            </w:r>
          </w:p>
        </w:tc>
        <w:tc>
          <w:tcPr>
            <w:tcW w:w="464" w:type="pct"/>
            <w:tcBorders>
              <w:top w:val="single" w:sz="12" w:space="0" w:color="auto"/>
              <w:bottom w:val="single" w:sz="12" w:space="0" w:color="auto"/>
            </w:tcBorders>
            <w:vAlign w:val="center"/>
          </w:tcPr>
          <w:p w14:paraId="13632C15" w14:textId="281CBEDE" w:rsidR="008801D1" w:rsidRPr="007067E8" w:rsidRDefault="008801D1" w:rsidP="00F56364">
            <w:pPr>
              <w:pStyle w:val="c3"/>
              <w:jc w:val="both"/>
              <w:rPr>
                <w:b/>
                <w:bCs/>
                <w:iCs/>
                <w:sz w:val="20"/>
                <w:szCs w:val="20"/>
                <w:lang w:val="en-US"/>
              </w:rPr>
            </w:pPr>
            <w:r>
              <w:rPr>
                <w:b/>
                <w:bCs/>
                <w:iCs/>
                <w:sz w:val="20"/>
                <w:szCs w:val="20"/>
                <w:lang w:val="en-US"/>
              </w:rPr>
              <w:t>H1</w:t>
            </w:r>
            <w:r w:rsidRPr="007067E8">
              <w:rPr>
                <w:b/>
                <w:bCs/>
                <w:iCs/>
                <w:sz w:val="20"/>
                <w:szCs w:val="20"/>
                <w:lang w:val="en-US"/>
              </w:rPr>
              <w:t xml:space="preserve"> 202</w:t>
            </w:r>
            <w:r>
              <w:rPr>
                <w:b/>
                <w:bCs/>
                <w:iCs/>
                <w:sz w:val="20"/>
                <w:szCs w:val="20"/>
                <w:lang w:val="en-US"/>
              </w:rPr>
              <w:t>1</w:t>
            </w:r>
          </w:p>
        </w:tc>
        <w:tc>
          <w:tcPr>
            <w:tcW w:w="462" w:type="pct"/>
            <w:tcBorders>
              <w:top w:val="single" w:sz="12" w:space="0" w:color="auto"/>
              <w:bottom w:val="single" w:sz="12" w:space="0" w:color="auto"/>
            </w:tcBorders>
            <w:vAlign w:val="center"/>
          </w:tcPr>
          <w:p w14:paraId="5E9EEB22" w14:textId="77777777" w:rsidR="008801D1" w:rsidRPr="007067E8" w:rsidRDefault="008801D1" w:rsidP="00F56364">
            <w:pPr>
              <w:pStyle w:val="c3"/>
              <w:jc w:val="both"/>
              <w:rPr>
                <w:b/>
                <w:bCs/>
                <w:i/>
                <w:iCs/>
                <w:sz w:val="20"/>
                <w:szCs w:val="20"/>
                <w:lang w:val="en-US"/>
              </w:rPr>
            </w:pPr>
            <w:r w:rsidRPr="007067E8">
              <w:rPr>
                <w:b/>
                <w:bCs/>
                <w:i/>
                <w:sz w:val="20"/>
                <w:szCs w:val="20"/>
                <w:lang w:val="en-US"/>
              </w:rPr>
              <w:t xml:space="preserve">% </w:t>
            </w:r>
            <w:proofErr w:type="gramStart"/>
            <w:r w:rsidRPr="007067E8">
              <w:rPr>
                <w:b/>
                <w:bCs/>
                <w:i/>
                <w:sz w:val="20"/>
                <w:szCs w:val="20"/>
                <w:lang w:val="en-US"/>
              </w:rPr>
              <w:t>change</w:t>
            </w:r>
            <w:proofErr w:type="gramEnd"/>
          </w:p>
        </w:tc>
      </w:tr>
      <w:tr w:rsidR="008801D1" w:rsidRPr="007067E8" w14:paraId="10DADF22" w14:textId="77777777" w:rsidTr="00F56364">
        <w:trPr>
          <w:trHeight w:val="352"/>
        </w:trPr>
        <w:tc>
          <w:tcPr>
            <w:tcW w:w="1159" w:type="pct"/>
            <w:tcBorders>
              <w:top w:val="single" w:sz="12" w:space="0" w:color="auto"/>
            </w:tcBorders>
            <w:shd w:val="clear" w:color="auto" w:fill="auto"/>
            <w:noWrap/>
            <w:vAlign w:val="center"/>
          </w:tcPr>
          <w:p w14:paraId="0EE169EE" w14:textId="77777777" w:rsidR="008801D1" w:rsidRPr="007067E8" w:rsidRDefault="008801D1" w:rsidP="00F56364">
            <w:pPr>
              <w:pStyle w:val="c3"/>
              <w:rPr>
                <w:bCs/>
                <w:sz w:val="20"/>
                <w:szCs w:val="20"/>
                <w:lang w:val="en-US"/>
              </w:rPr>
            </w:pPr>
            <w:r w:rsidRPr="007067E8">
              <w:rPr>
                <w:bCs/>
                <w:sz w:val="20"/>
                <w:szCs w:val="20"/>
                <w:lang w:val="en-US"/>
              </w:rPr>
              <w:t xml:space="preserve">Sales volume, </w:t>
            </w:r>
            <w:proofErr w:type="spellStart"/>
            <w:r w:rsidRPr="007067E8">
              <w:rPr>
                <w:bCs/>
                <w:sz w:val="20"/>
                <w:szCs w:val="20"/>
                <w:lang w:val="en-US"/>
              </w:rPr>
              <w:t>tonnes</w:t>
            </w:r>
            <w:proofErr w:type="spellEnd"/>
          </w:p>
        </w:tc>
        <w:tc>
          <w:tcPr>
            <w:tcW w:w="131" w:type="pct"/>
            <w:tcBorders>
              <w:top w:val="single" w:sz="12" w:space="0" w:color="auto"/>
            </w:tcBorders>
            <w:vAlign w:val="center"/>
          </w:tcPr>
          <w:p w14:paraId="78A998BD" w14:textId="77777777" w:rsidR="008801D1" w:rsidRPr="007067E8" w:rsidRDefault="008801D1" w:rsidP="00F56364">
            <w:pPr>
              <w:pStyle w:val="c3"/>
              <w:jc w:val="both"/>
              <w:rPr>
                <w:b/>
                <w:bCs/>
                <w:sz w:val="20"/>
                <w:szCs w:val="20"/>
                <w:lang w:val="en-US"/>
              </w:rPr>
            </w:pPr>
          </w:p>
        </w:tc>
        <w:tc>
          <w:tcPr>
            <w:tcW w:w="464" w:type="pct"/>
            <w:tcBorders>
              <w:top w:val="single" w:sz="12" w:space="0" w:color="auto"/>
            </w:tcBorders>
            <w:shd w:val="clear" w:color="auto" w:fill="auto"/>
            <w:noWrap/>
            <w:vAlign w:val="center"/>
          </w:tcPr>
          <w:p w14:paraId="1D557D3A" w14:textId="724AA96E" w:rsidR="008801D1" w:rsidRPr="007067E8" w:rsidRDefault="008801D1" w:rsidP="00F56364">
            <w:pPr>
              <w:pStyle w:val="c3"/>
              <w:jc w:val="both"/>
              <w:rPr>
                <w:bCs/>
                <w:sz w:val="20"/>
                <w:szCs w:val="20"/>
                <w:lang w:val="en-US"/>
              </w:rPr>
            </w:pPr>
            <w:r>
              <w:rPr>
                <w:bCs/>
                <w:sz w:val="20"/>
                <w:szCs w:val="20"/>
                <w:lang w:val="en-US"/>
              </w:rPr>
              <w:t>2,289</w:t>
            </w:r>
          </w:p>
        </w:tc>
        <w:tc>
          <w:tcPr>
            <w:tcW w:w="464" w:type="pct"/>
            <w:tcBorders>
              <w:top w:val="single" w:sz="12" w:space="0" w:color="auto"/>
            </w:tcBorders>
            <w:shd w:val="clear" w:color="auto" w:fill="auto"/>
            <w:noWrap/>
            <w:vAlign w:val="center"/>
          </w:tcPr>
          <w:p w14:paraId="73B1E991" w14:textId="54CC8825" w:rsidR="008801D1" w:rsidRPr="007067E8" w:rsidRDefault="008801D1" w:rsidP="00F56364">
            <w:pPr>
              <w:pStyle w:val="c3"/>
              <w:jc w:val="both"/>
              <w:rPr>
                <w:bCs/>
                <w:sz w:val="20"/>
                <w:szCs w:val="20"/>
                <w:lang w:val="en-US"/>
              </w:rPr>
            </w:pPr>
            <w:r>
              <w:rPr>
                <w:bCs/>
                <w:sz w:val="20"/>
                <w:szCs w:val="20"/>
                <w:lang w:val="en-US"/>
              </w:rPr>
              <w:t>8,462</w:t>
            </w:r>
          </w:p>
        </w:tc>
        <w:tc>
          <w:tcPr>
            <w:tcW w:w="464" w:type="pct"/>
            <w:tcBorders>
              <w:top w:val="single" w:sz="12" w:space="0" w:color="auto"/>
            </w:tcBorders>
            <w:shd w:val="clear" w:color="auto" w:fill="auto"/>
            <w:noWrap/>
            <w:vAlign w:val="center"/>
          </w:tcPr>
          <w:p w14:paraId="0B5A552B" w14:textId="51B3A5E4" w:rsidR="008801D1" w:rsidRPr="007067E8" w:rsidRDefault="008801D1" w:rsidP="00F56364">
            <w:pPr>
              <w:pStyle w:val="c3"/>
              <w:jc w:val="both"/>
              <w:rPr>
                <w:bCs/>
                <w:i/>
                <w:sz w:val="20"/>
                <w:szCs w:val="20"/>
                <w:lang w:val="en-US"/>
              </w:rPr>
            </w:pPr>
            <w:r>
              <w:rPr>
                <w:bCs/>
                <w:i/>
                <w:sz w:val="20"/>
                <w:szCs w:val="20"/>
                <w:lang w:val="en-US"/>
              </w:rPr>
              <w:t>-73</w:t>
            </w:r>
            <w:r w:rsidRPr="007067E8">
              <w:rPr>
                <w:bCs/>
                <w:i/>
                <w:sz w:val="20"/>
                <w:szCs w:val="20"/>
                <w:lang w:val="en-US"/>
              </w:rPr>
              <w:t>%</w:t>
            </w:r>
          </w:p>
        </w:tc>
        <w:tc>
          <w:tcPr>
            <w:tcW w:w="464" w:type="pct"/>
            <w:tcBorders>
              <w:top w:val="single" w:sz="12" w:space="0" w:color="auto"/>
            </w:tcBorders>
            <w:vAlign w:val="center"/>
          </w:tcPr>
          <w:p w14:paraId="2381FEE8" w14:textId="716F570C" w:rsidR="008801D1" w:rsidRPr="007067E8" w:rsidRDefault="008801D1" w:rsidP="00F56364">
            <w:pPr>
              <w:pStyle w:val="c3"/>
              <w:jc w:val="both"/>
              <w:rPr>
                <w:bCs/>
                <w:sz w:val="20"/>
                <w:szCs w:val="20"/>
                <w:lang w:val="en-US"/>
              </w:rPr>
            </w:pPr>
            <w:r>
              <w:rPr>
                <w:bCs/>
                <w:sz w:val="20"/>
                <w:szCs w:val="20"/>
                <w:lang w:val="en-US"/>
              </w:rPr>
              <w:t>6,015</w:t>
            </w:r>
          </w:p>
        </w:tc>
        <w:tc>
          <w:tcPr>
            <w:tcW w:w="464" w:type="pct"/>
            <w:tcBorders>
              <w:top w:val="single" w:sz="12" w:space="0" w:color="auto"/>
            </w:tcBorders>
            <w:vAlign w:val="center"/>
          </w:tcPr>
          <w:p w14:paraId="4D1CCB2B" w14:textId="4972E1A4" w:rsidR="008801D1" w:rsidRPr="007067E8" w:rsidRDefault="008801D1" w:rsidP="00F56364">
            <w:pPr>
              <w:pStyle w:val="c3"/>
              <w:jc w:val="both"/>
              <w:rPr>
                <w:bCs/>
                <w:i/>
                <w:sz w:val="20"/>
                <w:szCs w:val="20"/>
                <w:lang w:val="en-US"/>
              </w:rPr>
            </w:pPr>
            <w:r>
              <w:rPr>
                <w:bCs/>
                <w:i/>
                <w:sz w:val="20"/>
                <w:szCs w:val="20"/>
                <w:lang w:val="en-US"/>
              </w:rPr>
              <w:t>-62</w:t>
            </w:r>
            <w:r w:rsidRPr="007067E8">
              <w:rPr>
                <w:bCs/>
                <w:i/>
                <w:sz w:val="20"/>
                <w:szCs w:val="20"/>
                <w:lang w:val="en-US"/>
              </w:rPr>
              <w:t>%</w:t>
            </w:r>
          </w:p>
        </w:tc>
        <w:tc>
          <w:tcPr>
            <w:tcW w:w="464" w:type="pct"/>
            <w:tcBorders>
              <w:top w:val="single" w:sz="12" w:space="0" w:color="auto"/>
            </w:tcBorders>
            <w:vAlign w:val="center"/>
          </w:tcPr>
          <w:p w14:paraId="64AB15FF" w14:textId="65EF66ED" w:rsidR="008801D1" w:rsidRPr="007067E8" w:rsidRDefault="008801D1" w:rsidP="00F56364">
            <w:pPr>
              <w:pStyle w:val="c3"/>
              <w:jc w:val="both"/>
              <w:rPr>
                <w:bCs/>
                <w:iCs/>
                <w:sz w:val="20"/>
                <w:szCs w:val="20"/>
                <w:lang w:val="en-US"/>
              </w:rPr>
            </w:pPr>
            <w:r>
              <w:rPr>
                <w:bCs/>
                <w:iCs/>
                <w:sz w:val="20"/>
                <w:szCs w:val="20"/>
                <w:lang w:val="en-US"/>
              </w:rPr>
              <w:t>8,304</w:t>
            </w:r>
          </w:p>
        </w:tc>
        <w:tc>
          <w:tcPr>
            <w:tcW w:w="464" w:type="pct"/>
            <w:tcBorders>
              <w:top w:val="single" w:sz="12" w:space="0" w:color="auto"/>
            </w:tcBorders>
            <w:vAlign w:val="center"/>
          </w:tcPr>
          <w:p w14:paraId="1277CEA0" w14:textId="2B269C54" w:rsidR="008801D1" w:rsidRPr="008801D1" w:rsidRDefault="008801D1" w:rsidP="00F56364">
            <w:pPr>
              <w:pStyle w:val="c3"/>
              <w:jc w:val="both"/>
              <w:rPr>
                <w:bCs/>
                <w:iCs/>
                <w:sz w:val="20"/>
                <w:szCs w:val="20"/>
                <w:lang w:val="en-US"/>
              </w:rPr>
            </w:pPr>
            <w:r>
              <w:rPr>
                <w:bCs/>
                <w:iCs/>
                <w:sz w:val="20"/>
                <w:szCs w:val="20"/>
                <w:lang w:val="en-US"/>
              </w:rPr>
              <w:t>16,069</w:t>
            </w:r>
          </w:p>
        </w:tc>
        <w:tc>
          <w:tcPr>
            <w:tcW w:w="462" w:type="pct"/>
            <w:tcBorders>
              <w:top w:val="single" w:sz="12" w:space="0" w:color="auto"/>
            </w:tcBorders>
            <w:vAlign w:val="center"/>
          </w:tcPr>
          <w:p w14:paraId="193E94B0" w14:textId="5217B866" w:rsidR="008801D1" w:rsidRPr="007067E8" w:rsidRDefault="008801D1" w:rsidP="00F56364">
            <w:pPr>
              <w:pStyle w:val="c3"/>
              <w:jc w:val="both"/>
              <w:rPr>
                <w:bCs/>
                <w:i/>
                <w:sz w:val="20"/>
                <w:szCs w:val="20"/>
                <w:lang w:val="en-US"/>
              </w:rPr>
            </w:pPr>
            <w:r>
              <w:rPr>
                <w:bCs/>
                <w:i/>
                <w:sz w:val="20"/>
                <w:szCs w:val="20"/>
                <w:lang w:val="en-US"/>
              </w:rPr>
              <w:t>-48</w:t>
            </w:r>
            <w:r w:rsidRPr="007067E8">
              <w:rPr>
                <w:bCs/>
                <w:i/>
                <w:sz w:val="20"/>
                <w:szCs w:val="20"/>
                <w:lang w:val="en-US"/>
              </w:rPr>
              <w:t>%</w:t>
            </w:r>
          </w:p>
        </w:tc>
      </w:tr>
      <w:tr w:rsidR="008801D1" w:rsidRPr="007067E8" w14:paraId="57F9B8DB" w14:textId="77777777" w:rsidTr="00F56364">
        <w:trPr>
          <w:trHeight w:val="352"/>
        </w:trPr>
        <w:tc>
          <w:tcPr>
            <w:tcW w:w="1159" w:type="pct"/>
            <w:shd w:val="clear" w:color="auto" w:fill="auto"/>
            <w:noWrap/>
            <w:vAlign w:val="center"/>
          </w:tcPr>
          <w:p w14:paraId="37AEE1DC" w14:textId="77777777" w:rsidR="008801D1" w:rsidRPr="007067E8" w:rsidRDefault="008801D1" w:rsidP="00F56364">
            <w:pPr>
              <w:pStyle w:val="c3"/>
              <w:rPr>
                <w:sz w:val="20"/>
                <w:szCs w:val="20"/>
                <w:lang w:val="nl-NL"/>
              </w:rPr>
            </w:pPr>
            <w:r w:rsidRPr="007067E8">
              <w:rPr>
                <w:sz w:val="20"/>
                <w:szCs w:val="20"/>
                <w:lang w:val="nl-NL"/>
              </w:rPr>
              <w:t>Price per 1 kg net VAT, UAH</w:t>
            </w:r>
          </w:p>
          <w:p w14:paraId="4B1B8BD7" w14:textId="77777777" w:rsidR="008801D1" w:rsidRPr="007067E8" w:rsidRDefault="008801D1" w:rsidP="00F56364">
            <w:pPr>
              <w:pStyle w:val="c3"/>
              <w:rPr>
                <w:b/>
                <w:bCs/>
                <w:sz w:val="20"/>
                <w:szCs w:val="20"/>
                <w:lang w:val="nl-NL"/>
              </w:rPr>
            </w:pPr>
          </w:p>
        </w:tc>
        <w:tc>
          <w:tcPr>
            <w:tcW w:w="131" w:type="pct"/>
            <w:vAlign w:val="center"/>
          </w:tcPr>
          <w:p w14:paraId="7AD0858D" w14:textId="77777777" w:rsidR="008801D1" w:rsidRPr="007067E8" w:rsidRDefault="008801D1" w:rsidP="00F56364">
            <w:pPr>
              <w:pStyle w:val="c3"/>
              <w:jc w:val="both"/>
              <w:rPr>
                <w:b/>
                <w:bCs/>
                <w:sz w:val="20"/>
                <w:szCs w:val="20"/>
                <w:lang w:val="nl-NL"/>
              </w:rPr>
            </w:pPr>
          </w:p>
        </w:tc>
        <w:tc>
          <w:tcPr>
            <w:tcW w:w="464" w:type="pct"/>
            <w:shd w:val="clear" w:color="auto" w:fill="auto"/>
            <w:noWrap/>
            <w:vAlign w:val="center"/>
          </w:tcPr>
          <w:p w14:paraId="2CA0793F" w14:textId="195C10E1" w:rsidR="008801D1" w:rsidRPr="007067E8" w:rsidRDefault="008801D1" w:rsidP="00F56364">
            <w:pPr>
              <w:pStyle w:val="c3"/>
              <w:jc w:val="both"/>
              <w:rPr>
                <w:bCs/>
                <w:sz w:val="20"/>
                <w:szCs w:val="20"/>
                <w:lang w:val="nl-NL"/>
              </w:rPr>
            </w:pPr>
            <w:r>
              <w:rPr>
                <w:bCs/>
                <w:sz w:val="20"/>
                <w:szCs w:val="20"/>
                <w:lang w:val="nl-NL"/>
              </w:rPr>
              <w:t>88.34</w:t>
            </w:r>
          </w:p>
        </w:tc>
        <w:tc>
          <w:tcPr>
            <w:tcW w:w="464" w:type="pct"/>
            <w:shd w:val="clear" w:color="auto" w:fill="auto"/>
            <w:noWrap/>
            <w:vAlign w:val="center"/>
          </w:tcPr>
          <w:p w14:paraId="235825A7" w14:textId="19F309D9" w:rsidR="008801D1" w:rsidRPr="007067E8" w:rsidRDefault="008801D1" w:rsidP="00F56364">
            <w:pPr>
              <w:pStyle w:val="c3"/>
              <w:jc w:val="both"/>
              <w:rPr>
                <w:bCs/>
                <w:sz w:val="20"/>
                <w:szCs w:val="20"/>
                <w:lang w:val="nl-NL"/>
              </w:rPr>
            </w:pPr>
            <w:r>
              <w:rPr>
                <w:bCs/>
                <w:sz w:val="20"/>
                <w:szCs w:val="20"/>
                <w:lang w:val="nl-NL"/>
              </w:rPr>
              <w:t>80.72</w:t>
            </w:r>
          </w:p>
        </w:tc>
        <w:tc>
          <w:tcPr>
            <w:tcW w:w="464" w:type="pct"/>
            <w:shd w:val="clear" w:color="auto" w:fill="auto"/>
            <w:noWrap/>
            <w:vAlign w:val="center"/>
          </w:tcPr>
          <w:p w14:paraId="07A94140" w14:textId="799F2A5E" w:rsidR="008801D1" w:rsidRPr="007067E8" w:rsidRDefault="008801D1" w:rsidP="00F56364">
            <w:pPr>
              <w:pStyle w:val="c3"/>
              <w:jc w:val="both"/>
              <w:rPr>
                <w:bCs/>
                <w:i/>
                <w:sz w:val="20"/>
                <w:szCs w:val="20"/>
                <w:lang w:val="nl-NL"/>
              </w:rPr>
            </w:pPr>
            <w:r>
              <w:rPr>
                <w:bCs/>
                <w:i/>
                <w:sz w:val="20"/>
                <w:szCs w:val="20"/>
                <w:lang w:val="nl-NL"/>
              </w:rPr>
              <w:t>9</w:t>
            </w:r>
            <w:r w:rsidRPr="007067E8">
              <w:rPr>
                <w:bCs/>
                <w:i/>
                <w:sz w:val="20"/>
                <w:szCs w:val="20"/>
                <w:lang w:val="nl-NL"/>
              </w:rPr>
              <w:t>%</w:t>
            </w:r>
          </w:p>
        </w:tc>
        <w:tc>
          <w:tcPr>
            <w:tcW w:w="464" w:type="pct"/>
            <w:vAlign w:val="center"/>
          </w:tcPr>
          <w:p w14:paraId="0338F5F7" w14:textId="109055BB" w:rsidR="008801D1" w:rsidRPr="007067E8" w:rsidRDefault="008801D1" w:rsidP="00F56364">
            <w:pPr>
              <w:pStyle w:val="c3"/>
              <w:jc w:val="both"/>
              <w:rPr>
                <w:bCs/>
                <w:sz w:val="20"/>
                <w:szCs w:val="20"/>
                <w:lang w:val="nl-NL"/>
              </w:rPr>
            </w:pPr>
            <w:r>
              <w:rPr>
                <w:bCs/>
                <w:sz w:val="20"/>
                <w:szCs w:val="20"/>
                <w:lang w:val="nl-NL"/>
              </w:rPr>
              <w:t>87.65</w:t>
            </w:r>
          </w:p>
        </w:tc>
        <w:tc>
          <w:tcPr>
            <w:tcW w:w="464" w:type="pct"/>
            <w:vAlign w:val="center"/>
          </w:tcPr>
          <w:p w14:paraId="3B40C3AC" w14:textId="004BF5FE" w:rsidR="008801D1" w:rsidRPr="007067E8" w:rsidRDefault="008801D1" w:rsidP="00F56364">
            <w:pPr>
              <w:pStyle w:val="c3"/>
              <w:jc w:val="both"/>
              <w:rPr>
                <w:bCs/>
                <w:i/>
                <w:sz w:val="20"/>
                <w:szCs w:val="20"/>
                <w:lang w:val="nl-NL"/>
              </w:rPr>
            </w:pPr>
            <w:r>
              <w:rPr>
                <w:bCs/>
                <w:i/>
                <w:sz w:val="20"/>
                <w:szCs w:val="20"/>
                <w:lang w:val="nl-NL"/>
              </w:rPr>
              <w:t>1</w:t>
            </w:r>
            <w:r w:rsidRPr="007067E8">
              <w:rPr>
                <w:bCs/>
                <w:i/>
                <w:sz w:val="20"/>
                <w:szCs w:val="20"/>
                <w:lang w:val="nl-NL"/>
              </w:rPr>
              <w:t>%</w:t>
            </w:r>
          </w:p>
        </w:tc>
        <w:tc>
          <w:tcPr>
            <w:tcW w:w="464" w:type="pct"/>
            <w:vAlign w:val="center"/>
          </w:tcPr>
          <w:p w14:paraId="3E9F6724" w14:textId="2935B4DF" w:rsidR="008801D1" w:rsidRPr="007067E8" w:rsidRDefault="00B11F71" w:rsidP="00F56364">
            <w:pPr>
              <w:pStyle w:val="c3"/>
              <w:jc w:val="both"/>
              <w:rPr>
                <w:bCs/>
                <w:iCs/>
                <w:sz w:val="20"/>
                <w:szCs w:val="20"/>
                <w:lang w:val="nl-NL"/>
              </w:rPr>
            </w:pPr>
            <w:r>
              <w:rPr>
                <w:bCs/>
                <w:iCs/>
                <w:sz w:val="20"/>
                <w:szCs w:val="20"/>
                <w:lang w:val="nl-NL"/>
              </w:rPr>
              <w:t>87.84</w:t>
            </w:r>
          </w:p>
        </w:tc>
        <w:tc>
          <w:tcPr>
            <w:tcW w:w="464" w:type="pct"/>
            <w:vAlign w:val="center"/>
          </w:tcPr>
          <w:p w14:paraId="0444AFC4" w14:textId="3179D352" w:rsidR="008801D1" w:rsidRPr="007067E8" w:rsidRDefault="00B11F71" w:rsidP="00F56364">
            <w:pPr>
              <w:pStyle w:val="c3"/>
              <w:jc w:val="both"/>
              <w:rPr>
                <w:bCs/>
                <w:iCs/>
                <w:sz w:val="20"/>
                <w:szCs w:val="20"/>
                <w:lang w:val="nl-NL"/>
              </w:rPr>
            </w:pPr>
            <w:r>
              <w:rPr>
                <w:bCs/>
                <w:iCs/>
                <w:sz w:val="20"/>
                <w:szCs w:val="20"/>
                <w:lang w:val="nl-NL"/>
              </w:rPr>
              <w:t>78.29</w:t>
            </w:r>
          </w:p>
        </w:tc>
        <w:tc>
          <w:tcPr>
            <w:tcW w:w="462" w:type="pct"/>
            <w:vAlign w:val="center"/>
          </w:tcPr>
          <w:p w14:paraId="5A17A3F4" w14:textId="613D3E52" w:rsidR="008801D1" w:rsidRPr="007067E8" w:rsidRDefault="008801D1" w:rsidP="00F56364">
            <w:pPr>
              <w:pStyle w:val="c3"/>
              <w:jc w:val="both"/>
              <w:rPr>
                <w:bCs/>
                <w:i/>
                <w:sz w:val="20"/>
                <w:szCs w:val="20"/>
                <w:lang w:val="nl-NL"/>
              </w:rPr>
            </w:pPr>
            <w:r w:rsidRPr="007067E8">
              <w:rPr>
                <w:bCs/>
                <w:i/>
                <w:sz w:val="20"/>
                <w:szCs w:val="20"/>
                <w:lang w:val="nl-NL"/>
              </w:rPr>
              <w:t>1</w:t>
            </w:r>
            <w:r w:rsidR="00B11F71">
              <w:rPr>
                <w:bCs/>
                <w:i/>
                <w:sz w:val="20"/>
                <w:szCs w:val="20"/>
                <w:lang w:val="nl-NL"/>
              </w:rPr>
              <w:t>2</w:t>
            </w:r>
            <w:r w:rsidRPr="007067E8">
              <w:rPr>
                <w:bCs/>
                <w:i/>
                <w:sz w:val="20"/>
                <w:szCs w:val="20"/>
                <w:lang w:val="nl-NL"/>
              </w:rPr>
              <w:t>%</w:t>
            </w:r>
          </w:p>
        </w:tc>
      </w:tr>
      <w:tr w:rsidR="008801D1" w:rsidRPr="007067E8" w14:paraId="231FD63B" w14:textId="77777777" w:rsidTr="00F56364">
        <w:trPr>
          <w:trHeight w:val="352"/>
        </w:trPr>
        <w:tc>
          <w:tcPr>
            <w:tcW w:w="1159" w:type="pct"/>
            <w:tcBorders>
              <w:bottom w:val="single" w:sz="12" w:space="0" w:color="auto"/>
            </w:tcBorders>
            <w:shd w:val="clear" w:color="auto" w:fill="auto"/>
            <w:noWrap/>
            <w:vAlign w:val="center"/>
          </w:tcPr>
          <w:p w14:paraId="22359502" w14:textId="77777777" w:rsidR="008801D1" w:rsidRPr="007067E8" w:rsidRDefault="008801D1" w:rsidP="008801D1">
            <w:pPr>
              <w:pStyle w:val="c3"/>
              <w:rPr>
                <w:b/>
                <w:bCs/>
                <w:sz w:val="20"/>
                <w:szCs w:val="20"/>
                <w:lang w:val="en-US"/>
              </w:rPr>
            </w:pPr>
            <w:r w:rsidRPr="007067E8">
              <w:rPr>
                <w:b/>
                <w:bCs/>
                <w:sz w:val="20"/>
                <w:szCs w:val="20"/>
                <w:lang w:val="en-US"/>
              </w:rPr>
              <w:t>Convenience Food</w:t>
            </w:r>
          </w:p>
        </w:tc>
        <w:tc>
          <w:tcPr>
            <w:tcW w:w="131" w:type="pct"/>
            <w:tcBorders>
              <w:bottom w:val="single" w:sz="12" w:space="0" w:color="auto"/>
            </w:tcBorders>
            <w:vAlign w:val="center"/>
          </w:tcPr>
          <w:p w14:paraId="7CA23355" w14:textId="77777777" w:rsidR="008801D1" w:rsidRPr="007067E8" w:rsidRDefault="008801D1" w:rsidP="008801D1">
            <w:pPr>
              <w:pStyle w:val="c3"/>
              <w:jc w:val="both"/>
              <w:rPr>
                <w:b/>
                <w:bCs/>
                <w:sz w:val="20"/>
                <w:szCs w:val="20"/>
                <w:lang w:val="en-US"/>
              </w:rPr>
            </w:pPr>
          </w:p>
        </w:tc>
        <w:tc>
          <w:tcPr>
            <w:tcW w:w="464" w:type="pct"/>
            <w:tcBorders>
              <w:top w:val="single" w:sz="12" w:space="0" w:color="auto"/>
              <w:bottom w:val="single" w:sz="12" w:space="0" w:color="auto"/>
            </w:tcBorders>
            <w:shd w:val="clear" w:color="auto" w:fill="auto"/>
            <w:noWrap/>
            <w:vAlign w:val="center"/>
          </w:tcPr>
          <w:p w14:paraId="75983A43" w14:textId="2B43DE8B" w:rsidR="008801D1" w:rsidRPr="007067E8" w:rsidRDefault="008801D1" w:rsidP="008801D1">
            <w:pPr>
              <w:pStyle w:val="c3"/>
              <w:jc w:val="both"/>
              <w:rPr>
                <w:b/>
                <w:bCs/>
                <w:sz w:val="20"/>
                <w:szCs w:val="20"/>
                <w:lang w:val="uk-UA"/>
              </w:rPr>
            </w:pPr>
            <w:r w:rsidRPr="007067E8">
              <w:rPr>
                <w:b/>
                <w:bCs/>
                <w:sz w:val="20"/>
                <w:szCs w:val="20"/>
                <w:lang w:val="en-US"/>
              </w:rPr>
              <w:t>Q</w:t>
            </w:r>
            <w:r>
              <w:rPr>
                <w:b/>
                <w:bCs/>
                <w:sz w:val="20"/>
                <w:szCs w:val="20"/>
                <w:lang w:val="en-US"/>
              </w:rPr>
              <w:t>2</w:t>
            </w:r>
            <w:r w:rsidRPr="007067E8">
              <w:rPr>
                <w:b/>
                <w:bCs/>
                <w:sz w:val="20"/>
                <w:szCs w:val="20"/>
                <w:lang w:val="en-US"/>
              </w:rPr>
              <w:t xml:space="preserve"> 202</w:t>
            </w:r>
            <w:r>
              <w:rPr>
                <w:b/>
                <w:bCs/>
                <w:sz w:val="20"/>
                <w:szCs w:val="20"/>
                <w:lang w:val="en-US"/>
              </w:rPr>
              <w:t>2</w:t>
            </w:r>
          </w:p>
        </w:tc>
        <w:tc>
          <w:tcPr>
            <w:tcW w:w="464" w:type="pct"/>
            <w:tcBorders>
              <w:top w:val="single" w:sz="12" w:space="0" w:color="auto"/>
              <w:bottom w:val="single" w:sz="12" w:space="0" w:color="auto"/>
            </w:tcBorders>
            <w:shd w:val="clear" w:color="auto" w:fill="auto"/>
            <w:noWrap/>
            <w:vAlign w:val="center"/>
          </w:tcPr>
          <w:p w14:paraId="6C001C3D" w14:textId="27BE826E" w:rsidR="008801D1" w:rsidRPr="007067E8" w:rsidRDefault="008801D1" w:rsidP="008801D1">
            <w:pPr>
              <w:pStyle w:val="c3"/>
              <w:jc w:val="both"/>
              <w:rPr>
                <w:b/>
                <w:bCs/>
                <w:sz w:val="20"/>
                <w:szCs w:val="20"/>
                <w:lang w:val="en-US"/>
              </w:rPr>
            </w:pPr>
            <w:r w:rsidRPr="007067E8">
              <w:rPr>
                <w:b/>
                <w:bCs/>
                <w:sz w:val="20"/>
                <w:szCs w:val="20"/>
                <w:lang w:val="en-US"/>
              </w:rPr>
              <w:t>Q</w:t>
            </w:r>
            <w:r>
              <w:rPr>
                <w:b/>
                <w:bCs/>
                <w:sz w:val="20"/>
                <w:szCs w:val="20"/>
                <w:lang w:val="en-US"/>
              </w:rPr>
              <w:t>2</w:t>
            </w:r>
            <w:r w:rsidRPr="007067E8">
              <w:rPr>
                <w:b/>
                <w:bCs/>
                <w:sz w:val="20"/>
                <w:szCs w:val="20"/>
                <w:lang w:val="en-US"/>
              </w:rPr>
              <w:t xml:space="preserve"> 202</w:t>
            </w:r>
            <w:r>
              <w:rPr>
                <w:b/>
                <w:bCs/>
                <w:sz w:val="20"/>
                <w:szCs w:val="20"/>
                <w:lang w:val="en-US"/>
              </w:rPr>
              <w:t>1</w:t>
            </w:r>
          </w:p>
        </w:tc>
        <w:tc>
          <w:tcPr>
            <w:tcW w:w="464" w:type="pct"/>
            <w:tcBorders>
              <w:top w:val="single" w:sz="12" w:space="0" w:color="auto"/>
              <w:bottom w:val="single" w:sz="12" w:space="0" w:color="auto"/>
            </w:tcBorders>
            <w:shd w:val="clear" w:color="auto" w:fill="auto"/>
            <w:noWrap/>
            <w:vAlign w:val="center"/>
          </w:tcPr>
          <w:p w14:paraId="5B4852C2" w14:textId="24F48032" w:rsidR="008801D1" w:rsidRPr="007067E8" w:rsidRDefault="008801D1" w:rsidP="008801D1">
            <w:pPr>
              <w:pStyle w:val="c3"/>
              <w:jc w:val="both"/>
              <w:rPr>
                <w:b/>
                <w:bCs/>
                <w:i/>
                <w:iCs/>
                <w:sz w:val="20"/>
                <w:szCs w:val="20"/>
                <w:lang w:val="en-US"/>
              </w:rPr>
            </w:pPr>
            <w:r w:rsidRPr="007067E8">
              <w:rPr>
                <w:b/>
                <w:bCs/>
                <w:i/>
                <w:sz w:val="20"/>
                <w:szCs w:val="20"/>
                <w:lang w:val="en-US"/>
              </w:rPr>
              <w:t xml:space="preserve">% </w:t>
            </w:r>
            <w:proofErr w:type="gramStart"/>
            <w:r w:rsidRPr="007067E8">
              <w:rPr>
                <w:b/>
                <w:bCs/>
                <w:i/>
                <w:sz w:val="20"/>
                <w:szCs w:val="20"/>
                <w:lang w:val="en-US"/>
              </w:rPr>
              <w:t>change</w:t>
            </w:r>
            <w:proofErr w:type="gramEnd"/>
            <w:r w:rsidRPr="007067E8">
              <w:rPr>
                <w:b/>
                <w:bCs/>
                <w:i/>
                <w:sz w:val="20"/>
                <w:szCs w:val="20"/>
                <w:lang w:val="en-US"/>
              </w:rPr>
              <w:t xml:space="preserve"> YoY</w:t>
            </w:r>
          </w:p>
        </w:tc>
        <w:tc>
          <w:tcPr>
            <w:tcW w:w="464" w:type="pct"/>
            <w:tcBorders>
              <w:top w:val="single" w:sz="12" w:space="0" w:color="auto"/>
              <w:bottom w:val="single" w:sz="12" w:space="0" w:color="auto"/>
            </w:tcBorders>
            <w:vAlign w:val="center"/>
          </w:tcPr>
          <w:p w14:paraId="009BCD66" w14:textId="77CC4BA7" w:rsidR="008801D1" w:rsidRPr="007067E8" w:rsidDel="00FA5C12" w:rsidRDefault="008801D1" w:rsidP="008801D1">
            <w:pPr>
              <w:pStyle w:val="c3"/>
              <w:jc w:val="both"/>
              <w:rPr>
                <w:b/>
                <w:bCs/>
                <w:iCs/>
                <w:sz w:val="20"/>
                <w:szCs w:val="20"/>
                <w:lang w:val="en-US"/>
              </w:rPr>
            </w:pPr>
            <w:r w:rsidRPr="007067E8">
              <w:rPr>
                <w:b/>
                <w:bCs/>
                <w:sz w:val="20"/>
                <w:szCs w:val="20"/>
                <w:lang w:val="en-US"/>
              </w:rPr>
              <w:t>Q</w:t>
            </w:r>
            <w:r>
              <w:rPr>
                <w:b/>
                <w:bCs/>
                <w:sz w:val="20"/>
                <w:szCs w:val="20"/>
                <w:lang w:val="en-US"/>
              </w:rPr>
              <w:t>1</w:t>
            </w:r>
            <w:r w:rsidRPr="007067E8">
              <w:rPr>
                <w:b/>
                <w:bCs/>
                <w:sz w:val="20"/>
                <w:szCs w:val="20"/>
                <w:lang w:val="en-US"/>
              </w:rPr>
              <w:t xml:space="preserve"> 202</w:t>
            </w:r>
            <w:r>
              <w:rPr>
                <w:b/>
                <w:bCs/>
                <w:sz w:val="20"/>
                <w:szCs w:val="20"/>
                <w:lang w:val="en-US"/>
              </w:rPr>
              <w:t>2</w:t>
            </w:r>
          </w:p>
        </w:tc>
        <w:tc>
          <w:tcPr>
            <w:tcW w:w="464" w:type="pct"/>
            <w:tcBorders>
              <w:top w:val="single" w:sz="12" w:space="0" w:color="auto"/>
              <w:bottom w:val="single" w:sz="12" w:space="0" w:color="auto"/>
            </w:tcBorders>
            <w:vAlign w:val="center"/>
          </w:tcPr>
          <w:p w14:paraId="74236B43" w14:textId="71D6CE24" w:rsidR="008801D1" w:rsidRPr="007067E8" w:rsidDel="00FA5C12" w:rsidRDefault="008801D1" w:rsidP="008801D1">
            <w:pPr>
              <w:pStyle w:val="c3"/>
              <w:jc w:val="both"/>
              <w:rPr>
                <w:b/>
                <w:bCs/>
                <w:iCs/>
                <w:sz w:val="20"/>
                <w:szCs w:val="20"/>
                <w:lang w:val="en-US"/>
              </w:rPr>
            </w:pPr>
            <w:r w:rsidRPr="007067E8">
              <w:rPr>
                <w:b/>
                <w:bCs/>
                <w:i/>
                <w:sz w:val="20"/>
                <w:szCs w:val="20"/>
                <w:lang w:val="en-US"/>
              </w:rPr>
              <w:t xml:space="preserve">% </w:t>
            </w:r>
            <w:proofErr w:type="gramStart"/>
            <w:r w:rsidRPr="007067E8">
              <w:rPr>
                <w:b/>
                <w:bCs/>
                <w:i/>
                <w:sz w:val="20"/>
                <w:szCs w:val="20"/>
                <w:lang w:val="en-US"/>
              </w:rPr>
              <w:t>change</w:t>
            </w:r>
            <w:proofErr w:type="gramEnd"/>
            <w:r w:rsidRPr="007067E8">
              <w:rPr>
                <w:b/>
                <w:bCs/>
                <w:i/>
                <w:sz w:val="20"/>
                <w:szCs w:val="20"/>
                <w:lang w:val="en-US"/>
              </w:rPr>
              <w:t xml:space="preserve"> </w:t>
            </w:r>
            <w:proofErr w:type="spellStart"/>
            <w:r w:rsidRPr="007067E8">
              <w:rPr>
                <w:b/>
                <w:bCs/>
                <w:i/>
                <w:sz w:val="20"/>
                <w:szCs w:val="20"/>
                <w:lang w:val="en-US"/>
              </w:rPr>
              <w:t>QoQ</w:t>
            </w:r>
            <w:proofErr w:type="spellEnd"/>
          </w:p>
        </w:tc>
        <w:tc>
          <w:tcPr>
            <w:tcW w:w="464" w:type="pct"/>
            <w:tcBorders>
              <w:top w:val="single" w:sz="12" w:space="0" w:color="auto"/>
              <w:bottom w:val="single" w:sz="12" w:space="0" w:color="auto"/>
            </w:tcBorders>
            <w:vAlign w:val="center"/>
          </w:tcPr>
          <w:p w14:paraId="0DD6E5CD" w14:textId="553D0E02" w:rsidR="008801D1" w:rsidRPr="007067E8" w:rsidRDefault="008801D1" w:rsidP="008801D1">
            <w:pPr>
              <w:pStyle w:val="c3"/>
              <w:jc w:val="both"/>
              <w:rPr>
                <w:b/>
                <w:bCs/>
                <w:iCs/>
                <w:sz w:val="20"/>
                <w:szCs w:val="20"/>
                <w:lang w:val="uk-UA"/>
              </w:rPr>
            </w:pPr>
            <w:r>
              <w:rPr>
                <w:b/>
                <w:bCs/>
                <w:iCs/>
                <w:sz w:val="20"/>
                <w:szCs w:val="20"/>
                <w:lang w:val="en-US"/>
              </w:rPr>
              <w:t>H1</w:t>
            </w:r>
            <w:r w:rsidRPr="007067E8">
              <w:rPr>
                <w:b/>
                <w:bCs/>
                <w:iCs/>
                <w:sz w:val="20"/>
                <w:szCs w:val="20"/>
                <w:lang w:val="en-US"/>
              </w:rPr>
              <w:t xml:space="preserve"> 202</w:t>
            </w:r>
            <w:r>
              <w:rPr>
                <w:b/>
                <w:bCs/>
                <w:iCs/>
                <w:sz w:val="20"/>
                <w:szCs w:val="20"/>
                <w:lang w:val="en-US"/>
              </w:rPr>
              <w:t>2</w:t>
            </w:r>
          </w:p>
        </w:tc>
        <w:tc>
          <w:tcPr>
            <w:tcW w:w="464" w:type="pct"/>
            <w:tcBorders>
              <w:top w:val="single" w:sz="12" w:space="0" w:color="auto"/>
              <w:bottom w:val="single" w:sz="12" w:space="0" w:color="auto"/>
            </w:tcBorders>
            <w:vAlign w:val="center"/>
          </w:tcPr>
          <w:p w14:paraId="083A9D40" w14:textId="53608908" w:rsidR="008801D1" w:rsidRPr="007067E8" w:rsidRDefault="008801D1" w:rsidP="008801D1">
            <w:pPr>
              <w:pStyle w:val="c3"/>
              <w:jc w:val="both"/>
              <w:rPr>
                <w:b/>
                <w:bCs/>
                <w:iCs/>
                <w:sz w:val="20"/>
                <w:szCs w:val="20"/>
                <w:lang w:val="en-US"/>
              </w:rPr>
            </w:pPr>
            <w:r>
              <w:rPr>
                <w:b/>
                <w:bCs/>
                <w:iCs/>
                <w:sz w:val="20"/>
                <w:szCs w:val="20"/>
                <w:lang w:val="en-US"/>
              </w:rPr>
              <w:t>H1</w:t>
            </w:r>
            <w:r w:rsidRPr="007067E8">
              <w:rPr>
                <w:b/>
                <w:bCs/>
                <w:iCs/>
                <w:sz w:val="20"/>
                <w:szCs w:val="20"/>
                <w:lang w:val="en-US"/>
              </w:rPr>
              <w:t xml:space="preserve"> 202</w:t>
            </w:r>
            <w:r>
              <w:rPr>
                <w:b/>
                <w:bCs/>
                <w:iCs/>
                <w:sz w:val="20"/>
                <w:szCs w:val="20"/>
                <w:lang w:val="en-US"/>
              </w:rPr>
              <w:t>1</w:t>
            </w:r>
          </w:p>
        </w:tc>
        <w:tc>
          <w:tcPr>
            <w:tcW w:w="462" w:type="pct"/>
            <w:tcBorders>
              <w:top w:val="single" w:sz="12" w:space="0" w:color="auto"/>
              <w:bottom w:val="single" w:sz="12" w:space="0" w:color="auto"/>
            </w:tcBorders>
            <w:vAlign w:val="center"/>
          </w:tcPr>
          <w:p w14:paraId="4BAF676E" w14:textId="77194846" w:rsidR="008801D1" w:rsidRPr="007067E8" w:rsidRDefault="008801D1" w:rsidP="008801D1">
            <w:pPr>
              <w:pStyle w:val="c3"/>
              <w:jc w:val="both"/>
              <w:rPr>
                <w:b/>
                <w:bCs/>
                <w:i/>
                <w:iCs/>
                <w:sz w:val="20"/>
                <w:szCs w:val="20"/>
                <w:lang w:val="en-US"/>
              </w:rPr>
            </w:pPr>
            <w:r w:rsidRPr="007067E8">
              <w:rPr>
                <w:b/>
                <w:bCs/>
                <w:i/>
                <w:sz w:val="20"/>
                <w:szCs w:val="20"/>
                <w:lang w:val="en-US"/>
              </w:rPr>
              <w:t xml:space="preserve">% </w:t>
            </w:r>
            <w:proofErr w:type="gramStart"/>
            <w:r w:rsidRPr="007067E8">
              <w:rPr>
                <w:b/>
                <w:bCs/>
                <w:i/>
                <w:sz w:val="20"/>
                <w:szCs w:val="20"/>
                <w:lang w:val="en-US"/>
              </w:rPr>
              <w:t>change</w:t>
            </w:r>
            <w:proofErr w:type="gramEnd"/>
          </w:p>
        </w:tc>
      </w:tr>
      <w:tr w:rsidR="008801D1" w:rsidRPr="007067E8" w14:paraId="74FF111F" w14:textId="77777777" w:rsidTr="00F56364">
        <w:trPr>
          <w:trHeight w:val="352"/>
        </w:trPr>
        <w:tc>
          <w:tcPr>
            <w:tcW w:w="1159" w:type="pct"/>
            <w:tcBorders>
              <w:top w:val="single" w:sz="12" w:space="0" w:color="auto"/>
            </w:tcBorders>
            <w:shd w:val="clear" w:color="auto" w:fill="auto"/>
            <w:noWrap/>
            <w:vAlign w:val="center"/>
          </w:tcPr>
          <w:p w14:paraId="176A6529" w14:textId="77777777" w:rsidR="008801D1" w:rsidRPr="007067E8" w:rsidRDefault="008801D1" w:rsidP="00F56364">
            <w:pPr>
              <w:pStyle w:val="c3"/>
              <w:rPr>
                <w:bCs/>
                <w:sz w:val="20"/>
                <w:szCs w:val="20"/>
                <w:lang w:val="en-US"/>
              </w:rPr>
            </w:pPr>
            <w:r w:rsidRPr="007067E8">
              <w:rPr>
                <w:bCs/>
                <w:sz w:val="20"/>
                <w:szCs w:val="20"/>
                <w:lang w:val="en-US"/>
              </w:rPr>
              <w:t xml:space="preserve">Sales volume, </w:t>
            </w:r>
            <w:proofErr w:type="spellStart"/>
            <w:r w:rsidRPr="007067E8">
              <w:rPr>
                <w:bCs/>
                <w:sz w:val="20"/>
                <w:szCs w:val="20"/>
                <w:lang w:val="en-US"/>
              </w:rPr>
              <w:t>tonnes</w:t>
            </w:r>
            <w:proofErr w:type="spellEnd"/>
          </w:p>
        </w:tc>
        <w:tc>
          <w:tcPr>
            <w:tcW w:w="131" w:type="pct"/>
            <w:tcBorders>
              <w:top w:val="single" w:sz="12" w:space="0" w:color="auto"/>
            </w:tcBorders>
            <w:vAlign w:val="center"/>
          </w:tcPr>
          <w:p w14:paraId="67B7938F" w14:textId="77777777" w:rsidR="008801D1" w:rsidRPr="007067E8" w:rsidRDefault="008801D1" w:rsidP="00F56364">
            <w:pPr>
              <w:pStyle w:val="c3"/>
              <w:jc w:val="both"/>
              <w:rPr>
                <w:b/>
                <w:bCs/>
                <w:sz w:val="20"/>
                <w:szCs w:val="20"/>
                <w:lang w:val="en-US"/>
              </w:rPr>
            </w:pPr>
          </w:p>
        </w:tc>
        <w:tc>
          <w:tcPr>
            <w:tcW w:w="464" w:type="pct"/>
            <w:tcBorders>
              <w:top w:val="single" w:sz="12" w:space="0" w:color="auto"/>
            </w:tcBorders>
            <w:shd w:val="clear" w:color="auto" w:fill="auto"/>
            <w:noWrap/>
            <w:vAlign w:val="center"/>
          </w:tcPr>
          <w:p w14:paraId="08A4C199" w14:textId="1D562DDA" w:rsidR="008801D1" w:rsidRPr="007067E8" w:rsidRDefault="00B11F71" w:rsidP="00F56364">
            <w:pPr>
              <w:pStyle w:val="c3"/>
              <w:jc w:val="both"/>
              <w:rPr>
                <w:bCs/>
                <w:sz w:val="20"/>
                <w:szCs w:val="20"/>
                <w:lang w:val="en-US"/>
              </w:rPr>
            </w:pPr>
            <w:r>
              <w:rPr>
                <w:bCs/>
                <w:sz w:val="20"/>
                <w:szCs w:val="20"/>
                <w:lang w:val="en-US"/>
              </w:rPr>
              <w:t>3,421</w:t>
            </w:r>
          </w:p>
        </w:tc>
        <w:tc>
          <w:tcPr>
            <w:tcW w:w="464" w:type="pct"/>
            <w:tcBorders>
              <w:top w:val="single" w:sz="12" w:space="0" w:color="auto"/>
            </w:tcBorders>
            <w:shd w:val="clear" w:color="auto" w:fill="auto"/>
            <w:noWrap/>
            <w:vAlign w:val="center"/>
          </w:tcPr>
          <w:p w14:paraId="33A3CC98" w14:textId="2677DC38" w:rsidR="008801D1" w:rsidRPr="007067E8" w:rsidRDefault="00B11F71" w:rsidP="00F56364">
            <w:pPr>
              <w:pStyle w:val="c3"/>
              <w:jc w:val="both"/>
              <w:rPr>
                <w:bCs/>
                <w:sz w:val="20"/>
                <w:szCs w:val="20"/>
                <w:lang w:val="en-US"/>
              </w:rPr>
            </w:pPr>
            <w:r>
              <w:rPr>
                <w:bCs/>
                <w:sz w:val="20"/>
                <w:szCs w:val="20"/>
                <w:lang w:val="en-US"/>
              </w:rPr>
              <w:t>4,485</w:t>
            </w:r>
          </w:p>
        </w:tc>
        <w:tc>
          <w:tcPr>
            <w:tcW w:w="464" w:type="pct"/>
            <w:tcBorders>
              <w:top w:val="single" w:sz="12" w:space="0" w:color="auto"/>
            </w:tcBorders>
            <w:shd w:val="clear" w:color="auto" w:fill="auto"/>
            <w:noWrap/>
            <w:vAlign w:val="center"/>
          </w:tcPr>
          <w:p w14:paraId="2DECBE09" w14:textId="491112B9" w:rsidR="008801D1" w:rsidRPr="007067E8" w:rsidRDefault="008801D1" w:rsidP="00F56364">
            <w:pPr>
              <w:pStyle w:val="c3"/>
              <w:jc w:val="both"/>
              <w:rPr>
                <w:bCs/>
                <w:i/>
                <w:sz w:val="20"/>
                <w:szCs w:val="20"/>
                <w:lang w:val="en-US"/>
              </w:rPr>
            </w:pPr>
            <w:r w:rsidRPr="007067E8">
              <w:rPr>
                <w:bCs/>
                <w:i/>
                <w:sz w:val="20"/>
                <w:szCs w:val="20"/>
                <w:lang w:val="en-US"/>
              </w:rPr>
              <w:t>-</w:t>
            </w:r>
            <w:r w:rsidR="00B11F71">
              <w:rPr>
                <w:bCs/>
                <w:i/>
                <w:sz w:val="20"/>
                <w:szCs w:val="20"/>
                <w:lang w:val="en-US"/>
              </w:rPr>
              <w:t>24</w:t>
            </w:r>
            <w:r w:rsidRPr="007067E8">
              <w:rPr>
                <w:bCs/>
                <w:i/>
                <w:sz w:val="20"/>
                <w:szCs w:val="20"/>
                <w:lang w:val="en-US"/>
              </w:rPr>
              <w:t>%</w:t>
            </w:r>
          </w:p>
        </w:tc>
        <w:tc>
          <w:tcPr>
            <w:tcW w:w="464" w:type="pct"/>
            <w:tcBorders>
              <w:top w:val="single" w:sz="12" w:space="0" w:color="auto"/>
            </w:tcBorders>
            <w:vAlign w:val="center"/>
          </w:tcPr>
          <w:p w14:paraId="6E431870" w14:textId="148F296C" w:rsidR="008801D1" w:rsidRPr="007067E8" w:rsidRDefault="00B11F71" w:rsidP="00F56364">
            <w:pPr>
              <w:pStyle w:val="c3"/>
              <w:jc w:val="both"/>
              <w:rPr>
                <w:bCs/>
                <w:sz w:val="20"/>
                <w:szCs w:val="20"/>
                <w:lang w:val="en-US"/>
              </w:rPr>
            </w:pPr>
            <w:r>
              <w:rPr>
                <w:bCs/>
                <w:sz w:val="20"/>
                <w:szCs w:val="20"/>
                <w:lang w:val="en-US"/>
              </w:rPr>
              <w:t>3,989</w:t>
            </w:r>
          </w:p>
        </w:tc>
        <w:tc>
          <w:tcPr>
            <w:tcW w:w="464" w:type="pct"/>
            <w:tcBorders>
              <w:top w:val="single" w:sz="12" w:space="0" w:color="auto"/>
            </w:tcBorders>
            <w:vAlign w:val="center"/>
          </w:tcPr>
          <w:p w14:paraId="1F0D713B" w14:textId="5D8B619F" w:rsidR="008801D1" w:rsidRPr="007067E8" w:rsidRDefault="008801D1" w:rsidP="00F56364">
            <w:pPr>
              <w:pStyle w:val="c3"/>
              <w:jc w:val="both"/>
              <w:rPr>
                <w:bCs/>
                <w:i/>
                <w:sz w:val="20"/>
                <w:szCs w:val="20"/>
                <w:lang w:val="en-US"/>
              </w:rPr>
            </w:pPr>
            <w:r w:rsidRPr="007067E8">
              <w:rPr>
                <w:bCs/>
                <w:i/>
                <w:sz w:val="20"/>
                <w:szCs w:val="20"/>
                <w:lang w:val="en-US"/>
              </w:rPr>
              <w:t>-</w:t>
            </w:r>
            <w:r w:rsidR="00B11F71">
              <w:rPr>
                <w:bCs/>
                <w:i/>
                <w:sz w:val="20"/>
                <w:szCs w:val="20"/>
                <w:lang w:val="en-US"/>
              </w:rPr>
              <w:t>14</w:t>
            </w:r>
            <w:r w:rsidRPr="007067E8">
              <w:rPr>
                <w:bCs/>
                <w:i/>
                <w:sz w:val="20"/>
                <w:szCs w:val="20"/>
                <w:lang w:val="en-US"/>
              </w:rPr>
              <w:t>%</w:t>
            </w:r>
          </w:p>
        </w:tc>
        <w:tc>
          <w:tcPr>
            <w:tcW w:w="464" w:type="pct"/>
            <w:tcBorders>
              <w:top w:val="single" w:sz="12" w:space="0" w:color="auto"/>
            </w:tcBorders>
            <w:vAlign w:val="center"/>
          </w:tcPr>
          <w:p w14:paraId="61BDB7AD" w14:textId="3E09B6D8" w:rsidR="008801D1" w:rsidRPr="007067E8" w:rsidRDefault="00B11F71" w:rsidP="00F56364">
            <w:pPr>
              <w:pStyle w:val="c3"/>
              <w:jc w:val="both"/>
              <w:rPr>
                <w:bCs/>
                <w:iCs/>
                <w:sz w:val="20"/>
                <w:szCs w:val="20"/>
                <w:lang w:val="en-US"/>
              </w:rPr>
            </w:pPr>
            <w:r>
              <w:rPr>
                <w:bCs/>
                <w:iCs/>
                <w:sz w:val="20"/>
                <w:szCs w:val="20"/>
                <w:lang w:val="en-US"/>
              </w:rPr>
              <w:t>7,410</w:t>
            </w:r>
          </w:p>
        </w:tc>
        <w:tc>
          <w:tcPr>
            <w:tcW w:w="464" w:type="pct"/>
            <w:tcBorders>
              <w:top w:val="single" w:sz="12" w:space="0" w:color="auto"/>
            </w:tcBorders>
            <w:vAlign w:val="center"/>
          </w:tcPr>
          <w:p w14:paraId="463C607B" w14:textId="346977D7" w:rsidR="008801D1" w:rsidRPr="007067E8" w:rsidRDefault="00B11F71" w:rsidP="00F56364">
            <w:pPr>
              <w:pStyle w:val="c3"/>
              <w:jc w:val="both"/>
              <w:rPr>
                <w:bCs/>
                <w:iCs/>
                <w:sz w:val="20"/>
                <w:szCs w:val="20"/>
                <w:lang w:val="en-US"/>
              </w:rPr>
            </w:pPr>
            <w:r>
              <w:rPr>
                <w:bCs/>
                <w:iCs/>
                <w:sz w:val="20"/>
                <w:szCs w:val="20"/>
                <w:lang w:val="en-US"/>
              </w:rPr>
              <w:t>8,665</w:t>
            </w:r>
          </w:p>
        </w:tc>
        <w:tc>
          <w:tcPr>
            <w:tcW w:w="462" w:type="pct"/>
            <w:tcBorders>
              <w:top w:val="single" w:sz="12" w:space="0" w:color="auto"/>
            </w:tcBorders>
            <w:vAlign w:val="center"/>
          </w:tcPr>
          <w:p w14:paraId="154E3976" w14:textId="511F3005" w:rsidR="008801D1" w:rsidRPr="007067E8" w:rsidRDefault="008801D1" w:rsidP="00F56364">
            <w:pPr>
              <w:pStyle w:val="c3"/>
              <w:jc w:val="both"/>
              <w:rPr>
                <w:bCs/>
                <w:i/>
                <w:sz w:val="20"/>
                <w:szCs w:val="20"/>
                <w:lang w:val="en-US"/>
              </w:rPr>
            </w:pPr>
            <w:r w:rsidRPr="007067E8">
              <w:rPr>
                <w:bCs/>
                <w:i/>
                <w:sz w:val="20"/>
                <w:szCs w:val="20"/>
                <w:lang w:val="en-US"/>
              </w:rPr>
              <w:t>-</w:t>
            </w:r>
            <w:r w:rsidR="00B11F71">
              <w:rPr>
                <w:bCs/>
                <w:i/>
                <w:sz w:val="20"/>
                <w:szCs w:val="20"/>
                <w:lang w:val="en-US"/>
              </w:rPr>
              <w:t>14</w:t>
            </w:r>
            <w:r w:rsidRPr="007067E8">
              <w:rPr>
                <w:bCs/>
                <w:i/>
                <w:sz w:val="20"/>
                <w:szCs w:val="20"/>
                <w:lang w:val="en-US"/>
              </w:rPr>
              <w:t>%</w:t>
            </w:r>
          </w:p>
        </w:tc>
      </w:tr>
      <w:tr w:rsidR="008801D1" w:rsidRPr="007067E8" w14:paraId="5131D002" w14:textId="77777777" w:rsidTr="00F56364">
        <w:trPr>
          <w:trHeight w:val="352"/>
        </w:trPr>
        <w:tc>
          <w:tcPr>
            <w:tcW w:w="1159" w:type="pct"/>
            <w:shd w:val="clear" w:color="auto" w:fill="auto"/>
            <w:noWrap/>
            <w:vAlign w:val="center"/>
          </w:tcPr>
          <w:p w14:paraId="7840C75F" w14:textId="77777777" w:rsidR="008801D1" w:rsidRPr="007067E8" w:rsidRDefault="008801D1" w:rsidP="00F56364">
            <w:pPr>
              <w:pStyle w:val="c3"/>
              <w:rPr>
                <w:b/>
                <w:bCs/>
                <w:sz w:val="20"/>
                <w:szCs w:val="20"/>
                <w:lang w:val="nl-NL"/>
              </w:rPr>
            </w:pPr>
            <w:r w:rsidRPr="007067E8">
              <w:rPr>
                <w:sz w:val="20"/>
                <w:szCs w:val="20"/>
                <w:lang w:val="nl-NL"/>
              </w:rPr>
              <w:t>Price per 1 kg net VAT, UAH</w:t>
            </w:r>
          </w:p>
        </w:tc>
        <w:tc>
          <w:tcPr>
            <w:tcW w:w="131" w:type="pct"/>
            <w:vAlign w:val="center"/>
          </w:tcPr>
          <w:p w14:paraId="682D841E" w14:textId="77777777" w:rsidR="008801D1" w:rsidRPr="007067E8" w:rsidRDefault="008801D1" w:rsidP="00F56364">
            <w:pPr>
              <w:pStyle w:val="c3"/>
              <w:jc w:val="both"/>
              <w:rPr>
                <w:b/>
                <w:bCs/>
                <w:sz w:val="20"/>
                <w:szCs w:val="20"/>
                <w:lang w:val="nl-NL"/>
              </w:rPr>
            </w:pPr>
          </w:p>
        </w:tc>
        <w:tc>
          <w:tcPr>
            <w:tcW w:w="464" w:type="pct"/>
            <w:shd w:val="clear" w:color="auto" w:fill="auto"/>
            <w:noWrap/>
            <w:vAlign w:val="center"/>
          </w:tcPr>
          <w:p w14:paraId="35324F70" w14:textId="30D7F7B2" w:rsidR="008801D1" w:rsidRPr="007067E8" w:rsidRDefault="008801D1" w:rsidP="00F56364">
            <w:pPr>
              <w:pStyle w:val="c3"/>
              <w:jc w:val="both"/>
              <w:rPr>
                <w:bCs/>
                <w:sz w:val="20"/>
                <w:szCs w:val="20"/>
                <w:lang w:val="nl-NL"/>
              </w:rPr>
            </w:pPr>
            <w:r w:rsidRPr="007067E8">
              <w:rPr>
                <w:bCs/>
                <w:sz w:val="20"/>
                <w:szCs w:val="20"/>
                <w:lang w:val="nl-NL"/>
              </w:rPr>
              <w:t>58</w:t>
            </w:r>
            <w:r w:rsidR="00B11F71">
              <w:rPr>
                <w:bCs/>
                <w:sz w:val="20"/>
                <w:szCs w:val="20"/>
                <w:lang w:val="nl-NL"/>
              </w:rPr>
              <w:t>.94</w:t>
            </w:r>
          </w:p>
        </w:tc>
        <w:tc>
          <w:tcPr>
            <w:tcW w:w="464" w:type="pct"/>
            <w:shd w:val="clear" w:color="auto" w:fill="auto"/>
            <w:noWrap/>
            <w:vAlign w:val="center"/>
          </w:tcPr>
          <w:p w14:paraId="661E3BAD" w14:textId="25C02606" w:rsidR="008801D1" w:rsidRPr="007067E8" w:rsidRDefault="008801D1" w:rsidP="00F56364">
            <w:pPr>
              <w:pStyle w:val="c3"/>
              <w:jc w:val="both"/>
              <w:rPr>
                <w:bCs/>
                <w:sz w:val="20"/>
                <w:szCs w:val="20"/>
                <w:lang w:val="nl-NL"/>
              </w:rPr>
            </w:pPr>
            <w:r w:rsidRPr="007067E8">
              <w:rPr>
                <w:bCs/>
                <w:sz w:val="20"/>
                <w:szCs w:val="20"/>
                <w:lang w:val="nl-NL"/>
              </w:rPr>
              <w:t>5</w:t>
            </w:r>
            <w:r w:rsidR="00B11F71">
              <w:rPr>
                <w:bCs/>
                <w:sz w:val="20"/>
                <w:szCs w:val="20"/>
                <w:lang w:val="nl-NL"/>
              </w:rPr>
              <w:t>0.91</w:t>
            </w:r>
          </w:p>
        </w:tc>
        <w:tc>
          <w:tcPr>
            <w:tcW w:w="464" w:type="pct"/>
            <w:shd w:val="clear" w:color="auto" w:fill="auto"/>
            <w:noWrap/>
            <w:vAlign w:val="center"/>
          </w:tcPr>
          <w:p w14:paraId="30E43A55" w14:textId="52E86DF4" w:rsidR="008801D1" w:rsidRPr="007067E8" w:rsidRDefault="008801D1" w:rsidP="00F56364">
            <w:pPr>
              <w:pStyle w:val="c3"/>
              <w:jc w:val="both"/>
              <w:rPr>
                <w:bCs/>
                <w:i/>
                <w:sz w:val="20"/>
                <w:szCs w:val="20"/>
                <w:lang w:val="nl-NL"/>
              </w:rPr>
            </w:pPr>
            <w:r w:rsidRPr="007067E8">
              <w:rPr>
                <w:bCs/>
                <w:i/>
                <w:sz w:val="20"/>
                <w:szCs w:val="20"/>
                <w:lang w:val="nl-NL"/>
              </w:rPr>
              <w:t>1</w:t>
            </w:r>
            <w:r w:rsidR="00B11F71">
              <w:rPr>
                <w:bCs/>
                <w:i/>
                <w:sz w:val="20"/>
                <w:szCs w:val="20"/>
                <w:lang w:val="nl-NL"/>
              </w:rPr>
              <w:t>6</w:t>
            </w:r>
            <w:r w:rsidRPr="007067E8">
              <w:rPr>
                <w:bCs/>
                <w:i/>
                <w:sz w:val="20"/>
                <w:szCs w:val="20"/>
                <w:lang w:val="nl-NL"/>
              </w:rPr>
              <w:t>%</w:t>
            </w:r>
          </w:p>
        </w:tc>
        <w:tc>
          <w:tcPr>
            <w:tcW w:w="464" w:type="pct"/>
            <w:vAlign w:val="center"/>
          </w:tcPr>
          <w:p w14:paraId="3E9EAA97" w14:textId="3DC80736" w:rsidR="008801D1" w:rsidRPr="007067E8" w:rsidRDefault="00B11F71" w:rsidP="00F56364">
            <w:pPr>
              <w:pStyle w:val="c3"/>
              <w:jc w:val="both"/>
              <w:rPr>
                <w:bCs/>
                <w:sz w:val="20"/>
                <w:szCs w:val="20"/>
                <w:lang w:val="nl-NL"/>
              </w:rPr>
            </w:pPr>
            <w:r>
              <w:rPr>
                <w:bCs/>
                <w:sz w:val="20"/>
                <w:szCs w:val="20"/>
                <w:lang w:val="nl-NL"/>
              </w:rPr>
              <w:t>53.55</w:t>
            </w:r>
          </w:p>
        </w:tc>
        <w:tc>
          <w:tcPr>
            <w:tcW w:w="464" w:type="pct"/>
            <w:vAlign w:val="center"/>
          </w:tcPr>
          <w:p w14:paraId="68034948" w14:textId="77777777" w:rsidR="008801D1" w:rsidRPr="007067E8" w:rsidRDefault="008801D1" w:rsidP="00F56364">
            <w:pPr>
              <w:pStyle w:val="c3"/>
              <w:jc w:val="both"/>
              <w:rPr>
                <w:bCs/>
                <w:i/>
                <w:sz w:val="20"/>
                <w:szCs w:val="20"/>
                <w:lang w:val="nl-NL"/>
              </w:rPr>
            </w:pPr>
            <w:r w:rsidRPr="007067E8">
              <w:rPr>
                <w:bCs/>
                <w:i/>
                <w:sz w:val="20"/>
                <w:szCs w:val="20"/>
                <w:lang w:val="nl-NL"/>
              </w:rPr>
              <w:t>10%</w:t>
            </w:r>
          </w:p>
        </w:tc>
        <w:tc>
          <w:tcPr>
            <w:tcW w:w="464" w:type="pct"/>
            <w:vAlign w:val="center"/>
          </w:tcPr>
          <w:p w14:paraId="611F349C" w14:textId="72809A74" w:rsidR="008801D1" w:rsidRPr="007067E8" w:rsidRDefault="00B11F71" w:rsidP="00F56364">
            <w:pPr>
              <w:pStyle w:val="c3"/>
              <w:jc w:val="both"/>
              <w:rPr>
                <w:bCs/>
                <w:iCs/>
                <w:sz w:val="20"/>
                <w:szCs w:val="20"/>
                <w:lang w:val="nl-NL"/>
              </w:rPr>
            </w:pPr>
            <w:r>
              <w:rPr>
                <w:bCs/>
                <w:iCs/>
                <w:sz w:val="20"/>
                <w:szCs w:val="20"/>
                <w:lang w:val="nl-NL"/>
              </w:rPr>
              <w:t>56.04</w:t>
            </w:r>
          </w:p>
        </w:tc>
        <w:tc>
          <w:tcPr>
            <w:tcW w:w="464" w:type="pct"/>
            <w:vAlign w:val="center"/>
          </w:tcPr>
          <w:p w14:paraId="05321C44" w14:textId="56CBDA0B" w:rsidR="008801D1" w:rsidRPr="007067E8" w:rsidRDefault="00B11F71" w:rsidP="00F56364">
            <w:pPr>
              <w:pStyle w:val="c3"/>
              <w:jc w:val="both"/>
              <w:rPr>
                <w:bCs/>
                <w:iCs/>
                <w:sz w:val="20"/>
                <w:szCs w:val="20"/>
                <w:lang w:val="nl-NL"/>
              </w:rPr>
            </w:pPr>
            <w:r>
              <w:rPr>
                <w:bCs/>
                <w:iCs/>
                <w:sz w:val="20"/>
                <w:szCs w:val="20"/>
                <w:lang w:val="nl-NL"/>
              </w:rPr>
              <w:t>47.11</w:t>
            </w:r>
          </w:p>
        </w:tc>
        <w:tc>
          <w:tcPr>
            <w:tcW w:w="462" w:type="pct"/>
            <w:vAlign w:val="center"/>
          </w:tcPr>
          <w:p w14:paraId="6E731D24" w14:textId="10E65A42" w:rsidR="008801D1" w:rsidRPr="007067E8" w:rsidRDefault="00B11F71" w:rsidP="00F56364">
            <w:pPr>
              <w:pStyle w:val="c3"/>
              <w:jc w:val="both"/>
              <w:rPr>
                <w:bCs/>
                <w:i/>
                <w:sz w:val="20"/>
                <w:szCs w:val="20"/>
                <w:lang w:val="nl-NL"/>
              </w:rPr>
            </w:pPr>
            <w:r>
              <w:rPr>
                <w:bCs/>
                <w:i/>
                <w:sz w:val="20"/>
                <w:szCs w:val="20"/>
                <w:lang w:val="nl-NL"/>
              </w:rPr>
              <w:t>19</w:t>
            </w:r>
            <w:r w:rsidR="008801D1" w:rsidRPr="007067E8">
              <w:rPr>
                <w:bCs/>
                <w:i/>
                <w:sz w:val="20"/>
                <w:szCs w:val="20"/>
                <w:lang w:val="nl-NL"/>
              </w:rPr>
              <w:t>%</w:t>
            </w:r>
          </w:p>
        </w:tc>
      </w:tr>
    </w:tbl>
    <w:bookmarkEnd w:id="1"/>
    <w:p w14:paraId="4E167066" w14:textId="3E493389" w:rsidR="00C57DB6" w:rsidRPr="00BC4C0D" w:rsidRDefault="00C57DB6" w:rsidP="00C57DB6">
      <w:pPr>
        <w:pStyle w:val="c3"/>
        <w:jc w:val="both"/>
        <w:rPr>
          <w:sz w:val="20"/>
          <w:szCs w:val="20"/>
          <w:lang w:val="en-US"/>
        </w:rPr>
      </w:pPr>
      <w:r w:rsidRPr="00BC4C0D">
        <w:rPr>
          <w:sz w:val="20"/>
          <w:szCs w:val="20"/>
          <w:lang w:val="en-US"/>
        </w:rPr>
        <w:t>Sales volumes of meat-processing products (sausages and smoked meat) in Q2 202</w:t>
      </w:r>
      <w:r w:rsidR="00840E6F" w:rsidRPr="00BC4C0D">
        <w:rPr>
          <w:sz w:val="20"/>
          <w:szCs w:val="20"/>
          <w:lang w:val="uk-UA"/>
        </w:rPr>
        <w:t>2</w:t>
      </w:r>
      <w:r w:rsidRPr="00BC4C0D">
        <w:rPr>
          <w:sz w:val="20"/>
          <w:szCs w:val="20"/>
          <w:lang w:val="en-US"/>
        </w:rPr>
        <w:t xml:space="preserve"> </w:t>
      </w:r>
      <w:r w:rsidR="00840E6F" w:rsidRPr="00BC4C0D">
        <w:rPr>
          <w:sz w:val="20"/>
          <w:szCs w:val="20"/>
          <w:lang w:val="en-US"/>
        </w:rPr>
        <w:t xml:space="preserve">decreased by 73% year-on-year to </w:t>
      </w:r>
      <w:r w:rsidR="00840E6F" w:rsidRPr="00BC4C0D">
        <w:rPr>
          <w:sz w:val="20"/>
          <w:szCs w:val="20"/>
          <w:lang w:val="uk-UA"/>
        </w:rPr>
        <w:t>2,289</w:t>
      </w:r>
      <w:r w:rsidRPr="00BC4C0D">
        <w:rPr>
          <w:sz w:val="20"/>
          <w:szCs w:val="20"/>
          <w:lang w:val="en-US"/>
        </w:rPr>
        <w:t xml:space="preserve"> </w:t>
      </w:r>
      <w:proofErr w:type="spellStart"/>
      <w:r w:rsidRPr="00BC4C0D">
        <w:rPr>
          <w:sz w:val="20"/>
          <w:szCs w:val="20"/>
          <w:lang w:val="en-US"/>
        </w:rPr>
        <w:t>tonnes</w:t>
      </w:r>
      <w:proofErr w:type="spellEnd"/>
      <w:r w:rsidR="00840E6F" w:rsidRPr="00BC4C0D">
        <w:rPr>
          <w:sz w:val="20"/>
          <w:szCs w:val="20"/>
          <w:lang w:val="en-US"/>
        </w:rPr>
        <w:t xml:space="preserve">, driven by war-related </w:t>
      </w:r>
      <w:r w:rsidR="005D036E" w:rsidRPr="00BC4C0D">
        <w:rPr>
          <w:sz w:val="20"/>
          <w:szCs w:val="20"/>
          <w:lang w:val="en-US"/>
        </w:rPr>
        <w:t>consequences – the Ukrainian Bacon ceased its operations at the beginning of April 2022</w:t>
      </w:r>
      <w:r w:rsidRPr="00BC4C0D">
        <w:rPr>
          <w:sz w:val="20"/>
          <w:szCs w:val="20"/>
          <w:lang w:val="en-US"/>
        </w:rPr>
        <w:t>. The average price in Q2 202</w:t>
      </w:r>
      <w:r w:rsidR="00840E6F" w:rsidRPr="00BC4C0D">
        <w:rPr>
          <w:sz w:val="20"/>
          <w:szCs w:val="20"/>
          <w:lang w:val="en-US"/>
        </w:rPr>
        <w:t>2</w:t>
      </w:r>
      <w:r w:rsidRPr="00BC4C0D">
        <w:rPr>
          <w:sz w:val="20"/>
          <w:szCs w:val="20"/>
          <w:lang w:val="en-US"/>
        </w:rPr>
        <w:t xml:space="preserve"> increased by </w:t>
      </w:r>
      <w:r w:rsidR="00840E6F" w:rsidRPr="00BC4C0D">
        <w:rPr>
          <w:sz w:val="20"/>
          <w:szCs w:val="20"/>
          <w:lang w:val="en-US"/>
        </w:rPr>
        <w:t>9</w:t>
      </w:r>
      <w:r w:rsidRPr="00BC4C0D">
        <w:rPr>
          <w:sz w:val="20"/>
          <w:szCs w:val="20"/>
          <w:lang w:val="en-US"/>
        </w:rPr>
        <w:t>% to UAH 8</w:t>
      </w:r>
      <w:r w:rsidR="00840E6F" w:rsidRPr="00BC4C0D">
        <w:rPr>
          <w:sz w:val="20"/>
          <w:szCs w:val="20"/>
          <w:lang w:val="en-US"/>
        </w:rPr>
        <w:t>8.34</w:t>
      </w:r>
      <w:r w:rsidRPr="00BC4C0D">
        <w:rPr>
          <w:sz w:val="20"/>
          <w:szCs w:val="20"/>
          <w:lang w:val="en-US"/>
        </w:rPr>
        <w:t xml:space="preserve"> per kg (excluding VAT) year-on-year driven mainly by an increase in raw material price (poultry meat. </w:t>
      </w:r>
    </w:p>
    <w:p w14:paraId="4DE2C688" w14:textId="02C2FB65" w:rsidR="00C57DB6" w:rsidRPr="00BC4C0D" w:rsidRDefault="00C57DB6" w:rsidP="00C57DB6">
      <w:pPr>
        <w:pStyle w:val="c3"/>
        <w:jc w:val="both"/>
        <w:rPr>
          <w:sz w:val="20"/>
          <w:szCs w:val="20"/>
          <w:lang w:val="en-US"/>
        </w:rPr>
      </w:pPr>
      <w:r w:rsidRPr="00BC4C0D">
        <w:rPr>
          <w:sz w:val="20"/>
          <w:szCs w:val="20"/>
          <w:lang w:val="en-US"/>
        </w:rPr>
        <w:t>Sales volumes of convenience food in Q2 202</w:t>
      </w:r>
      <w:r w:rsidR="00840E6F" w:rsidRPr="00BC4C0D">
        <w:rPr>
          <w:sz w:val="20"/>
          <w:szCs w:val="20"/>
          <w:lang w:val="en-US"/>
        </w:rPr>
        <w:t>2</w:t>
      </w:r>
      <w:r w:rsidRPr="00BC4C0D">
        <w:rPr>
          <w:sz w:val="20"/>
          <w:szCs w:val="20"/>
          <w:lang w:val="en-US"/>
        </w:rPr>
        <w:t xml:space="preserve"> </w:t>
      </w:r>
      <w:r w:rsidR="00840E6F" w:rsidRPr="00BC4C0D">
        <w:rPr>
          <w:sz w:val="20"/>
          <w:szCs w:val="20"/>
          <w:lang w:val="en-US"/>
        </w:rPr>
        <w:t xml:space="preserve">decreased by 24% </w:t>
      </w:r>
      <w:r w:rsidR="006B094B" w:rsidRPr="00BC4C0D">
        <w:rPr>
          <w:sz w:val="20"/>
          <w:szCs w:val="20"/>
          <w:lang w:val="en-US"/>
        </w:rPr>
        <w:t xml:space="preserve">year-on-year </w:t>
      </w:r>
      <w:r w:rsidR="00840E6F" w:rsidRPr="00BC4C0D">
        <w:rPr>
          <w:sz w:val="20"/>
          <w:szCs w:val="20"/>
          <w:lang w:val="en-US"/>
        </w:rPr>
        <w:t>to 3,421</w:t>
      </w:r>
      <w:r w:rsidRPr="00BC4C0D">
        <w:rPr>
          <w:sz w:val="20"/>
          <w:szCs w:val="20"/>
          <w:lang w:val="en-US"/>
        </w:rPr>
        <w:t xml:space="preserve"> </w:t>
      </w:r>
      <w:proofErr w:type="spellStart"/>
      <w:r w:rsidRPr="00BC4C0D">
        <w:rPr>
          <w:sz w:val="20"/>
          <w:szCs w:val="20"/>
          <w:lang w:val="en-US"/>
        </w:rPr>
        <w:t>tonnes</w:t>
      </w:r>
      <w:proofErr w:type="spellEnd"/>
      <w:r w:rsidR="005D036E" w:rsidRPr="00BC4C0D">
        <w:rPr>
          <w:sz w:val="20"/>
          <w:szCs w:val="20"/>
          <w:lang w:val="en-US"/>
        </w:rPr>
        <w:t xml:space="preserve">, mainly driven by significant disruptions in </w:t>
      </w:r>
      <w:proofErr w:type="spellStart"/>
      <w:r w:rsidR="005D036E" w:rsidRPr="00BC4C0D">
        <w:rPr>
          <w:sz w:val="20"/>
          <w:szCs w:val="20"/>
          <w:lang w:val="en-US"/>
        </w:rPr>
        <w:t>HoReCa</w:t>
      </w:r>
      <w:proofErr w:type="spellEnd"/>
      <w:r w:rsidR="005D036E" w:rsidRPr="00BC4C0D">
        <w:rPr>
          <w:sz w:val="20"/>
          <w:szCs w:val="20"/>
          <w:lang w:val="en-US"/>
        </w:rPr>
        <w:t xml:space="preserve"> (both KFC and McDonalds had to cease its operations in Ukraine because of the war)</w:t>
      </w:r>
      <w:r w:rsidRPr="00BC4C0D">
        <w:rPr>
          <w:sz w:val="20"/>
          <w:szCs w:val="20"/>
          <w:lang w:val="en-US"/>
        </w:rPr>
        <w:t>. The average price in Q2 202</w:t>
      </w:r>
      <w:r w:rsidR="006B094B" w:rsidRPr="00BC4C0D">
        <w:rPr>
          <w:sz w:val="20"/>
          <w:szCs w:val="20"/>
          <w:lang w:val="en-US"/>
        </w:rPr>
        <w:t>2</w:t>
      </w:r>
      <w:r w:rsidRPr="00BC4C0D">
        <w:rPr>
          <w:sz w:val="20"/>
          <w:szCs w:val="20"/>
          <w:lang w:val="en-US"/>
        </w:rPr>
        <w:t xml:space="preserve"> increased by </w:t>
      </w:r>
      <w:r w:rsidR="006B094B" w:rsidRPr="00BC4C0D">
        <w:rPr>
          <w:sz w:val="20"/>
          <w:szCs w:val="20"/>
          <w:lang w:val="en-US"/>
        </w:rPr>
        <w:t>16</w:t>
      </w:r>
      <w:r w:rsidRPr="00BC4C0D">
        <w:rPr>
          <w:sz w:val="20"/>
          <w:szCs w:val="20"/>
          <w:lang w:val="en-US"/>
        </w:rPr>
        <w:t>% to UAH 5</w:t>
      </w:r>
      <w:r w:rsidR="006B094B" w:rsidRPr="00BC4C0D">
        <w:rPr>
          <w:sz w:val="20"/>
          <w:szCs w:val="20"/>
          <w:lang w:val="en-US"/>
        </w:rPr>
        <w:t>8</w:t>
      </w:r>
      <w:r w:rsidRPr="00BC4C0D">
        <w:rPr>
          <w:sz w:val="20"/>
          <w:szCs w:val="20"/>
          <w:lang w:val="en-US"/>
        </w:rPr>
        <w:t>.9</w:t>
      </w:r>
      <w:r w:rsidR="006B094B" w:rsidRPr="00BC4C0D">
        <w:rPr>
          <w:sz w:val="20"/>
          <w:szCs w:val="20"/>
          <w:lang w:val="en-US"/>
        </w:rPr>
        <w:t>4</w:t>
      </w:r>
      <w:r w:rsidRPr="00BC4C0D">
        <w:rPr>
          <w:sz w:val="20"/>
          <w:szCs w:val="20"/>
          <w:lang w:val="en-US"/>
        </w:rPr>
        <w:t xml:space="preserve"> per kg (excluding VAT) mainly </w:t>
      </w:r>
      <w:r w:rsidR="005D036E" w:rsidRPr="00BC4C0D">
        <w:rPr>
          <w:sz w:val="20"/>
          <w:szCs w:val="20"/>
          <w:lang w:val="en-US"/>
        </w:rPr>
        <w:t>driven by raw material price increase as well as focus on</w:t>
      </w:r>
      <w:r w:rsidRPr="00BC4C0D">
        <w:rPr>
          <w:sz w:val="20"/>
          <w:szCs w:val="20"/>
          <w:lang w:val="en-US"/>
        </w:rPr>
        <w:t xml:space="preserve"> more marginal products sales increase.</w:t>
      </w:r>
    </w:p>
    <w:p w14:paraId="3117F3B7" w14:textId="1AE56238" w:rsidR="00C57DB6" w:rsidRPr="006B094B" w:rsidRDefault="000B0034" w:rsidP="00C57DB6">
      <w:pPr>
        <w:pStyle w:val="c3"/>
        <w:jc w:val="both"/>
        <w:rPr>
          <w:b/>
          <w:color w:val="000000" w:themeColor="text1"/>
          <w:sz w:val="22"/>
          <w:szCs w:val="22"/>
          <w:lang w:val="en-US"/>
        </w:rPr>
      </w:pPr>
      <w:r>
        <w:rPr>
          <w:b/>
          <w:color w:val="000000" w:themeColor="text1"/>
          <w:sz w:val="22"/>
          <w:szCs w:val="22"/>
          <w:lang w:val="en-US"/>
        </w:rPr>
        <w:t xml:space="preserve">EUROPEAN OPERATING SEGMENT - </w:t>
      </w:r>
      <w:proofErr w:type="spellStart"/>
      <w:r w:rsidR="00C57DB6" w:rsidRPr="00113315">
        <w:rPr>
          <w:b/>
          <w:color w:val="000000" w:themeColor="text1"/>
          <w:sz w:val="22"/>
          <w:szCs w:val="22"/>
          <w:lang w:val="en-US"/>
        </w:rPr>
        <w:t>Perutnina</w:t>
      </w:r>
      <w:proofErr w:type="spellEnd"/>
      <w:r w:rsidR="00C57DB6" w:rsidRPr="00113315">
        <w:rPr>
          <w:b/>
          <w:color w:val="000000" w:themeColor="text1"/>
          <w:sz w:val="22"/>
          <w:szCs w:val="22"/>
          <w:lang w:val="en-US"/>
        </w:rPr>
        <w:t xml:space="preserve"> </w:t>
      </w:r>
      <w:proofErr w:type="spellStart"/>
      <w:r w:rsidR="00C57DB6" w:rsidRPr="00113315">
        <w:rPr>
          <w:b/>
          <w:color w:val="000000" w:themeColor="text1"/>
          <w:sz w:val="22"/>
          <w:szCs w:val="22"/>
          <w:lang w:val="en-US"/>
        </w:rPr>
        <w:t>Ptuj</w:t>
      </w:r>
      <w:proofErr w:type="spellEnd"/>
      <w:r w:rsidR="00C57DB6" w:rsidRPr="00113315">
        <w:rPr>
          <w:b/>
          <w:color w:val="000000" w:themeColor="text1"/>
          <w:sz w:val="22"/>
          <w:szCs w:val="22"/>
          <w:lang w:val="en-US"/>
        </w:rPr>
        <w:t xml:space="preserve"> </w:t>
      </w:r>
      <w:r w:rsidR="00C57DB6">
        <w:rPr>
          <w:b/>
          <w:color w:val="000000" w:themeColor="text1"/>
          <w:sz w:val="22"/>
          <w:szCs w:val="22"/>
          <w:lang w:val="en-US"/>
        </w:rPr>
        <w:t>(PP)</w:t>
      </w:r>
    </w:p>
    <w:tbl>
      <w:tblPr>
        <w:tblW w:w="5000" w:type="pct"/>
        <w:tblLayout w:type="fixed"/>
        <w:tblLook w:val="04A0" w:firstRow="1" w:lastRow="0" w:firstColumn="1" w:lastColumn="0" w:noHBand="0" w:noVBand="1"/>
      </w:tblPr>
      <w:tblGrid>
        <w:gridCol w:w="2299"/>
        <w:gridCol w:w="259"/>
        <w:gridCol w:w="921"/>
        <w:gridCol w:w="921"/>
        <w:gridCol w:w="921"/>
        <w:gridCol w:w="921"/>
        <w:gridCol w:w="921"/>
        <w:gridCol w:w="921"/>
        <w:gridCol w:w="921"/>
        <w:gridCol w:w="917"/>
      </w:tblGrid>
      <w:tr w:rsidR="006B094B" w:rsidRPr="007067E8" w14:paraId="4517841C" w14:textId="77777777" w:rsidTr="00F56364">
        <w:trPr>
          <w:trHeight w:val="352"/>
        </w:trPr>
        <w:tc>
          <w:tcPr>
            <w:tcW w:w="1159" w:type="pct"/>
            <w:tcBorders>
              <w:bottom w:val="single" w:sz="12" w:space="0" w:color="auto"/>
            </w:tcBorders>
            <w:shd w:val="clear" w:color="auto" w:fill="auto"/>
            <w:noWrap/>
            <w:vAlign w:val="center"/>
          </w:tcPr>
          <w:p w14:paraId="2777F695" w14:textId="77777777" w:rsidR="006B094B" w:rsidRPr="007067E8" w:rsidRDefault="006B094B" w:rsidP="00F56364">
            <w:pPr>
              <w:pStyle w:val="c3"/>
              <w:jc w:val="both"/>
              <w:rPr>
                <w:b/>
                <w:bCs/>
                <w:color w:val="000000" w:themeColor="text1"/>
                <w:sz w:val="20"/>
                <w:szCs w:val="20"/>
                <w:lang w:val="en-US"/>
              </w:rPr>
            </w:pPr>
            <w:bookmarkStart w:id="2" w:name="_Hlk109729135"/>
            <w:r w:rsidRPr="007067E8">
              <w:rPr>
                <w:b/>
                <w:bCs/>
                <w:color w:val="000000" w:themeColor="text1"/>
                <w:sz w:val="20"/>
                <w:szCs w:val="20"/>
                <w:lang w:val="en-US"/>
              </w:rPr>
              <w:t>Poultry</w:t>
            </w:r>
          </w:p>
        </w:tc>
        <w:tc>
          <w:tcPr>
            <w:tcW w:w="131" w:type="pct"/>
            <w:tcBorders>
              <w:bottom w:val="single" w:sz="12" w:space="0" w:color="auto"/>
            </w:tcBorders>
            <w:vAlign w:val="center"/>
          </w:tcPr>
          <w:p w14:paraId="403B7677" w14:textId="77777777" w:rsidR="006B094B" w:rsidRPr="007067E8" w:rsidRDefault="006B094B" w:rsidP="00F56364">
            <w:pPr>
              <w:pStyle w:val="c3"/>
              <w:rPr>
                <w:b/>
                <w:bCs/>
                <w:color w:val="000000" w:themeColor="text1"/>
                <w:sz w:val="20"/>
                <w:szCs w:val="20"/>
                <w:lang w:val="en-US"/>
              </w:rPr>
            </w:pPr>
          </w:p>
        </w:tc>
        <w:tc>
          <w:tcPr>
            <w:tcW w:w="464" w:type="pct"/>
            <w:tcBorders>
              <w:top w:val="single" w:sz="12" w:space="0" w:color="auto"/>
              <w:bottom w:val="single" w:sz="12" w:space="0" w:color="auto"/>
            </w:tcBorders>
            <w:shd w:val="clear" w:color="auto" w:fill="auto"/>
            <w:noWrap/>
            <w:vAlign w:val="center"/>
          </w:tcPr>
          <w:p w14:paraId="443C7FE2" w14:textId="4251C692" w:rsidR="006B094B" w:rsidRPr="007067E8" w:rsidRDefault="006B094B" w:rsidP="00F56364">
            <w:pPr>
              <w:pStyle w:val="c3"/>
              <w:rPr>
                <w:b/>
                <w:bCs/>
                <w:color w:val="000000" w:themeColor="text1"/>
                <w:sz w:val="20"/>
                <w:szCs w:val="20"/>
                <w:lang w:val="uk-UA"/>
              </w:rPr>
            </w:pPr>
            <w:r w:rsidRPr="007067E8">
              <w:rPr>
                <w:b/>
                <w:bCs/>
                <w:color w:val="000000" w:themeColor="text1"/>
                <w:sz w:val="20"/>
                <w:szCs w:val="20"/>
                <w:lang w:val="en-US"/>
              </w:rPr>
              <w:t>Q</w:t>
            </w:r>
            <w:r>
              <w:rPr>
                <w:b/>
                <w:bCs/>
                <w:color w:val="000000" w:themeColor="text1"/>
                <w:sz w:val="20"/>
                <w:szCs w:val="20"/>
                <w:lang w:val="en-US"/>
              </w:rPr>
              <w:t xml:space="preserve">2 </w:t>
            </w:r>
            <w:r w:rsidRPr="007067E8">
              <w:rPr>
                <w:b/>
                <w:bCs/>
                <w:color w:val="000000" w:themeColor="text1"/>
                <w:sz w:val="20"/>
                <w:szCs w:val="20"/>
                <w:lang w:val="en-US"/>
              </w:rPr>
              <w:t>202</w:t>
            </w:r>
            <w:r>
              <w:rPr>
                <w:b/>
                <w:bCs/>
                <w:color w:val="000000" w:themeColor="text1"/>
                <w:sz w:val="20"/>
                <w:szCs w:val="20"/>
                <w:lang w:val="en-US"/>
              </w:rPr>
              <w:t>2</w:t>
            </w:r>
          </w:p>
        </w:tc>
        <w:tc>
          <w:tcPr>
            <w:tcW w:w="464" w:type="pct"/>
            <w:tcBorders>
              <w:top w:val="single" w:sz="12" w:space="0" w:color="auto"/>
              <w:bottom w:val="single" w:sz="12" w:space="0" w:color="auto"/>
            </w:tcBorders>
            <w:shd w:val="clear" w:color="auto" w:fill="auto"/>
            <w:noWrap/>
            <w:vAlign w:val="center"/>
          </w:tcPr>
          <w:p w14:paraId="6002D3F8" w14:textId="3C53857D" w:rsidR="006B094B" w:rsidRPr="007067E8" w:rsidRDefault="006B094B" w:rsidP="00F56364">
            <w:pPr>
              <w:pStyle w:val="c3"/>
              <w:rPr>
                <w:b/>
                <w:bCs/>
                <w:color w:val="000000" w:themeColor="text1"/>
                <w:sz w:val="20"/>
                <w:szCs w:val="20"/>
                <w:lang w:val="en-US"/>
              </w:rPr>
            </w:pPr>
            <w:r w:rsidRPr="007067E8">
              <w:rPr>
                <w:b/>
                <w:bCs/>
                <w:color w:val="000000" w:themeColor="text1"/>
                <w:sz w:val="20"/>
                <w:szCs w:val="20"/>
                <w:lang w:val="en-US"/>
              </w:rPr>
              <w:t>Q</w:t>
            </w:r>
            <w:r>
              <w:rPr>
                <w:b/>
                <w:bCs/>
                <w:color w:val="000000" w:themeColor="text1"/>
                <w:sz w:val="20"/>
                <w:szCs w:val="20"/>
                <w:lang w:val="en-US"/>
              </w:rPr>
              <w:t>2</w:t>
            </w:r>
            <w:r w:rsidRPr="007067E8">
              <w:rPr>
                <w:b/>
                <w:bCs/>
                <w:color w:val="000000" w:themeColor="text1"/>
                <w:sz w:val="20"/>
                <w:szCs w:val="20"/>
                <w:lang w:val="en-US"/>
              </w:rPr>
              <w:t xml:space="preserve"> 202</w:t>
            </w:r>
            <w:r>
              <w:rPr>
                <w:b/>
                <w:bCs/>
                <w:color w:val="000000" w:themeColor="text1"/>
                <w:sz w:val="20"/>
                <w:szCs w:val="20"/>
                <w:lang w:val="en-US"/>
              </w:rPr>
              <w:t>1</w:t>
            </w:r>
          </w:p>
        </w:tc>
        <w:tc>
          <w:tcPr>
            <w:tcW w:w="464" w:type="pct"/>
            <w:tcBorders>
              <w:top w:val="single" w:sz="12" w:space="0" w:color="auto"/>
              <w:bottom w:val="single" w:sz="12" w:space="0" w:color="auto"/>
            </w:tcBorders>
            <w:shd w:val="clear" w:color="auto" w:fill="auto"/>
            <w:noWrap/>
            <w:vAlign w:val="center"/>
          </w:tcPr>
          <w:p w14:paraId="678ACD3F" w14:textId="77777777" w:rsidR="006B094B" w:rsidRPr="007067E8" w:rsidRDefault="006B094B" w:rsidP="00F56364">
            <w:pPr>
              <w:pStyle w:val="c3"/>
              <w:rPr>
                <w:b/>
                <w:bCs/>
                <w:i/>
                <w:iCs/>
                <w:color w:val="000000" w:themeColor="text1"/>
                <w:sz w:val="20"/>
                <w:szCs w:val="20"/>
                <w:lang w:val="en-US"/>
              </w:rPr>
            </w:pPr>
            <w:r w:rsidRPr="007067E8">
              <w:rPr>
                <w:b/>
                <w:bCs/>
                <w:i/>
                <w:color w:val="000000" w:themeColor="text1"/>
                <w:sz w:val="20"/>
                <w:szCs w:val="20"/>
                <w:lang w:val="en-US"/>
              </w:rPr>
              <w:t xml:space="preserve">% </w:t>
            </w:r>
            <w:proofErr w:type="gramStart"/>
            <w:r w:rsidRPr="007067E8">
              <w:rPr>
                <w:b/>
                <w:bCs/>
                <w:i/>
                <w:color w:val="000000" w:themeColor="text1"/>
                <w:sz w:val="20"/>
                <w:szCs w:val="20"/>
                <w:lang w:val="en-US"/>
              </w:rPr>
              <w:t>change</w:t>
            </w:r>
            <w:proofErr w:type="gramEnd"/>
            <w:r w:rsidRPr="007067E8">
              <w:rPr>
                <w:b/>
                <w:bCs/>
                <w:i/>
                <w:color w:val="000000" w:themeColor="text1"/>
                <w:sz w:val="20"/>
                <w:szCs w:val="20"/>
                <w:lang w:val="en-US"/>
              </w:rPr>
              <w:t xml:space="preserve"> YoY</w:t>
            </w:r>
          </w:p>
        </w:tc>
        <w:tc>
          <w:tcPr>
            <w:tcW w:w="464" w:type="pct"/>
            <w:tcBorders>
              <w:top w:val="single" w:sz="12" w:space="0" w:color="auto"/>
              <w:bottom w:val="single" w:sz="12" w:space="0" w:color="auto"/>
            </w:tcBorders>
            <w:vAlign w:val="center"/>
          </w:tcPr>
          <w:p w14:paraId="52F0E944" w14:textId="63F010B6" w:rsidR="006B094B" w:rsidRPr="007067E8" w:rsidDel="00FA5C12" w:rsidRDefault="006B094B" w:rsidP="00F56364">
            <w:pPr>
              <w:pStyle w:val="c3"/>
              <w:rPr>
                <w:b/>
                <w:bCs/>
                <w:iCs/>
                <w:color w:val="000000" w:themeColor="text1"/>
                <w:sz w:val="20"/>
                <w:szCs w:val="20"/>
                <w:lang w:val="en-US"/>
              </w:rPr>
            </w:pPr>
            <w:r w:rsidRPr="007067E8">
              <w:rPr>
                <w:b/>
                <w:bCs/>
                <w:color w:val="000000" w:themeColor="text1"/>
                <w:sz w:val="20"/>
                <w:szCs w:val="20"/>
                <w:lang w:val="en-US"/>
              </w:rPr>
              <w:t>Q</w:t>
            </w:r>
            <w:r>
              <w:rPr>
                <w:b/>
                <w:bCs/>
                <w:color w:val="000000" w:themeColor="text1"/>
                <w:sz w:val="20"/>
                <w:szCs w:val="20"/>
                <w:lang w:val="en-US"/>
              </w:rPr>
              <w:t>1</w:t>
            </w:r>
            <w:r w:rsidRPr="007067E8">
              <w:rPr>
                <w:b/>
                <w:bCs/>
                <w:color w:val="000000" w:themeColor="text1"/>
                <w:sz w:val="20"/>
                <w:szCs w:val="20"/>
                <w:lang w:val="en-US"/>
              </w:rPr>
              <w:t xml:space="preserve"> 202</w:t>
            </w:r>
            <w:r>
              <w:rPr>
                <w:b/>
                <w:bCs/>
                <w:color w:val="000000" w:themeColor="text1"/>
                <w:sz w:val="20"/>
                <w:szCs w:val="20"/>
                <w:lang w:val="en-US"/>
              </w:rPr>
              <w:t>2</w:t>
            </w:r>
          </w:p>
        </w:tc>
        <w:tc>
          <w:tcPr>
            <w:tcW w:w="464" w:type="pct"/>
            <w:tcBorders>
              <w:top w:val="single" w:sz="12" w:space="0" w:color="auto"/>
              <w:bottom w:val="single" w:sz="12" w:space="0" w:color="auto"/>
            </w:tcBorders>
            <w:vAlign w:val="center"/>
          </w:tcPr>
          <w:p w14:paraId="7F31A772" w14:textId="77777777" w:rsidR="006B094B" w:rsidRPr="007067E8" w:rsidDel="00FA5C12" w:rsidRDefault="006B094B" w:rsidP="00F56364">
            <w:pPr>
              <w:pStyle w:val="c3"/>
              <w:rPr>
                <w:b/>
                <w:bCs/>
                <w:iCs/>
                <w:color w:val="000000" w:themeColor="text1"/>
                <w:sz w:val="20"/>
                <w:szCs w:val="20"/>
                <w:lang w:val="en-US"/>
              </w:rPr>
            </w:pPr>
            <w:r w:rsidRPr="007067E8">
              <w:rPr>
                <w:b/>
                <w:bCs/>
                <w:i/>
                <w:color w:val="000000" w:themeColor="text1"/>
                <w:sz w:val="20"/>
                <w:szCs w:val="20"/>
                <w:lang w:val="en-US"/>
              </w:rPr>
              <w:t xml:space="preserve">% </w:t>
            </w:r>
            <w:proofErr w:type="gramStart"/>
            <w:r w:rsidRPr="007067E8">
              <w:rPr>
                <w:b/>
                <w:bCs/>
                <w:i/>
                <w:color w:val="000000" w:themeColor="text1"/>
                <w:sz w:val="20"/>
                <w:szCs w:val="20"/>
                <w:lang w:val="en-US"/>
              </w:rPr>
              <w:t>change</w:t>
            </w:r>
            <w:proofErr w:type="gramEnd"/>
            <w:r w:rsidRPr="007067E8">
              <w:rPr>
                <w:b/>
                <w:bCs/>
                <w:i/>
                <w:color w:val="000000" w:themeColor="text1"/>
                <w:sz w:val="20"/>
                <w:szCs w:val="20"/>
                <w:lang w:val="en-US"/>
              </w:rPr>
              <w:t xml:space="preserve"> </w:t>
            </w:r>
            <w:proofErr w:type="spellStart"/>
            <w:r w:rsidRPr="007067E8">
              <w:rPr>
                <w:b/>
                <w:bCs/>
                <w:i/>
                <w:color w:val="000000" w:themeColor="text1"/>
                <w:sz w:val="20"/>
                <w:szCs w:val="20"/>
                <w:lang w:val="en-US"/>
              </w:rPr>
              <w:t>QoQ</w:t>
            </w:r>
            <w:proofErr w:type="spellEnd"/>
          </w:p>
        </w:tc>
        <w:tc>
          <w:tcPr>
            <w:tcW w:w="464" w:type="pct"/>
            <w:tcBorders>
              <w:top w:val="single" w:sz="12" w:space="0" w:color="auto"/>
              <w:bottom w:val="single" w:sz="12" w:space="0" w:color="auto"/>
            </w:tcBorders>
            <w:vAlign w:val="center"/>
          </w:tcPr>
          <w:p w14:paraId="2EF1C723" w14:textId="59DD18C7" w:rsidR="006B094B" w:rsidRPr="007067E8" w:rsidRDefault="006B094B" w:rsidP="00F56364">
            <w:pPr>
              <w:pStyle w:val="c3"/>
              <w:rPr>
                <w:b/>
                <w:bCs/>
                <w:iCs/>
                <w:color w:val="000000" w:themeColor="text1"/>
                <w:sz w:val="20"/>
                <w:szCs w:val="20"/>
                <w:lang w:val="uk-UA"/>
              </w:rPr>
            </w:pPr>
            <w:r>
              <w:rPr>
                <w:b/>
                <w:bCs/>
                <w:iCs/>
                <w:color w:val="000000" w:themeColor="text1"/>
                <w:sz w:val="20"/>
                <w:szCs w:val="20"/>
                <w:lang w:val="en-US"/>
              </w:rPr>
              <w:t>H1</w:t>
            </w:r>
            <w:r w:rsidRPr="007067E8">
              <w:rPr>
                <w:b/>
                <w:bCs/>
                <w:iCs/>
                <w:color w:val="000000" w:themeColor="text1"/>
                <w:sz w:val="20"/>
                <w:szCs w:val="20"/>
                <w:lang w:val="en-US"/>
              </w:rPr>
              <w:t xml:space="preserve"> 202</w:t>
            </w:r>
            <w:r>
              <w:rPr>
                <w:b/>
                <w:bCs/>
                <w:iCs/>
                <w:color w:val="000000" w:themeColor="text1"/>
                <w:sz w:val="20"/>
                <w:szCs w:val="20"/>
                <w:lang w:val="en-US"/>
              </w:rPr>
              <w:t>2</w:t>
            </w:r>
          </w:p>
        </w:tc>
        <w:tc>
          <w:tcPr>
            <w:tcW w:w="464" w:type="pct"/>
            <w:tcBorders>
              <w:top w:val="single" w:sz="12" w:space="0" w:color="auto"/>
              <w:bottom w:val="single" w:sz="12" w:space="0" w:color="auto"/>
            </w:tcBorders>
            <w:vAlign w:val="center"/>
          </w:tcPr>
          <w:p w14:paraId="0C7153F9" w14:textId="439F43EF" w:rsidR="006B094B" w:rsidRPr="007067E8" w:rsidRDefault="006B094B" w:rsidP="00F56364">
            <w:pPr>
              <w:pStyle w:val="c3"/>
              <w:rPr>
                <w:b/>
                <w:bCs/>
                <w:iCs/>
                <w:color w:val="000000" w:themeColor="text1"/>
                <w:sz w:val="20"/>
                <w:szCs w:val="20"/>
                <w:lang w:val="en-US"/>
              </w:rPr>
            </w:pPr>
            <w:r>
              <w:rPr>
                <w:b/>
                <w:bCs/>
                <w:iCs/>
                <w:color w:val="000000" w:themeColor="text1"/>
                <w:sz w:val="20"/>
                <w:szCs w:val="20"/>
                <w:lang w:val="en-US"/>
              </w:rPr>
              <w:t>H1</w:t>
            </w:r>
            <w:r w:rsidRPr="007067E8">
              <w:rPr>
                <w:b/>
                <w:bCs/>
                <w:iCs/>
                <w:color w:val="000000" w:themeColor="text1"/>
                <w:sz w:val="20"/>
                <w:szCs w:val="20"/>
                <w:lang w:val="en-US"/>
              </w:rPr>
              <w:t xml:space="preserve"> 202</w:t>
            </w:r>
            <w:r>
              <w:rPr>
                <w:b/>
                <w:bCs/>
                <w:iCs/>
                <w:color w:val="000000" w:themeColor="text1"/>
                <w:sz w:val="20"/>
                <w:szCs w:val="20"/>
                <w:lang w:val="en-US"/>
              </w:rPr>
              <w:t>1</w:t>
            </w:r>
          </w:p>
        </w:tc>
        <w:tc>
          <w:tcPr>
            <w:tcW w:w="462" w:type="pct"/>
            <w:tcBorders>
              <w:top w:val="single" w:sz="12" w:space="0" w:color="auto"/>
              <w:bottom w:val="single" w:sz="12" w:space="0" w:color="auto"/>
            </w:tcBorders>
            <w:vAlign w:val="center"/>
          </w:tcPr>
          <w:p w14:paraId="72AF2B28" w14:textId="77777777" w:rsidR="006B094B" w:rsidRPr="007067E8" w:rsidRDefault="006B094B" w:rsidP="00F56364">
            <w:pPr>
              <w:pStyle w:val="c3"/>
              <w:rPr>
                <w:b/>
                <w:bCs/>
                <w:i/>
                <w:iCs/>
                <w:color w:val="000000" w:themeColor="text1"/>
                <w:sz w:val="20"/>
                <w:szCs w:val="20"/>
                <w:lang w:val="en-US"/>
              </w:rPr>
            </w:pPr>
            <w:r w:rsidRPr="007067E8">
              <w:rPr>
                <w:b/>
                <w:bCs/>
                <w:i/>
                <w:color w:val="000000" w:themeColor="text1"/>
                <w:sz w:val="20"/>
                <w:szCs w:val="20"/>
                <w:lang w:val="en-US"/>
              </w:rPr>
              <w:t xml:space="preserve">% </w:t>
            </w:r>
            <w:proofErr w:type="gramStart"/>
            <w:r w:rsidRPr="007067E8">
              <w:rPr>
                <w:b/>
                <w:bCs/>
                <w:i/>
                <w:color w:val="000000" w:themeColor="text1"/>
                <w:sz w:val="20"/>
                <w:szCs w:val="20"/>
                <w:lang w:val="en-US"/>
              </w:rPr>
              <w:t>change</w:t>
            </w:r>
            <w:proofErr w:type="gramEnd"/>
          </w:p>
        </w:tc>
      </w:tr>
      <w:tr w:rsidR="006B094B" w:rsidRPr="007067E8" w14:paraId="72143911" w14:textId="77777777" w:rsidTr="00F56364">
        <w:trPr>
          <w:trHeight w:val="352"/>
        </w:trPr>
        <w:tc>
          <w:tcPr>
            <w:tcW w:w="1159" w:type="pct"/>
            <w:tcBorders>
              <w:top w:val="single" w:sz="12" w:space="0" w:color="auto"/>
            </w:tcBorders>
            <w:shd w:val="clear" w:color="auto" w:fill="auto"/>
            <w:noWrap/>
            <w:vAlign w:val="center"/>
          </w:tcPr>
          <w:p w14:paraId="3233F346" w14:textId="77777777" w:rsidR="006B094B" w:rsidRPr="007067E8" w:rsidRDefault="006B094B" w:rsidP="00F56364">
            <w:pPr>
              <w:pStyle w:val="c3"/>
              <w:jc w:val="both"/>
              <w:rPr>
                <w:bCs/>
                <w:color w:val="000000" w:themeColor="text1"/>
                <w:sz w:val="20"/>
                <w:szCs w:val="20"/>
                <w:lang w:val="en-US"/>
              </w:rPr>
            </w:pPr>
            <w:r w:rsidRPr="007067E8">
              <w:rPr>
                <w:bCs/>
                <w:color w:val="000000" w:themeColor="text1"/>
                <w:sz w:val="20"/>
                <w:szCs w:val="20"/>
                <w:lang w:val="en-US"/>
              </w:rPr>
              <w:t xml:space="preserve">Sales volume, </w:t>
            </w:r>
            <w:proofErr w:type="spellStart"/>
            <w:r w:rsidRPr="007067E8">
              <w:rPr>
                <w:bCs/>
                <w:color w:val="000000" w:themeColor="text1"/>
                <w:sz w:val="20"/>
                <w:szCs w:val="20"/>
                <w:lang w:val="en-US"/>
              </w:rPr>
              <w:t>tonnes</w:t>
            </w:r>
            <w:proofErr w:type="spellEnd"/>
          </w:p>
        </w:tc>
        <w:tc>
          <w:tcPr>
            <w:tcW w:w="131" w:type="pct"/>
            <w:tcBorders>
              <w:top w:val="single" w:sz="12" w:space="0" w:color="auto"/>
            </w:tcBorders>
            <w:vAlign w:val="center"/>
          </w:tcPr>
          <w:p w14:paraId="0E089AC0" w14:textId="77777777" w:rsidR="006B094B" w:rsidRPr="007067E8" w:rsidRDefault="006B094B" w:rsidP="00F56364">
            <w:pPr>
              <w:pStyle w:val="c3"/>
              <w:rPr>
                <w:bCs/>
                <w:color w:val="000000" w:themeColor="text1"/>
                <w:sz w:val="20"/>
                <w:szCs w:val="20"/>
                <w:lang w:val="en-US"/>
              </w:rPr>
            </w:pPr>
          </w:p>
        </w:tc>
        <w:tc>
          <w:tcPr>
            <w:tcW w:w="464" w:type="pct"/>
            <w:tcBorders>
              <w:top w:val="single" w:sz="12" w:space="0" w:color="auto"/>
            </w:tcBorders>
            <w:shd w:val="clear" w:color="auto" w:fill="auto"/>
            <w:noWrap/>
            <w:vAlign w:val="center"/>
          </w:tcPr>
          <w:p w14:paraId="7B2574D0" w14:textId="716F80E4" w:rsidR="006B094B" w:rsidRPr="006B094B" w:rsidRDefault="006B094B" w:rsidP="00F56364">
            <w:pPr>
              <w:pStyle w:val="c3"/>
              <w:rPr>
                <w:bCs/>
                <w:color w:val="000000" w:themeColor="text1"/>
                <w:sz w:val="20"/>
                <w:szCs w:val="20"/>
                <w:lang w:val="en-US"/>
              </w:rPr>
            </w:pPr>
            <w:r w:rsidRPr="007067E8">
              <w:rPr>
                <w:bCs/>
                <w:color w:val="000000" w:themeColor="text1"/>
                <w:sz w:val="20"/>
                <w:szCs w:val="20"/>
                <w:lang w:val="ru-RU"/>
              </w:rPr>
              <w:t>1</w:t>
            </w:r>
            <w:r>
              <w:rPr>
                <w:bCs/>
                <w:color w:val="000000" w:themeColor="text1"/>
                <w:sz w:val="20"/>
                <w:szCs w:val="20"/>
                <w:lang w:val="ru-RU"/>
              </w:rPr>
              <w:t>9</w:t>
            </w:r>
            <w:r w:rsidRPr="007067E8">
              <w:rPr>
                <w:bCs/>
                <w:color w:val="000000" w:themeColor="text1"/>
                <w:sz w:val="20"/>
                <w:szCs w:val="20"/>
                <w:lang w:val="ru-RU"/>
              </w:rPr>
              <w:t>,</w:t>
            </w:r>
            <w:r>
              <w:rPr>
                <w:bCs/>
                <w:color w:val="000000" w:themeColor="text1"/>
                <w:sz w:val="20"/>
                <w:szCs w:val="20"/>
                <w:lang w:val="en-US"/>
              </w:rPr>
              <w:t>619</w:t>
            </w:r>
          </w:p>
        </w:tc>
        <w:tc>
          <w:tcPr>
            <w:tcW w:w="464" w:type="pct"/>
            <w:tcBorders>
              <w:top w:val="single" w:sz="12" w:space="0" w:color="auto"/>
            </w:tcBorders>
            <w:shd w:val="clear" w:color="auto" w:fill="auto"/>
            <w:noWrap/>
            <w:vAlign w:val="center"/>
          </w:tcPr>
          <w:p w14:paraId="66FF5130" w14:textId="2138233D" w:rsidR="006B094B" w:rsidRPr="007067E8" w:rsidRDefault="006B094B" w:rsidP="00F56364">
            <w:pPr>
              <w:pStyle w:val="c3"/>
              <w:rPr>
                <w:bCs/>
                <w:color w:val="000000" w:themeColor="text1"/>
                <w:sz w:val="20"/>
                <w:szCs w:val="20"/>
                <w:lang w:val="ru-RU"/>
              </w:rPr>
            </w:pPr>
            <w:r w:rsidRPr="007067E8">
              <w:rPr>
                <w:bCs/>
                <w:color w:val="000000" w:themeColor="text1"/>
                <w:sz w:val="20"/>
                <w:szCs w:val="20"/>
                <w:lang w:val="en-US"/>
              </w:rPr>
              <w:t>1</w:t>
            </w:r>
            <w:r>
              <w:rPr>
                <w:bCs/>
                <w:color w:val="000000" w:themeColor="text1"/>
                <w:sz w:val="20"/>
                <w:szCs w:val="20"/>
                <w:lang w:val="en-US"/>
              </w:rPr>
              <w:t>9</w:t>
            </w:r>
            <w:r w:rsidRPr="007067E8">
              <w:rPr>
                <w:bCs/>
                <w:color w:val="000000" w:themeColor="text1"/>
                <w:sz w:val="20"/>
                <w:szCs w:val="20"/>
                <w:lang w:val="en-US"/>
              </w:rPr>
              <w:t>,</w:t>
            </w:r>
            <w:r>
              <w:rPr>
                <w:bCs/>
                <w:color w:val="000000" w:themeColor="text1"/>
                <w:sz w:val="20"/>
                <w:szCs w:val="20"/>
                <w:lang w:val="en-US"/>
              </w:rPr>
              <w:t>508</w:t>
            </w:r>
          </w:p>
        </w:tc>
        <w:tc>
          <w:tcPr>
            <w:tcW w:w="464" w:type="pct"/>
            <w:tcBorders>
              <w:top w:val="single" w:sz="12" w:space="0" w:color="auto"/>
            </w:tcBorders>
            <w:shd w:val="clear" w:color="auto" w:fill="auto"/>
            <w:noWrap/>
            <w:vAlign w:val="center"/>
          </w:tcPr>
          <w:p w14:paraId="6BDA8191" w14:textId="01ACADF6" w:rsidR="006B094B" w:rsidRPr="007067E8" w:rsidRDefault="006B094B" w:rsidP="00F56364">
            <w:pPr>
              <w:pStyle w:val="c3"/>
              <w:rPr>
                <w:bCs/>
                <w:i/>
                <w:color w:val="000000" w:themeColor="text1"/>
                <w:sz w:val="20"/>
                <w:szCs w:val="20"/>
                <w:lang w:val="en-US"/>
              </w:rPr>
            </w:pPr>
            <w:r w:rsidRPr="007067E8">
              <w:rPr>
                <w:bCs/>
                <w:i/>
                <w:color w:val="000000" w:themeColor="text1"/>
                <w:sz w:val="20"/>
                <w:szCs w:val="20"/>
                <w:lang w:val="en-US"/>
              </w:rPr>
              <w:t>1%</w:t>
            </w:r>
          </w:p>
        </w:tc>
        <w:tc>
          <w:tcPr>
            <w:tcW w:w="464" w:type="pct"/>
            <w:tcBorders>
              <w:top w:val="single" w:sz="12" w:space="0" w:color="auto"/>
            </w:tcBorders>
            <w:vAlign w:val="center"/>
          </w:tcPr>
          <w:p w14:paraId="38A97D6E" w14:textId="081942F4" w:rsidR="006B094B" w:rsidRPr="007067E8" w:rsidRDefault="006B094B" w:rsidP="00F56364">
            <w:pPr>
              <w:pStyle w:val="c3"/>
              <w:rPr>
                <w:bCs/>
                <w:color w:val="000000" w:themeColor="text1"/>
                <w:sz w:val="20"/>
                <w:szCs w:val="20"/>
                <w:lang w:val="en-US"/>
              </w:rPr>
            </w:pPr>
            <w:r w:rsidRPr="007067E8">
              <w:rPr>
                <w:bCs/>
                <w:color w:val="000000" w:themeColor="text1"/>
                <w:sz w:val="20"/>
                <w:szCs w:val="20"/>
                <w:lang w:val="en-US"/>
              </w:rPr>
              <w:t>1</w:t>
            </w:r>
            <w:r>
              <w:rPr>
                <w:bCs/>
                <w:color w:val="000000" w:themeColor="text1"/>
                <w:sz w:val="20"/>
                <w:szCs w:val="20"/>
                <w:lang w:val="en-US"/>
              </w:rPr>
              <w:t>7</w:t>
            </w:r>
            <w:r w:rsidRPr="007067E8">
              <w:rPr>
                <w:bCs/>
                <w:color w:val="000000" w:themeColor="text1"/>
                <w:sz w:val="20"/>
                <w:szCs w:val="20"/>
                <w:lang w:val="en-US"/>
              </w:rPr>
              <w:t>,</w:t>
            </w:r>
            <w:r>
              <w:rPr>
                <w:bCs/>
                <w:color w:val="000000" w:themeColor="text1"/>
                <w:sz w:val="20"/>
                <w:szCs w:val="20"/>
                <w:lang w:val="en-US"/>
              </w:rPr>
              <w:t>744</w:t>
            </w:r>
          </w:p>
        </w:tc>
        <w:tc>
          <w:tcPr>
            <w:tcW w:w="464" w:type="pct"/>
            <w:tcBorders>
              <w:top w:val="single" w:sz="12" w:space="0" w:color="auto"/>
            </w:tcBorders>
            <w:vAlign w:val="center"/>
          </w:tcPr>
          <w:p w14:paraId="593DB236" w14:textId="0B254371" w:rsidR="006B094B" w:rsidRPr="007067E8" w:rsidRDefault="006B094B" w:rsidP="00F56364">
            <w:pPr>
              <w:pStyle w:val="c3"/>
              <w:rPr>
                <w:bCs/>
                <w:i/>
                <w:color w:val="000000" w:themeColor="text1"/>
                <w:sz w:val="20"/>
                <w:szCs w:val="20"/>
                <w:lang w:val="en-US"/>
              </w:rPr>
            </w:pPr>
            <w:r>
              <w:rPr>
                <w:bCs/>
                <w:i/>
                <w:color w:val="000000" w:themeColor="text1"/>
                <w:sz w:val="20"/>
                <w:szCs w:val="20"/>
                <w:lang w:val="en-US"/>
              </w:rPr>
              <w:t>11</w:t>
            </w:r>
            <w:r w:rsidRPr="007067E8">
              <w:rPr>
                <w:bCs/>
                <w:i/>
                <w:color w:val="000000" w:themeColor="text1"/>
                <w:sz w:val="20"/>
                <w:szCs w:val="20"/>
                <w:lang w:val="en-US"/>
              </w:rPr>
              <w:t>%</w:t>
            </w:r>
          </w:p>
        </w:tc>
        <w:tc>
          <w:tcPr>
            <w:tcW w:w="464" w:type="pct"/>
            <w:tcBorders>
              <w:top w:val="single" w:sz="12" w:space="0" w:color="auto"/>
            </w:tcBorders>
            <w:vAlign w:val="center"/>
          </w:tcPr>
          <w:p w14:paraId="2EEAA5DF" w14:textId="55917EC6" w:rsidR="006B094B" w:rsidRPr="006B094B" w:rsidRDefault="006B094B" w:rsidP="00F56364">
            <w:pPr>
              <w:pStyle w:val="c3"/>
              <w:rPr>
                <w:bCs/>
                <w:color w:val="000000" w:themeColor="text1"/>
                <w:sz w:val="20"/>
                <w:szCs w:val="20"/>
                <w:lang w:val="en-US"/>
              </w:rPr>
            </w:pPr>
            <w:r>
              <w:rPr>
                <w:bCs/>
                <w:color w:val="000000" w:themeColor="text1"/>
                <w:sz w:val="20"/>
                <w:szCs w:val="20"/>
                <w:lang w:val="en-US"/>
              </w:rPr>
              <w:t>37,363</w:t>
            </w:r>
          </w:p>
        </w:tc>
        <w:tc>
          <w:tcPr>
            <w:tcW w:w="464" w:type="pct"/>
            <w:tcBorders>
              <w:top w:val="single" w:sz="12" w:space="0" w:color="auto"/>
            </w:tcBorders>
            <w:vAlign w:val="center"/>
          </w:tcPr>
          <w:p w14:paraId="7AEA3732" w14:textId="63C271B0" w:rsidR="006B094B" w:rsidRPr="006B094B" w:rsidRDefault="006B094B" w:rsidP="00F56364">
            <w:pPr>
              <w:pStyle w:val="c3"/>
              <w:rPr>
                <w:bCs/>
                <w:iCs/>
                <w:color w:val="000000" w:themeColor="text1"/>
                <w:sz w:val="20"/>
                <w:szCs w:val="20"/>
                <w:lang w:val="en-US"/>
              </w:rPr>
            </w:pPr>
            <w:r>
              <w:rPr>
                <w:bCs/>
                <w:iCs/>
                <w:color w:val="000000" w:themeColor="text1"/>
                <w:sz w:val="20"/>
                <w:szCs w:val="20"/>
                <w:lang w:val="en-US"/>
              </w:rPr>
              <w:t>35,549</w:t>
            </w:r>
          </w:p>
        </w:tc>
        <w:tc>
          <w:tcPr>
            <w:tcW w:w="462" w:type="pct"/>
            <w:tcBorders>
              <w:top w:val="single" w:sz="12" w:space="0" w:color="auto"/>
            </w:tcBorders>
            <w:vAlign w:val="center"/>
          </w:tcPr>
          <w:p w14:paraId="06547B8B" w14:textId="543B0436" w:rsidR="006B094B" w:rsidRPr="007067E8" w:rsidRDefault="006B094B" w:rsidP="00F56364">
            <w:pPr>
              <w:pStyle w:val="c3"/>
              <w:rPr>
                <w:bCs/>
                <w:i/>
                <w:color w:val="000000" w:themeColor="text1"/>
                <w:sz w:val="20"/>
                <w:szCs w:val="20"/>
                <w:lang w:val="en-US"/>
              </w:rPr>
            </w:pPr>
            <w:r>
              <w:rPr>
                <w:bCs/>
                <w:i/>
                <w:color w:val="000000" w:themeColor="text1"/>
                <w:sz w:val="20"/>
                <w:szCs w:val="20"/>
                <w:lang w:val="en-US"/>
              </w:rPr>
              <w:t>5</w:t>
            </w:r>
            <w:r w:rsidRPr="007067E8">
              <w:rPr>
                <w:bCs/>
                <w:i/>
                <w:color w:val="000000" w:themeColor="text1"/>
                <w:sz w:val="20"/>
                <w:szCs w:val="20"/>
                <w:lang w:val="en-US"/>
              </w:rPr>
              <w:t>%</w:t>
            </w:r>
          </w:p>
        </w:tc>
      </w:tr>
      <w:tr w:rsidR="006B094B" w:rsidRPr="007067E8" w14:paraId="4BF815B5" w14:textId="77777777" w:rsidTr="00F56364">
        <w:trPr>
          <w:trHeight w:val="352"/>
        </w:trPr>
        <w:tc>
          <w:tcPr>
            <w:tcW w:w="1159" w:type="pct"/>
            <w:shd w:val="clear" w:color="auto" w:fill="auto"/>
            <w:noWrap/>
            <w:vAlign w:val="center"/>
          </w:tcPr>
          <w:p w14:paraId="0CDE3C83" w14:textId="77777777" w:rsidR="006B094B" w:rsidRPr="007067E8" w:rsidRDefault="006B094B" w:rsidP="00F56364">
            <w:pPr>
              <w:pStyle w:val="c3"/>
              <w:jc w:val="both"/>
              <w:rPr>
                <w:color w:val="000000" w:themeColor="text1"/>
                <w:sz w:val="20"/>
                <w:szCs w:val="20"/>
                <w:lang w:val="nl-NL"/>
              </w:rPr>
            </w:pPr>
            <w:r w:rsidRPr="007067E8">
              <w:rPr>
                <w:color w:val="000000" w:themeColor="text1"/>
                <w:sz w:val="20"/>
                <w:szCs w:val="20"/>
                <w:lang w:val="nl-NL"/>
              </w:rPr>
              <w:t>Price per 1 kg net VAT, EUR</w:t>
            </w:r>
          </w:p>
          <w:p w14:paraId="44C42077" w14:textId="77777777" w:rsidR="006B094B" w:rsidRPr="007067E8" w:rsidRDefault="006B094B" w:rsidP="00F56364">
            <w:pPr>
              <w:pStyle w:val="c3"/>
              <w:jc w:val="both"/>
              <w:rPr>
                <w:bCs/>
                <w:color w:val="000000" w:themeColor="text1"/>
                <w:sz w:val="20"/>
                <w:szCs w:val="20"/>
                <w:lang w:val="nl-NL"/>
              </w:rPr>
            </w:pPr>
          </w:p>
        </w:tc>
        <w:tc>
          <w:tcPr>
            <w:tcW w:w="131" w:type="pct"/>
            <w:vAlign w:val="center"/>
          </w:tcPr>
          <w:p w14:paraId="331E5BE2" w14:textId="77777777" w:rsidR="006B094B" w:rsidRPr="007067E8" w:rsidRDefault="006B094B" w:rsidP="00F56364">
            <w:pPr>
              <w:pStyle w:val="c3"/>
              <w:rPr>
                <w:bCs/>
                <w:color w:val="000000" w:themeColor="text1"/>
                <w:sz w:val="20"/>
                <w:szCs w:val="20"/>
                <w:lang w:val="nl-NL"/>
              </w:rPr>
            </w:pPr>
          </w:p>
        </w:tc>
        <w:tc>
          <w:tcPr>
            <w:tcW w:w="464" w:type="pct"/>
            <w:shd w:val="clear" w:color="auto" w:fill="auto"/>
            <w:noWrap/>
            <w:vAlign w:val="center"/>
          </w:tcPr>
          <w:p w14:paraId="2EB7C119" w14:textId="08924820" w:rsidR="006B094B" w:rsidRPr="006B094B" w:rsidRDefault="006B094B" w:rsidP="00F56364">
            <w:pPr>
              <w:pStyle w:val="c3"/>
              <w:rPr>
                <w:bCs/>
                <w:color w:val="000000" w:themeColor="text1"/>
                <w:sz w:val="20"/>
                <w:szCs w:val="20"/>
                <w:lang w:val="en-US"/>
              </w:rPr>
            </w:pPr>
            <w:r>
              <w:rPr>
                <w:bCs/>
                <w:color w:val="000000" w:themeColor="text1"/>
                <w:sz w:val="20"/>
                <w:szCs w:val="20"/>
                <w:lang w:val="en-US"/>
              </w:rPr>
              <w:t>3.36</w:t>
            </w:r>
          </w:p>
        </w:tc>
        <w:tc>
          <w:tcPr>
            <w:tcW w:w="464" w:type="pct"/>
            <w:shd w:val="clear" w:color="auto" w:fill="auto"/>
            <w:noWrap/>
            <w:vAlign w:val="center"/>
          </w:tcPr>
          <w:p w14:paraId="5A77A74F" w14:textId="19326B3D" w:rsidR="006B094B" w:rsidRPr="007067E8" w:rsidRDefault="006B094B" w:rsidP="00F56364">
            <w:pPr>
              <w:pStyle w:val="c3"/>
              <w:rPr>
                <w:bCs/>
                <w:color w:val="000000" w:themeColor="text1"/>
                <w:sz w:val="20"/>
                <w:szCs w:val="20"/>
                <w:lang w:val="ru-RU"/>
              </w:rPr>
            </w:pPr>
            <w:r w:rsidRPr="007067E8">
              <w:rPr>
                <w:bCs/>
                <w:color w:val="000000" w:themeColor="text1"/>
                <w:sz w:val="20"/>
                <w:szCs w:val="20"/>
                <w:lang w:val="nl-NL"/>
              </w:rPr>
              <w:t>2.</w:t>
            </w:r>
            <w:r>
              <w:rPr>
                <w:bCs/>
                <w:color w:val="000000" w:themeColor="text1"/>
                <w:sz w:val="20"/>
                <w:szCs w:val="20"/>
                <w:lang w:val="nl-NL"/>
              </w:rPr>
              <w:t>53</w:t>
            </w:r>
          </w:p>
        </w:tc>
        <w:tc>
          <w:tcPr>
            <w:tcW w:w="464" w:type="pct"/>
            <w:shd w:val="clear" w:color="auto" w:fill="auto"/>
            <w:noWrap/>
            <w:vAlign w:val="center"/>
          </w:tcPr>
          <w:p w14:paraId="3B5A69A0" w14:textId="12D15D8B" w:rsidR="006B094B" w:rsidRPr="007067E8" w:rsidRDefault="006B094B" w:rsidP="00F56364">
            <w:pPr>
              <w:pStyle w:val="c3"/>
              <w:rPr>
                <w:bCs/>
                <w:i/>
                <w:color w:val="000000" w:themeColor="text1"/>
                <w:sz w:val="20"/>
                <w:szCs w:val="20"/>
                <w:lang w:val="nl-NL"/>
              </w:rPr>
            </w:pPr>
            <w:r>
              <w:rPr>
                <w:bCs/>
                <w:i/>
                <w:color w:val="000000" w:themeColor="text1"/>
                <w:sz w:val="20"/>
                <w:szCs w:val="20"/>
                <w:lang w:val="nl-NL"/>
              </w:rPr>
              <w:t>33</w:t>
            </w:r>
            <w:r w:rsidRPr="007067E8">
              <w:rPr>
                <w:bCs/>
                <w:i/>
                <w:color w:val="000000" w:themeColor="text1"/>
                <w:sz w:val="20"/>
                <w:szCs w:val="20"/>
                <w:lang w:val="nl-NL"/>
              </w:rPr>
              <w:t>%</w:t>
            </w:r>
          </w:p>
        </w:tc>
        <w:tc>
          <w:tcPr>
            <w:tcW w:w="464" w:type="pct"/>
            <w:vAlign w:val="center"/>
          </w:tcPr>
          <w:p w14:paraId="1692F67F" w14:textId="2C5EC9F1" w:rsidR="006B094B" w:rsidRPr="007067E8" w:rsidRDefault="006B094B" w:rsidP="00F56364">
            <w:pPr>
              <w:pStyle w:val="c3"/>
              <w:rPr>
                <w:bCs/>
                <w:color w:val="000000" w:themeColor="text1"/>
                <w:sz w:val="20"/>
                <w:szCs w:val="20"/>
                <w:lang w:val="uk-UA"/>
              </w:rPr>
            </w:pPr>
            <w:r w:rsidRPr="007067E8">
              <w:rPr>
                <w:bCs/>
                <w:color w:val="000000" w:themeColor="text1"/>
                <w:sz w:val="20"/>
                <w:szCs w:val="20"/>
                <w:lang w:val="en-US"/>
              </w:rPr>
              <w:t>2.</w:t>
            </w:r>
            <w:r>
              <w:rPr>
                <w:bCs/>
                <w:color w:val="000000" w:themeColor="text1"/>
                <w:sz w:val="20"/>
                <w:szCs w:val="20"/>
                <w:lang w:val="en-US"/>
              </w:rPr>
              <w:t>83</w:t>
            </w:r>
          </w:p>
        </w:tc>
        <w:tc>
          <w:tcPr>
            <w:tcW w:w="464" w:type="pct"/>
            <w:vAlign w:val="center"/>
          </w:tcPr>
          <w:p w14:paraId="1F0711AC" w14:textId="17976641" w:rsidR="006B094B" w:rsidRPr="007067E8" w:rsidRDefault="006B094B" w:rsidP="00F56364">
            <w:pPr>
              <w:pStyle w:val="c3"/>
              <w:rPr>
                <w:bCs/>
                <w:i/>
                <w:color w:val="000000" w:themeColor="text1"/>
                <w:sz w:val="20"/>
                <w:szCs w:val="20"/>
                <w:lang w:val="nl-NL"/>
              </w:rPr>
            </w:pPr>
            <w:r>
              <w:rPr>
                <w:bCs/>
                <w:i/>
                <w:color w:val="000000" w:themeColor="text1"/>
                <w:sz w:val="20"/>
                <w:szCs w:val="20"/>
                <w:lang w:val="nl-NL"/>
              </w:rPr>
              <w:t>19</w:t>
            </w:r>
            <w:r w:rsidRPr="007067E8">
              <w:rPr>
                <w:bCs/>
                <w:i/>
                <w:color w:val="000000" w:themeColor="text1"/>
                <w:sz w:val="20"/>
                <w:szCs w:val="20"/>
                <w:lang w:val="nl-NL"/>
              </w:rPr>
              <w:t>%</w:t>
            </w:r>
          </w:p>
        </w:tc>
        <w:tc>
          <w:tcPr>
            <w:tcW w:w="464" w:type="pct"/>
            <w:vAlign w:val="center"/>
          </w:tcPr>
          <w:p w14:paraId="6D3DBB6A" w14:textId="22A6C1B9" w:rsidR="006B094B" w:rsidRPr="006B094B" w:rsidRDefault="006B094B" w:rsidP="00F56364">
            <w:pPr>
              <w:pStyle w:val="c3"/>
              <w:rPr>
                <w:bCs/>
                <w:color w:val="000000" w:themeColor="text1"/>
                <w:sz w:val="20"/>
                <w:szCs w:val="20"/>
                <w:lang w:val="en-US"/>
              </w:rPr>
            </w:pPr>
            <w:r>
              <w:rPr>
                <w:bCs/>
                <w:color w:val="000000" w:themeColor="text1"/>
                <w:sz w:val="20"/>
                <w:szCs w:val="20"/>
                <w:lang w:val="en-US"/>
              </w:rPr>
              <w:t>3.11</w:t>
            </w:r>
          </w:p>
        </w:tc>
        <w:tc>
          <w:tcPr>
            <w:tcW w:w="464" w:type="pct"/>
            <w:vAlign w:val="center"/>
          </w:tcPr>
          <w:p w14:paraId="744BB9BB" w14:textId="2A2588FF" w:rsidR="006B094B" w:rsidRPr="007067E8" w:rsidRDefault="006B094B" w:rsidP="00F56364">
            <w:pPr>
              <w:pStyle w:val="c3"/>
              <w:rPr>
                <w:bCs/>
                <w:iCs/>
                <w:color w:val="000000" w:themeColor="text1"/>
                <w:sz w:val="20"/>
                <w:szCs w:val="20"/>
                <w:lang w:val="nl-NL"/>
              </w:rPr>
            </w:pPr>
            <w:r>
              <w:rPr>
                <w:bCs/>
                <w:iCs/>
                <w:color w:val="000000" w:themeColor="text1"/>
                <w:sz w:val="20"/>
                <w:szCs w:val="20"/>
                <w:lang w:val="nl-NL"/>
              </w:rPr>
              <w:t>2.51</w:t>
            </w:r>
          </w:p>
        </w:tc>
        <w:tc>
          <w:tcPr>
            <w:tcW w:w="462" w:type="pct"/>
            <w:vAlign w:val="center"/>
          </w:tcPr>
          <w:p w14:paraId="18212E40" w14:textId="5F0015E1" w:rsidR="006B094B" w:rsidRPr="007067E8" w:rsidRDefault="00240A3E" w:rsidP="00F56364">
            <w:pPr>
              <w:pStyle w:val="c3"/>
              <w:rPr>
                <w:bCs/>
                <w:i/>
                <w:color w:val="000000" w:themeColor="text1"/>
                <w:sz w:val="20"/>
                <w:szCs w:val="20"/>
                <w:lang w:val="nl-NL"/>
              </w:rPr>
            </w:pPr>
            <w:r>
              <w:rPr>
                <w:bCs/>
                <w:i/>
                <w:color w:val="000000" w:themeColor="text1"/>
                <w:sz w:val="20"/>
                <w:szCs w:val="20"/>
                <w:lang w:val="nl-NL"/>
              </w:rPr>
              <w:t>24</w:t>
            </w:r>
            <w:r w:rsidR="006B094B" w:rsidRPr="007067E8">
              <w:rPr>
                <w:bCs/>
                <w:i/>
                <w:color w:val="000000" w:themeColor="text1"/>
                <w:sz w:val="20"/>
                <w:szCs w:val="20"/>
                <w:lang w:val="nl-NL"/>
              </w:rPr>
              <w:t>%</w:t>
            </w:r>
          </w:p>
        </w:tc>
      </w:tr>
      <w:tr w:rsidR="006B094B" w:rsidRPr="007067E8" w14:paraId="0D14CD3A" w14:textId="77777777" w:rsidTr="00F56364">
        <w:trPr>
          <w:trHeight w:val="352"/>
        </w:trPr>
        <w:tc>
          <w:tcPr>
            <w:tcW w:w="1159" w:type="pct"/>
            <w:tcBorders>
              <w:bottom w:val="single" w:sz="12" w:space="0" w:color="auto"/>
            </w:tcBorders>
            <w:shd w:val="clear" w:color="auto" w:fill="auto"/>
            <w:noWrap/>
            <w:vAlign w:val="center"/>
          </w:tcPr>
          <w:p w14:paraId="07658D09" w14:textId="77777777" w:rsidR="006B094B" w:rsidRPr="007067E8" w:rsidRDefault="006B094B" w:rsidP="006B094B">
            <w:pPr>
              <w:pStyle w:val="c3"/>
              <w:jc w:val="both"/>
              <w:rPr>
                <w:b/>
                <w:bCs/>
                <w:color w:val="000000" w:themeColor="text1"/>
                <w:sz w:val="20"/>
                <w:szCs w:val="20"/>
                <w:lang w:val="en-US"/>
              </w:rPr>
            </w:pPr>
            <w:r w:rsidRPr="007067E8">
              <w:rPr>
                <w:b/>
                <w:bCs/>
                <w:color w:val="000000" w:themeColor="text1"/>
                <w:sz w:val="20"/>
                <w:szCs w:val="20"/>
                <w:lang w:val="en-US"/>
              </w:rPr>
              <w:t>Meat processing products*</w:t>
            </w:r>
          </w:p>
        </w:tc>
        <w:tc>
          <w:tcPr>
            <w:tcW w:w="131" w:type="pct"/>
            <w:tcBorders>
              <w:bottom w:val="single" w:sz="12" w:space="0" w:color="auto"/>
            </w:tcBorders>
            <w:vAlign w:val="center"/>
          </w:tcPr>
          <w:p w14:paraId="5DE0424C" w14:textId="77777777" w:rsidR="006B094B" w:rsidRPr="007067E8" w:rsidRDefault="006B094B" w:rsidP="006B094B">
            <w:pPr>
              <w:pStyle w:val="c3"/>
              <w:rPr>
                <w:b/>
                <w:bCs/>
                <w:color w:val="000000" w:themeColor="text1"/>
                <w:sz w:val="20"/>
                <w:szCs w:val="20"/>
                <w:lang w:val="en-US"/>
              </w:rPr>
            </w:pPr>
          </w:p>
        </w:tc>
        <w:tc>
          <w:tcPr>
            <w:tcW w:w="464" w:type="pct"/>
            <w:tcBorders>
              <w:top w:val="single" w:sz="12" w:space="0" w:color="auto"/>
              <w:bottom w:val="single" w:sz="12" w:space="0" w:color="auto"/>
            </w:tcBorders>
            <w:shd w:val="clear" w:color="auto" w:fill="auto"/>
            <w:noWrap/>
            <w:vAlign w:val="center"/>
          </w:tcPr>
          <w:p w14:paraId="7F5C4801" w14:textId="7A90E651" w:rsidR="006B094B" w:rsidRPr="007067E8" w:rsidRDefault="006B094B" w:rsidP="006B094B">
            <w:pPr>
              <w:pStyle w:val="c3"/>
              <w:rPr>
                <w:b/>
                <w:bCs/>
                <w:color w:val="000000" w:themeColor="text1"/>
                <w:sz w:val="20"/>
                <w:szCs w:val="20"/>
                <w:lang w:val="en-US"/>
              </w:rPr>
            </w:pPr>
            <w:r w:rsidRPr="007067E8">
              <w:rPr>
                <w:b/>
                <w:bCs/>
                <w:color w:val="000000" w:themeColor="text1"/>
                <w:sz w:val="20"/>
                <w:szCs w:val="20"/>
                <w:lang w:val="en-US"/>
              </w:rPr>
              <w:t>Q</w:t>
            </w:r>
            <w:r>
              <w:rPr>
                <w:b/>
                <w:bCs/>
                <w:color w:val="000000" w:themeColor="text1"/>
                <w:sz w:val="20"/>
                <w:szCs w:val="20"/>
                <w:lang w:val="en-US"/>
              </w:rPr>
              <w:t xml:space="preserve">2 </w:t>
            </w:r>
            <w:r w:rsidRPr="007067E8">
              <w:rPr>
                <w:b/>
                <w:bCs/>
                <w:color w:val="000000" w:themeColor="text1"/>
                <w:sz w:val="20"/>
                <w:szCs w:val="20"/>
                <w:lang w:val="en-US"/>
              </w:rPr>
              <w:t>202</w:t>
            </w:r>
            <w:r>
              <w:rPr>
                <w:b/>
                <w:bCs/>
                <w:color w:val="000000" w:themeColor="text1"/>
                <w:sz w:val="20"/>
                <w:szCs w:val="20"/>
                <w:lang w:val="en-US"/>
              </w:rPr>
              <w:t>2</w:t>
            </w:r>
          </w:p>
        </w:tc>
        <w:tc>
          <w:tcPr>
            <w:tcW w:w="464" w:type="pct"/>
            <w:tcBorders>
              <w:top w:val="single" w:sz="12" w:space="0" w:color="auto"/>
              <w:bottom w:val="single" w:sz="12" w:space="0" w:color="auto"/>
            </w:tcBorders>
            <w:shd w:val="clear" w:color="auto" w:fill="auto"/>
            <w:noWrap/>
            <w:vAlign w:val="center"/>
          </w:tcPr>
          <w:p w14:paraId="12434BDF" w14:textId="7E1F5E67" w:rsidR="006B094B" w:rsidRPr="007067E8" w:rsidRDefault="006B094B" w:rsidP="006B094B">
            <w:pPr>
              <w:pStyle w:val="c3"/>
              <w:rPr>
                <w:b/>
                <w:bCs/>
                <w:color w:val="000000" w:themeColor="text1"/>
                <w:sz w:val="20"/>
                <w:szCs w:val="20"/>
                <w:lang w:val="en-US"/>
              </w:rPr>
            </w:pPr>
            <w:r w:rsidRPr="007067E8">
              <w:rPr>
                <w:b/>
                <w:bCs/>
                <w:color w:val="000000" w:themeColor="text1"/>
                <w:sz w:val="20"/>
                <w:szCs w:val="20"/>
                <w:lang w:val="en-US"/>
              </w:rPr>
              <w:t>Q</w:t>
            </w:r>
            <w:r>
              <w:rPr>
                <w:b/>
                <w:bCs/>
                <w:color w:val="000000" w:themeColor="text1"/>
                <w:sz w:val="20"/>
                <w:szCs w:val="20"/>
                <w:lang w:val="en-US"/>
              </w:rPr>
              <w:t>2</w:t>
            </w:r>
            <w:r w:rsidRPr="007067E8">
              <w:rPr>
                <w:b/>
                <w:bCs/>
                <w:color w:val="000000" w:themeColor="text1"/>
                <w:sz w:val="20"/>
                <w:szCs w:val="20"/>
                <w:lang w:val="en-US"/>
              </w:rPr>
              <w:t xml:space="preserve"> 202</w:t>
            </w:r>
            <w:r>
              <w:rPr>
                <w:b/>
                <w:bCs/>
                <w:color w:val="000000" w:themeColor="text1"/>
                <w:sz w:val="20"/>
                <w:szCs w:val="20"/>
                <w:lang w:val="en-US"/>
              </w:rPr>
              <w:t>1</w:t>
            </w:r>
          </w:p>
        </w:tc>
        <w:tc>
          <w:tcPr>
            <w:tcW w:w="464" w:type="pct"/>
            <w:tcBorders>
              <w:top w:val="single" w:sz="12" w:space="0" w:color="auto"/>
              <w:bottom w:val="single" w:sz="12" w:space="0" w:color="auto"/>
            </w:tcBorders>
            <w:shd w:val="clear" w:color="auto" w:fill="auto"/>
            <w:noWrap/>
            <w:vAlign w:val="center"/>
          </w:tcPr>
          <w:p w14:paraId="3AC26714" w14:textId="7BAC8118" w:rsidR="006B094B" w:rsidRPr="007067E8" w:rsidRDefault="006B094B" w:rsidP="006B094B">
            <w:pPr>
              <w:pStyle w:val="c3"/>
              <w:rPr>
                <w:b/>
                <w:bCs/>
                <w:i/>
                <w:iCs/>
                <w:color w:val="000000" w:themeColor="text1"/>
                <w:sz w:val="20"/>
                <w:szCs w:val="20"/>
                <w:lang w:val="en-US"/>
              </w:rPr>
            </w:pPr>
            <w:r w:rsidRPr="007067E8">
              <w:rPr>
                <w:b/>
                <w:bCs/>
                <w:i/>
                <w:color w:val="000000" w:themeColor="text1"/>
                <w:sz w:val="20"/>
                <w:szCs w:val="20"/>
                <w:lang w:val="en-US"/>
              </w:rPr>
              <w:t xml:space="preserve">% </w:t>
            </w:r>
            <w:proofErr w:type="gramStart"/>
            <w:r w:rsidRPr="007067E8">
              <w:rPr>
                <w:b/>
                <w:bCs/>
                <w:i/>
                <w:color w:val="000000" w:themeColor="text1"/>
                <w:sz w:val="20"/>
                <w:szCs w:val="20"/>
                <w:lang w:val="en-US"/>
              </w:rPr>
              <w:t>change</w:t>
            </w:r>
            <w:proofErr w:type="gramEnd"/>
            <w:r w:rsidRPr="007067E8">
              <w:rPr>
                <w:b/>
                <w:bCs/>
                <w:i/>
                <w:color w:val="000000" w:themeColor="text1"/>
                <w:sz w:val="20"/>
                <w:szCs w:val="20"/>
                <w:lang w:val="en-US"/>
              </w:rPr>
              <w:t xml:space="preserve"> YoY</w:t>
            </w:r>
          </w:p>
        </w:tc>
        <w:tc>
          <w:tcPr>
            <w:tcW w:w="464" w:type="pct"/>
            <w:tcBorders>
              <w:top w:val="single" w:sz="12" w:space="0" w:color="auto"/>
              <w:bottom w:val="single" w:sz="12" w:space="0" w:color="auto"/>
            </w:tcBorders>
            <w:vAlign w:val="center"/>
          </w:tcPr>
          <w:p w14:paraId="4EF94587" w14:textId="17DAFA13" w:rsidR="006B094B" w:rsidRPr="007067E8" w:rsidDel="00FA5C12" w:rsidRDefault="006B094B" w:rsidP="006B094B">
            <w:pPr>
              <w:pStyle w:val="c3"/>
              <w:rPr>
                <w:b/>
                <w:bCs/>
                <w:iCs/>
                <w:color w:val="000000" w:themeColor="text1"/>
                <w:sz w:val="20"/>
                <w:szCs w:val="20"/>
                <w:lang w:val="en-US"/>
              </w:rPr>
            </w:pPr>
            <w:r w:rsidRPr="007067E8">
              <w:rPr>
                <w:b/>
                <w:bCs/>
                <w:color w:val="000000" w:themeColor="text1"/>
                <w:sz w:val="20"/>
                <w:szCs w:val="20"/>
                <w:lang w:val="en-US"/>
              </w:rPr>
              <w:t>Q</w:t>
            </w:r>
            <w:r>
              <w:rPr>
                <w:b/>
                <w:bCs/>
                <w:color w:val="000000" w:themeColor="text1"/>
                <w:sz w:val="20"/>
                <w:szCs w:val="20"/>
                <w:lang w:val="en-US"/>
              </w:rPr>
              <w:t>1</w:t>
            </w:r>
            <w:r w:rsidRPr="007067E8">
              <w:rPr>
                <w:b/>
                <w:bCs/>
                <w:color w:val="000000" w:themeColor="text1"/>
                <w:sz w:val="20"/>
                <w:szCs w:val="20"/>
                <w:lang w:val="en-US"/>
              </w:rPr>
              <w:t xml:space="preserve"> 202</w:t>
            </w:r>
            <w:r>
              <w:rPr>
                <w:b/>
                <w:bCs/>
                <w:color w:val="000000" w:themeColor="text1"/>
                <w:sz w:val="20"/>
                <w:szCs w:val="20"/>
                <w:lang w:val="en-US"/>
              </w:rPr>
              <w:t>2</w:t>
            </w:r>
          </w:p>
        </w:tc>
        <w:tc>
          <w:tcPr>
            <w:tcW w:w="464" w:type="pct"/>
            <w:tcBorders>
              <w:top w:val="single" w:sz="12" w:space="0" w:color="auto"/>
              <w:bottom w:val="single" w:sz="12" w:space="0" w:color="auto"/>
            </w:tcBorders>
            <w:vAlign w:val="center"/>
          </w:tcPr>
          <w:p w14:paraId="4BED2F06" w14:textId="29152BE8" w:rsidR="006B094B" w:rsidRPr="007067E8" w:rsidDel="00FA5C12" w:rsidRDefault="006B094B" w:rsidP="006B094B">
            <w:pPr>
              <w:pStyle w:val="c3"/>
              <w:rPr>
                <w:b/>
                <w:bCs/>
                <w:iCs/>
                <w:color w:val="000000" w:themeColor="text1"/>
                <w:sz w:val="20"/>
                <w:szCs w:val="20"/>
                <w:lang w:val="en-US"/>
              </w:rPr>
            </w:pPr>
            <w:r w:rsidRPr="007067E8">
              <w:rPr>
                <w:b/>
                <w:bCs/>
                <w:i/>
                <w:color w:val="000000" w:themeColor="text1"/>
                <w:sz w:val="20"/>
                <w:szCs w:val="20"/>
                <w:lang w:val="en-US"/>
              </w:rPr>
              <w:t xml:space="preserve">% </w:t>
            </w:r>
            <w:proofErr w:type="gramStart"/>
            <w:r w:rsidRPr="007067E8">
              <w:rPr>
                <w:b/>
                <w:bCs/>
                <w:i/>
                <w:color w:val="000000" w:themeColor="text1"/>
                <w:sz w:val="20"/>
                <w:szCs w:val="20"/>
                <w:lang w:val="en-US"/>
              </w:rPr>
              <w:t>change</w:t>
            </w:r>
            <w:proofErr w:type="gramEnd"/>
            <w:r w:rsidRPr="007067E8">
              <w:rPr>
                <w:b/>
                <w:bCs/>
                <w:i/>
                <w:color w:val="000000" w:themeColor="text1"/>
                <w:sz w:val="20"/>
                <w:szCs w:val="20"/>
                <w:lang w:val="en-US"/>
              </w:rPr>
              <w:t xml:space="preserve"> </w:t>
            </w:r>
            <w:proofErr w:type="spellStart"/>
            <w:r w:rsidRPr="007067E8">
              <w:rPr>
                <w:b/>
                <w:bCs/>
                <w:i/>
                <w:color w:val="000000" w:themeColor="text1"/>
                <w:sz w:val="20"/>
                <w:szCs w:val="20"/>
                <w:lang w:val="en-US"/>
              </w:rPr>
              <w:t>QoQ</w:t>
            </w:r>
            <w:proofErr w:type="spellEnd"/>
          </w:p>
        </w:tc>
        <w:tc>
          <w:tcPr>
            <w:tcW w:w="464" w:type="pct"/>
            <w:tcBorders>
              <w:top w:val="single" w:sz="12" w:space="0" w:color="auto"/>
              <w:bottom w:val="single" w:sz="12" w:space="0" w:color="auto"/>
            </w:tcBorders>
            <w:vAlign w:val="center"/>
          </w:tcPr>
          <w:p w14:paraId="6531D0FE" w14:textId="7F1F3A42" w:rsidR="006B094B" w:rsidRPr="007067E8" w:rsidRDefault="006B094B" w:rsidP="006B094B">
            <w:pPr>
              <w:pStyle w:val="c3"/>
              <w:rPr>
                <w:b/>
                <w:bCs/>
                <w:iCs/>
                <w:color w:val="4BACC6" w:themeColor="accent5"/>
                <w:sz w:val="20"/>
                <w:szCs w:val="20"/>
                <w:lang w:val="uk-UA"/>
              </w:rPr>
            </w:pPr>
            <w:r>
              <w:rPr>
                <w:b/>
                <w:bCs/>
                <w:iCs/>
                <w:color w:val="000000" w:themeColor="text1"/>
                <w:sz w:val="20"/>
                <w:szCs w:val="20"/>
                <w:lang w:val="en-US"/>
              </w:rPr>
              <w:t>H1</w:t>
            </w:r>
            <w:r w:rsidRPr="007067E8">
              <w:rPr>
                <w:b/>
                <w:bCs/>
                <w:iCs/>
                <w:color w:val="000000" w:themeColor="text1"/>
                <w:sz w:val="20"/>
                <w:szCs w:val="20"/>
                <w:lang w:val="en-US"/>
              </w:rPr>
              <w:t xml:space="preserve"> 202</w:t>
            </w:r>
            <w:r>
              <w:rPr>
                <w:b/>
                <w:bCs/>
                <w:iCs/>
                <w:color w:val="000000" w:themeColor="text1"/>
                <w:sz w:val="20"/>
                <w:szCs w:val="20"/>
                <w:lang w:val="en-US"/>
              </w:rPr>
              <w:t>2</w:t>
            </w:r>
          </w:p>
        </w:tc>
        <w:tc>
          <w:tcPr>
            <w:tcW w:w="464" w:type="pct"/>
            <w:tcBorders>
              <w:top w:val="single" w:sz="12" w:space="0" w:color="auto"/>
              <w:bottom w:val="single" w:sz="12" w:space="0" w:color="auto"/>
            </w:tcBorders>
            <w:vAlign w:val="center"/>
          </w:tcPr>
          <w:p w14:paraId="432B9BFB" w14:textId="785459E8" w:rsidR="006B094B" w:rsidRPr="007067E8" w:rsidRDefault="006B094B" w:rsidP="006B094B">
            <w:pPr>
              <w:pStyle w:val="c3"/>
              <w:rPr>
                <w:b/>
                <w:bCs/>
                <w:iCs/>
                <w:color w:val="000000" w:themeColor="text1"/>
                <w:sz w:val="20"/>
                <w:szCs w:val="20"/>
                <w:lang w:val="en-US"/>
              </w:rPr>
            </w:pPr>
            <w:r>
              <w:rPr>
                <w:b/>
                <w:bCs/>
                <w:iCs/>
                <w:color w:val="000000" w:themeColor="text1"/>
                <w:sz w:val="20"/>
                <w:szCs w:val="20"/>
                <w:lang w:val="en-US"/>
              </w:rPr>
              <w:t>H1</w:t>
            </w:r>
            <w:r w:rsidRPr="007067E8">
              <w:rPr>
                <w:b/>
                <w:bCs/>
                <w:iCs/>
                <w:color w:val="000000" w:themeColor="text1"/>
                <w:sz w:val="20"/>
                <w:szCs w:val="20"/>
                <w:lang w:val="en-US"/>
              </w:rPr>
              <w:t xml:space="preserve"> 202</w:t>
            </w:r>
            <w:r>
              <w:rPr>
                <w:b/>
                <w:bCs/>
                <w:iCs/>
                <w:color w:val="000000" w:themeColor="text1"/>
                <w:sz w:val="20"/>
                <w:szCs w:val="20"/>
                <w:lang w:val="en-US"/>
              </w:rPr>
              <w:t>1</w:t>
            </w:r>
          </w:p>
        </w:tc>
        <w:tc>
          <w:tcPr>
            <w:tcW w:w="462" w:type="pct"/>
            <w:tcBorders>
              <w:top w:val="single" w:sz="12" w:space="0" w:color="auto"/>
              <w:bottom w:val="single" w:sz="12" w:space="0" w:color="auto"/>
            </w:tcBorders>
            <w:vAlign w:val="center"/>
          </w:tcPr>
          <w:p w14:paraId="7B0BC1C0" w14:textId="360B23A0" w:rsidR="006B094B" w:rsidRPr="007067E8" w:rsidRDefault="006B094B" w:rsidP="006B094B">
            <w:pPr>
              <w:pStyle w:val="c3"/>
              <w:rPr>
                <w:b/>
                <w:bCs/>
                <w:i/>
                <w:iCs/>
                <w:color w:val="000000" w:themeColor="text1"/>
                <w:sz w:val="20"/>
                <w:szCs w:val="20"/>
                <w:lang w:val="en-US"/>
              </w:rPr>
            </w:pPr>
            <w:r w:rsidRPr="007067E8">
              <w:rPr>
                <w:b/>
                <w:bCs/>
                <w:i/>
                <w:color w:val="000000" w:themeColor="text1"/>
                <w:sz w:val="20"/>
                <w:szCs w:val="20"/>
                <w:lang w:val="en-US"/>
              </w:rPr>
              <w:t xml:space="preserve">% </w:t>
            </w:r>
            <w:proofErr w:type="gramStart"/>
            <w:r w:rsidRPr="007067E8">
              <w:rPr>
                <w:b/>
                <w:bCs/>
                <w:i/>
                <w:color w:val="000000" w:themeColor="text1"/>
                <w:sz w:val="20"/>
                <w:szCs w:val="20"/>
                <w:lang w:val="en-US"/>
              </w:rPr>
              <w:t>change</w:t>
            </w:r>
            <w:proofErr w:type="gramEnd"/>
          </w:p>
        </w:tc>
      </w:tr>
      <w:tr w:rsidR="006B094B" w:rsidRPr="007067E8" w14:paraId="646B7A85" w14:textId="77777777" w:rsidTr="00F56364">
        <w:trPr>
          <w:trHeight w:val="352"/>
        </w:trPr>
        <w:tc>
          <w:tcPr>
            <w:tcW w:w="1159" w:type="pct"/>
            <w:tcBorders>
              <w:top w:val="single" w:sz="12" w:space="0" w:color="auto"/>
            </w:tcBorders>
            <w:shd w:val="clear" w:color="auto" w:fill="auto"/>
            <w:noWrap/>
            <w:vAlign w:val="center"/>
          </w:tcPr>
          <w:p w14:paraId="7211E1E4" w14:textId="77777777" w:rsidR="006B094B" w:rsidRPr="007067E8" w:rsidRDefault="006B094B" w:rsidP="00F56364">
            <w:pPr>
              <w:pStyle w:val="c3"/>
              <w:jc w:val="both"/>
              <w:rPr>
                <w:bCs/>
                <w:color w:val="000000" w:themeColor="text1"/>
                <w:sz w:val="20"/>
                <w:szCs w:val="20"/>
                <w:lang w:val="en-US"/>
              </w:rPr>
            </w:pPr>
            <w:r w:rsidRPr="007067E8">
              <w:rPr>
                <w:bCs/>
                <w:color w:val="000000" w:themeColor="text1"/>
                <w:sz w:val="20"/>
                <w:szCs w:val="20"/>
                <w:lang w:val="en-US"/>
              </w:rPr>
              <w:t xml:space="preserve">Sales volume, </w:t>
            </w:r>
            <w:proofErr w:type="spellStart"/>
            <w:r w:rsidRPr="007067E8">
              <w:rPr>
                <w:bCs/>
                <w:color w:val="000000" w:themeColor="text1"/>
                <w:sz w:val="20"/>
                <w:szCs w:val="20"/>
                <w:lang w:val="en-US"/>
              </w:rPr>
              <w:t>tonnes</w:t>
            </w:r>
            <w:proofErr w:type="spellEnd"/>
          </w:p>
        </w:tc>
        <w:tc>
          <w:tcPr>
            <w:tcW w:w="131" w:type="pct"/>
            <w:tcBorders>
              <w:top w:val="single" w:sz="12" w:space="0" w:color="auto"/>
            </w:tcBorders>
            <w:vAlign w:val="center"/>
          </w:tcPr>
          <w:p w14:paraId="3313CE08" w14:textId="77777777" w:rsidR="006B094B" w:rsidRPr="007067E8" w:rsidRDefault="006B094B" w:rsidP="00F56364">
            <w:pPr>
              <w:pStyle w:val="c3"/>
              <w:rPr>
                <w:bCs/>
                <w:color w:val="000000" w:themeColor="text1"/>
                <w:sz w:val="20"/>
                <w:szCs w:val="20"/>
                <w:lang w:val="en-US"/>
              </w:rPr>
            </w:pPr>
          </w:p>
        </w:tc>
        <w:tc>
          <w:tcPr>
            <w:tcW w:w="464" w:type="pct"/>
            <w:tcBorders>
              <w:top w:val="single" w:sz="12" w:space="0" w:color="auto"/>
            </w:tcBorders>
            <w:shd w:val="clear" w:color="auto" w:fill="auto"/>
            <w:noWrap/>
            <w:vAlign w:val="center"/>
          </w:tcPr>
          <w:p w14:paraId="19D3D975" w14:textId="3848D454" w:rsidR="006B094B" w:rsidRPr="00240A3E" w:rsidRDefault="006B094B" w:rsidP="00F56364">
            <w:pPr>
              <w:pStyle w:val="c3"/>
              <w:rPr>
                <w:bCs/>
                <w:color w:val="000000" w:themeColor="text1"/>
                <w:sz w:val="20"/>
                <w:szCs w:val="20"/>
                <w:lang w:val="en-US"/>
              </w:rPr>
            </w:pPr>
            <w:r w:rsidRPr="007067E8">
              <w:rPr>
                <w:bCs/>
                <w:color w:val="000000" w:themeColor="text1"/>
                <w:sz w:val="20"/>
                <w:szCs w:val="20"/>
                <w:lang w:val="en-US"/>
              </w:rPr>
              <w:t>1</w:t>
            </w:r>
            <w:r w:rsidRPr="007067E8">
              <w:rPr>
                <w:bCs/>
                <w:color w:val="000000" w:themeColor="text1"/>
                <w:sz w:val="20"/>
                <w:szCs w:val="20"/>
                <w:lang w:val="ru-RU"/>
              </w:rPr>
              <w:t>0,</w:t>
            </w:r>
            <w:r w:rsidR="00240A3E">
              <w:rPr>
                <w:bCs/>
                <w:color w:val="000000" w:themeColor="text1"/>
                <w:sz w:val="20"/>
                <w:szCs w:val="20"/>
                <w:lang w:val="en-US"/>
              </w:rPr>
              <w:t>238</w:t>
            </w:r>
          </w:p>
        </w:tc>
        <w:tc>
          <w:tcPr>
            <w:tcW w:w="464" w:type="pct"/>
            <w:tcBorders>
              <w:top w:val="single" w:sz="12" w:space="0" w:color="auto"/>
            </w:tcBorders>
            <w:shd w:val="clear" w:color="auto" w:fill="auto"/>
            <w:noWrap/>
            <w:vAlign w:val="center"/>
          </w:tcPr>
          <w:p w14:paraId="6F4A1B18" w14:textId="77C353A9" w:rsidR="006B094B" w:rsidRPr="00240A3E" w:rsidRDefault="006B094B" w:rsidP="00F56364">
            <w:pPr>
              <w:pStyle w:val="c3"/>
              <w:rPr>
                <w:bCs/>
                <w:color w:val="000000" w:themeColor="text1"/>
                <w:sz w:val="20"/>
                <w:szCs w:val="20"/>
                <w:lang w:val="en-US"/>
              </w:rPr>
            </w:pPr>
            <w:r w:rsidRPr="007067E8">
              <w:rPr>
                <w:bCs/>
                <w:color w:val="000000" w:themeColor="text1"/>
                <w:sz w:val="20"/>
                <w:szCs w:val="20"/>
                <w:lang w:val="ru-RU"/>
              </w:rPr>
              <w:t>9,8</w:t>
            </w:r>
            <w:r w:rsidR="00240A3E">
              <w:rPr>
                <w:bCs/>
                <w:color w:val="000000" w:themeColor="text1"/>
                <w:sz w:val="20"/>
                <w:szCs w:val="20"/>
                <w:lang w:val="en-US"/>
              </w:rPr>
              <w:t>68</w:t>
            </w:r>
          </w:p>
        </w:tc>
        <w:tc>
          <w:tcPr>
            <w:tcW w:w="464" w:type="pct"/>
            <w:tcBorders>
              <w:top w:val="single" w:sz="12" w:space="0" w:color="auto"/>
            </w:tcBorders>
            <w:shd w:val="clear" w:color="auto" w:fill="auto"/>
            <w:noWrap/>
            <w:vAlign w:val="center"/>
          </w:tcPr>
          <w:p w14:paraId="08FE4D66" w14:textId="77777777" w:rsidR="006B094B" w:rsidRPr="007067E8" w:rsidRDefault="006B094B" w:rsidP="00F56364">
            <w:pPr>
              <w:pStyle w:val="c3"/>
              <w:rPr>
                <w:bCs/>
                <w:i/>
                <w:color w:val="000000" w:themeColor="text1"/>
                <w:sz w:val="20"/>
                <w:szCs w:val="20"/>
                <w:lang w:val="en-US"/>
              </w:rPr>
            </w:pPr>
            <w:r w:rsidRPr="007067E8">
              <w:rPr>
                <w:bCs/>
                <w:i/>
                <w:color w:val="000000" w:themeColor="text1"/>
                <w:sz w:val="20"/>
                <w:szCs w:val="20"/>
                <w:lang w:val="ru-RU"/>
              </w:rPr>
              <w:t>4</w:t>
            </w:r>
            <w:r w:rsidRPr="007067E8">
              <w:rPr>
                <w:bCs/>
                <w:i/>
                <w:color w:val="000000" w:themeColor="text1"/>
                <w:sz w:val="20"/>
                <w:szCs w:val="20"/>
                <w:lang w:val="en-US"/>
              </w:rPr>
              <w:t>%</w:t>
            </w:r>
          </w:p>
        </w:tc>
        <w:tc>
          <w:tcPr>
            <w:tcW w:w="464" w:type="pct"/>
            <w:tcBorders>
              <w:top w:val="single" w:sz="12" w:space="0" w:color="auto"/>
            </w:tcBorders>
            <w:vAlign w:val="center"/>
          </w:tcPr>
          <w:p w14:paraId="1EEC0844" w14:textId="3827FDE6" w:rsidR="006B094B" w:rsidRPr="007067E8" w:rsidRDefault="00240A3E" w:rsidP="00F56364">
            <w:pPr>
              <w:pStyle w:val="c3"/>
              <w:rPr>
                <w:bCs/>
                <w:color w:val="000000" w:themeColor="text1"/>
                <w:sz w:val="20"/>
                <w:szCs w:val="20"/>
                <w:lang w:val="en-US"/>
              </w:rPr>
            </w:pPr>
            <w:r>
              <w:rPr>
                <w:bCs/>
                <w:color w:val="000000" w:themeColor="text1"/>
                <w:sz w:val="20"/>
                <w:szCs w:val="20"/>
                <w:lang w:val="en-US"/>
              </w:rPr>
              <w:t>9</w:t>
            </w:r>
            <w:r w:rsidR="006B094B" w:rsidRPr="007067E8">
              <w:rPr>
                <w:bCs/>
                <w:color w:val="000000" w:themeColor="text1"/>
                <w:sz w:val="20"/>
                <w:szCs w:val="20"/>
                <w:lang w:val="en-US"/>
              </w:rPr>
              <w:t>,</w:t>
            </w:r>
            <w:r>
              <w:rPr>
                <w:bCs/>
                <w:color w:val="000000" w:themeColor="text1"/>
                <w:sz w:val="20"/>
                <w:szCs w:val="20"/>
                <w:lang w:val="en-US"/>
              </w:rPr>
              <w:t>917</w:t>
            </w:r>
          </w:p>
        </w:tc>
        <w:tc>
          <w:tcPr>
            <w:tcW w:w="464" w:type="pct"/>
            <w:tcBorders>
              <w:top w:val="single" w:sz="12" w:space="0" w:color="auto"/>
            </w:tcBorders>
            <w:vAlign w:val="center"/>
          </w:tcPr>
          <w:p w14:paraId="6005D3BF" w14:textId="307F89E2" w:rsidR="006B094B" w:rsidRPr="007067E8" w:rsidRDefault="00240A3E" w:rsidP="00F56364">
            <w:pPr>
              <w:pStyle w:val="c3"/>
              <w:rPr>
                <w:bCs/>
                <w:i/>
                <w:color w:val="000000" w:themeColor="text1"/>
                <w:sz w:val="20"/>
                <w:szCs w:val="20"/>
                <w:lang w:val="ru-RU"/>
              </w:rPr>
            </w:pPr>
            <w:r>
              <w:rPr>
                <w:bCs/>
                <w:i/>
                <w:color w:val="000000" w:themeColor="text1"/>
                <w:sz w:val="20"/>
                <w:szCs w:val="20"/>
                <w:lang w:val="en-US"/>
              </w:rPr>
              <w:t>3</w:t>
            </w:r>
            <w:r w:rsidR="006B094B" w:rsidRPr="007067E8">
              <w:rPr>
                <w:bCs/>
                <w:i/>
                <w:color w:val="000000" w:themeColor="text1"/>
                <w:sz w:val="20"/>
                <w:szCs w:val="20"/>
                <w:lang w:val="ru-RU"/>
              </w:rPr>
              <w:t>%</w:t>
            </w:r>
          </w:p>
        </w:tc>
        <w:tc>
          <w:tcPr>
            <w:tcW w:w="464" w:type="pct"/>
            <w:tcBorders>
              <w:top w:val="single" w:sz="12" w:space="0" w:color="auto"/>
            </w:tcBorders>
            <w:vAlign w:val="center"/>
          </w:tcPr>
          <w:p w14:paraId="5A992552" w14:textId="1744E4C5" w:rsidR="006B094B" w:rsidRPr="00240A3E" w:rsidRDefault="00240A3E" w:rsidP="00F56364">
            <w:pPr>
              <w:pStyle w:val="c3"/>
              <w:rPr>
                <w:bCs/>
                <w:color w:val="000000" w:themeColor="text1"/>
                <w:sz w:val="20"/>
                <w:szCs w:val="20"/>
                <w:lang w:val="en-US"/>
              </w:rPr>
            </w:pPr>
            <w:r>
              <w:rPr>
                <w:bCs/>
                <w:color w:val="000000" w:themeColor="text1"/>
                <w:sz w:val="20"/>
                <w:szCs w:val="20"/>
                <w:lang w:val="en-US"/>
              </w:rPr>
              <w:t>20,156</w:t>
            </w:r>
          </w:p>
        </w:tc>
        <w:tc>
          <w:tcPr>
            <w:tcW w:w="464" w:type="pct"/>
            <w:tcBorders>
              <w:top w:val="single" w:sz="12" w:space="0" w:color="auto"/>
            </w:tcBorders>
            <w:vAlign w:val="center"/>
          </w:tcPr>
          <w:p w14:paraId="403999F3" w14:textId="406CA0E0" w:rsidR="006B094B" w:rsidRPr="00240A3E" w:rsidRDefault="00240A3E" w:rsidP="00F56364">
            <w:pPr>
              <w:pStyle w:val="c3"/>
              <w:rPr>
                <w:bCs/>
                <w:iCs/>
                <w:color w:val="000000" w:themeColor="text1"/>
                <w:sz w:val="20"/>
                <w:szCs w:val="20"/>
                <w:lang w:val="en-US"/>
              </w:rPr>
            </w:pPr>
            <w:r>
              <w:rPr>
                <w:bCs/>
                <w:iCs/>
                <w:color w:val="000000" w:themeColor="text1"/>
                <w:sz w:val="20"/>
                <w:szCs w:val="20"/>
                <w:lang w:val="en-US"/>
              </w:rPr>
              <w:t>19,016</w:t>
            </w:r>
          </w:p>
        </w:tc>
        <w:tc>
          <w:tcPr>
            <w:tcW w:w="462" w:type="pct"/>
            <w:tcBorders>
              <w:top w:val="single" w:sz="12" w:space="0" w:color="auto"/>
            </w:tcBorders>
            <w:vAlign w:val="center"/>
          </w:tcPr>
          <w:p w14:paraId="7CD3CCF9" w14:textId="08A4B2FB" w:rsidR="006B094B" w:rsidRPr="007067E8" w:rsidRDefault="00240A3E" w:rsidP="00F56364">
            <w:pPr>
              <w:pStyle w:val="c3"/>
              <w:rPr>
                <w:bCs/>
                <w:i/>
                <w:color w:val="000000" w:themeColor="text1"/>
                <w:sz w:val="20"/>
                <w:szCs w:val="20"/>
                <w:lang w:val="en-US"/>
              </w:rPr>
            </w:pPr>
            <w:r>
              <w:rPr>
                <w:bCs/>
                <w:i/>
                <w:color w:val="000000" w:themeColor="text1"/>
                <w:sz w:val="20"/>
                <w:szCs w:val="20"/>
                <w:lang w:val="en-US"/>
              </w:rPr>
              <w:t>6</w:t>
            </w:r>
            <w:r w:rsidR="006B094B" w:rsidRPr="007067E8">
              <w:rPr>
                <w:bCs/>
                <w:i/>
                <w:color w:val="000000" w:themeColor="text1"/>
                <w:sz w:val="20"/>
                <w:szCs w:val="20"/>
                <w:lang w:val="en-US"/>
              </w:rPr>
              <w:t>%</w:t>
            </w:r>
          </w:p>
        </w:tc>
      </w:tr>
      <w:tr w:rsidR="006B094B" w:rsidRPr="007067E8" w14:paraId="44E78679" w14:textId="77777777" w:rsidTr="00F56364">
        <w:trPr>
          <w:trHeight w:val="352"/>
        </w:trPr>
        <w:tc>
          <w:tcPr>
            <w:tcW w:w="1159" w:type="pct"/>
            <w:shd w:val="clear" w:color="auto" w:fill="auto"/>
            <w:noWrap/>
            <w:vAlign w:val="center"/>
          </w:tcPr>
          <w:p w14:paraId="0A482925" w14:textId="77777777" w:rsidR="006B094B" w:rsidRPr="007067E8" w:rsidRDefault="006B094B" w:rsidP="00F56364">
            <w:pPr>
              <w:pStyle w:val="c3"/>
              <w:jc w:val="both"/>
              <w:rPr>
                <w:color w:val="000000" w:themeColor="text1"/>
                <w:sz w:val="20"/>
                <w:szCs w:val="20"/>
                <w:lang w:val="nl-NL"/>
              </w:rPr>
            </w:pPr>
            <w:r w:rsidRPr="007067E8">
              <w:rPr>
                <w:color w:val="000000" w:themeColor="text1"/>
                <w:sz w:val="20"/>
                <w:szCs w:val="20"/>
                <w:lang w:val="nl-NL"/>
              </w:rPr>
              <w:t>Price per 1 kg net VAT, EUR</w:t>
            </w:r>
          </w:p>
        </w:tc>
        <w:tc>
          <w:tcPr>
            <w:tcW w:w="131" w:type="pct"/>
            <w:vAlign w:val="center"/>
          </w:tcPr>
          <w:p w14:paraId="0D5F2857" w14:textId="77777777" w:rsidR="006B094B" w:rsidRPr="007067E8" w:rsidRDefault="006B094B" w:rsidP="00F56364">
            <w:pPr>
              <w:pStyle w:val="c3"/>
              <w:rPr>
                <w:bCs/>
                <w:color w:val="000000" w:themeColor="text1"/>
                <w:sz w:val="20"/>
                <w:szCs w:val="20"/>
                <w:lang w:val="nl-NL"/>
              </w:rPr>
            </w:pPr>
          </w:p>
        </w:tc>
        <w:tc>
          <w:tcPr>
            <w:tcW w:w="464" w:type="pct"/>
            <w:shd w:val="clear" w:color="auto" w:fill="auto"/>
            <w:noWrap/>
            <w:vAlign w:val="center"/>
          </w:tcPr>
          <w:p w14:paraId="169B586A" w14:textId="43ACF1AC" w:rsidR="006B094B" w:rsidRPr="007067E8" w:rsidRDefault="00240A3E" w:rsidP="00F56364">
            <w:pPr>
              <w:pStyle w:val="c3"/>
              <w:rPr>
                <w:bCs/>
                <w:color w:val="000000" w:themeColor="text1"/>
                <w:sz w:val="20"/>
                <w:szCs w:val="20"/>
                <w:lang w:val="ru-RU"/>
              </w:rPr>
            </w:pPr>
            <w:r>
              <w:rPr>
                <w:bCs/>
                <w:color w:val="000000" w:themeColor="text1"/>
                <w:sz w:val="20"/>
                <w:szCs w:val="20"/>
                <w:lang w:val="en-US"/>
              </w:rPr>
              <w:t>3.12</w:t>
            </w:r>
          </w:p>
        </w:tc>
        <w:tc>
          <w:tcPr>
            <w:tcW w:w="464" w:type="pct"/>
            <w:shd w:val="clear" w:color="auto" w:fill="auto"/>
            <w:noWrap/>
            <w:vAlign w:val="center"/>
          </w:tcPr>
          <w:p w14:paraId="609BA6EF" w14:textId="269A00B6" w:rsidR="006B094B" w:rsidRPr="007067E8" w:rsidRDefault="006B094B" w:rsidP="00F56364">
            <w:pPr>
              <w:pStyle w:val="c3"/>
              <w:rPr>
                <w:bCs/>
                <w:color w:val="000000" w:themeColor="text1"/>
                <w:sz w:val="20"/>
                <w:szCs w:val="20"/>
                <w:lang w:val="ru-RU"/>
              </w:rPr>
            </w:pPr>
            <w:r w:rsidRPr="007067E8">
              <w:rPr>
                <w:bCs/>
                <w:color w:val="000000" w:themeColor="text1"/>
                <w:sz w:val="20"/>
                <w:szCs w:val="20"/>
                <w:lang w:val="nl-NL"/>
              </w:rPr>
              <w:t>2.</w:t>
            </w:r>
            <w:r w:rsidR="00240A3E">
              <w:rPr>
                <w:bCs/>
                <w:color w:val="000000" w:themeColor="text1"/>
                <w:sz w:val="20"/>
                <w:szCs w:val="20"/>
                <w:lang w:val="nl-NL"/>
              </w:rPr>
              <w:t>80</w:t>
            </w:r>
          </w:p>
        </w:tc>
        <w:tc>
          <w:tcPr>
            <w:tcW w:w="464" w:type="pct"/>
            <w:shd w:val="clear" w:color="auto" w:fill="auto"/>
            <w:noWrap/>
            <w:vAlign w:val="center"/>
          </w:tcPr>
          <w:p w14:paraId="4E600327" w14:textId="1D8B08DB" w:rsidR="006B094B" w:rsidRPr="007067E8" w:rsidRDefault="00240A3E" w:rsidP="00F56364">
            <w:pPr>
              <w:pStyle w:val="c3"/>
              <w:rPr>
                <w:bCs/>
                <w:i/>
                <w:color w:val="000000" w:themeColor="text1"/>
                <w:sz w:val="20"/>
                <w:szCs w:val="20"/>
                <w:lang w:val="nl-NL"/>
              </w:rPr>
            </w:pPr>
            <w:r>
              <w:rPr>
                <w:bCs/>
                <w:i/>
                <w:color w:val="000000" w:themeColor="text1"/>
                <w:sz w:val="20"/>
                <w:szCs w:val="20"/>
                <w:lang w:val="nl-NL"/>
              </w:rPr>
              <w:t>11</w:t>
            </w:r>
            <w:r w:rsidR="006B094B" w:rsidRPr="007067E8">
              <w:rPr>
                <w:bCs/>
                <w:i/>
                <w:color w:val="000000" w:themeColor="text1"/>
                <w:sz w:val="20"/>
                <w:szCs w:val="20"/>
                <w:lang w:val="nl-NL"/>
              </w:rPr>
              <w:t>%</w:t>
            </w:r>
          </w:p>
        </w:tc>
        <w:tc>
          <w:tcPr>
            <w:tcW w:w="464" w:type="pct"/>
            <w:vAlign w:val="center"/>
          </w:tcPr>
          <w:p w14:paraId="5465D153" w14:textId="46958051" w:rsidR="006B094B" w:rsidRPr="007067E8" w:rsidRDefault="006B094B" w:rsidP="00F56364">
            <w:pPr>
              <w:pStyle w:val="c3"/>
              <w:rPr>
                <w:bCs/>
                <w:color w:val="000000" w:themeColor="text1"/>
                <w:sz w:val="20"/>
                <w:szCs w:val="20"/>
                <w:lang w:val="nl-NL"/>
              </w:rPr>
            </w:pPr>
            <w:r w:rsidRPr="007067E8">
              <w:rPr>
                <w:bCs/>
                <w:color w:val="000000" w:themeColor="text1"/>
                <w:sz w:val="20"/>
                <w:szCs w:val="20"/>
                <w:lang w:val="en-US"/>
              </w:rPr>
              <w:t>2.</w:t>
            </w:r>
            <w:r w:rsidR="00240A3E">
              <w:rPr>
                <w:bCs/>
                <w:color w:val="000000" w:themeColor="text1"/>
                <w:sz w:val="20"/>
                <w:szCs w:val="20"/>
                <w:lang w:val="en-US"/>
              </w:rPr>
              <w:t>91</w:t>
            </w:r>
          </w:p>
        </w:tc>
        <w:tc>
          <w:tcPr>
            <w:tcW w:w="464" w:type="pct"/>
            <w:vAlign w:val="center"/>
          </w:tcPr>
          <w:p w14:paraId="611C350B" w14:textId="719AC264" w:rsidR="006B094B" w:rsidRPr="007067E8" w:rsidRDefault="00240A3E" w:rsidP="00F56364">
            <w:pPr>
              <w:pStyle w:val="c3"/>
              <w:rPr>
                <w:bCs/>
                <w:i/>
                <w:color w:val="000000" w:themeColor="text1"/>
                <w:sz w:val="20"/>
                <w:szCs w:val="20"/>
                <w:lang w:val="nl-NL"/>
              </w:rPr>
            </w:pPr>
            <w:r>
              <w:rPr>
                <w:bCs/>
                <w:i/>
                <w:color w:val="000000" w:themeColor="text1"/>
                <w:sz w:val="20"/>
                <w:szCs w:val="20"/>
                <w:lang w:val="nl-NL"/>
              </w:rPr>
              <w:t>7</w:t>
            </w:r>
            <w:r w:rsidR="006B094B" w:rsidRPr="007067E8">
              <w:rPr>
                <w:bCs/>
                <w:i/>
                <w:color w:val="000000" w:themeColor="text1"/>
                <w:sz w:val="20"/>
                <w:szCs w:val="20"/>
                <w:lang w:val="nl-NL"/>
              </w:rPr>
              <w:t>%</w:t>
            </w:r>
          </w:p>
        </w:tc>
        <w:tc>
          <w:tcPr>
            <w:tcW w:w="464" w:type="pct"/>
            <w:vAlign w:val="center"/>
          </w:tcPr>
          <w:p w14:paraId="122BC350" w14:textId="23FCC29D" w:rsidR="006B094B" w:rsidRPr="00240A3E" w:rsidRDefault="00240A3E" w:rsidP="00F56364">
            <w:pPr>
              <w:pStyle w:val="c3"/>
              <w:rPr>
                <w:bCs/>
                <w:color w:val="000000" w:themeColor="text1"/>
                <w:sz w:val="20"/>
                <w:szCs w:val="20"/>
                <w:lang w:val="en-US"/>
              </w:rPr>
            </w:pPr>
            <w:r>
              <w:rPr>
                <w:bCs/>
                <w:color w:val="000000" w:themeColor="text1"/>
                <w:sz w:val="20"/>
                <w:szCs w:val="20"/>
                <w:lang w:val="en-US"/>
              </w:rPr>
              <w:t>3.02</w:t>
            </w:r>
          </w:p>
        </w:tc>
        <w:tc>
          <w:tcPr>
            <w:tcW w:w="464" w:type="pct"/>
            <w:vAlign w:val="center"/>
          </w:tcPr>
          <w:p w14:paraId="33F07F26" w14:textId="1FDA5CC8" w:rsidR="006B094B" w:rsidRPr="007067E8" w:rsidRDefault="006B094B" w:rsidP="00F56364">
            <w:pPr>
              <w:pStyle w:val="c3"/>
              <w:rPr>
                <w:bCs/>
                <w:iCs/>
                <w:color w:val="000000" w:themeColor="text1"/>
                <w:sz w:val="20"/>
                <w:szCs w:val="20"/>
                <w:lang w:val="ru-RU"/>
              </w:rPr>
            </w:pPr>
            <w:r w:rsidRPr="007067E8">
              <w:rPr>
                <w:bCs/>
                <w:iCs/>
                <w:color w:val="000000" w:themeColor="text1"/>
                <w:sz w:val="20"/>
                <w:szCs w:val="20"/>
                <w:lang w:val="nl-NL"/>
              </w:rPr>
              <w:t>2.7</w:t>
            </w:r>
            <w:r w:rsidR="00240A3E">
              <w:rPr>
                <w:bCs/>
                <w:iCs/>
                <w:color w:val="000000" w:themeColor="text1"/>
                <w:sz w:val="20"/>
                <w:szCs w:val="20"/>
                <w:lang w:val="nl-NL"/>
              </w:rPr>
              <w:t>6</w:t>
            </w:r>
          </w:p>
        </w:tc>
        <w:tc>
          <w:tcPr>
            <w:tcW w:w="462" w:type="pct"/>
            <w:vAlign w:val="center"/>
          </w:tcPr>
          <w:p w14:paraId="2C4A994A" w14:textId="2CA0B4B4" w:rsidR="006B094B" w:rsidRPr="007067E8" w:rsidRDefault="00240A3E" w:rsidP="00F56364">
            <w:pPr>
              <w:pStyle w:val="c3"/>
              <w:rPr>
                <w:bCs/>
                <w:i/>
                <w:color w:val="000000" w:themeColor="text1"/>
                <w:sz w:val="20"/>
                <w:szCs w:val="20"/>
                <w:lang w:val="nl-NL"/>
              </w:rPr>
            </w:pPr>
            <w:r>
              <w:rPr>
                <w:bCs/>
                <w:i/>
                <w:color w:val="000000" w:themeColor="text1"/>
                <w:sz w:val="20"/>
                <w:szCs w:val="20"/>
                <w:lang w:val="nl-NL"/>
              </w:rPr>
              <w:t>9</w:t>
            </w:r>
            <w:r w:rsidR="006B094B" w:rsidRPr="007067E8">
              <w:rPr>
                <w:bCs/>
                <w:i/>
                <w:color w:val="000000" w:themeColor="text1"/>
                <w:sz w:val="20"/>
                <w:szCs w:val="20"/>
                <w:lang w:val="nl-NL"/>
              </w:rPr>
              <w:t>%</w:t>
            </w:r>
          </w:p>
        </w:tc>
      </w:tr>
    </w:tbl>
    <w:bookmarkEnd w:id="2"/>
    <w:p w14:paraId="55435BA9" w14:textId="77777777" w:rsidR="00240A3E" w:rsidRPr="00131F2E" w:rsidRDefault="00240A3E" w:rsidP="00240A3E">
      <w:pPr>
        <w:pStyle w:val="c3"/>
        <w:jc w:val="both"/>
        <w:rPr>
          <w:sz w:val="16"/>
          <w:szCs w:val="22"/>
          <w:lang w:val="en-US"/>
        </w:rPr>
      </w:pPr>
      <w:r w:rsidRPr="00131F2E">
        <w:rPr>
          <w:sz w:val="16"/>
          <w:szCs w:val="22"/>
          <w:lang w:val="en-US"/>
        </w:rPr>
        <w:lastRenderedPageBreak/>
        <w:t>*-includes sausages and convenience foods</w:t>
      </w:r>
    </w:p>
    <w:p w14:paraId="04FA851C" w14:textId="45018D93" w:rsidR="00C57DB6" w:rsidRPr="00BC4C0D" w:rsidRDefault="00FB20AA" w:rsidP="00C57DB6">
      <w:pPr>
        <w:pStyle w:val="c3"/>
        <w:jc w:val="both"/>
        <w:rPr>
          <w:sz w:val="20"/>
          <w:szCs w:val="20"/>
          <w:lang w:val="en-US"/>
        </w:rPr>
      </w:pPr>
      <w:r w:rsidRPr="00BC4C0D">
        <w:rPr>
          <w:sz w:val="20"/>
          <w:szCs w:val="20"/>
          <w:lang w:val="en-US"/>
        </w:rPr>
        <w:t>Driven by continued growth in production across all production facilities in the Balkans, i</w:t>
      </w:r>
      <w:r w:rsidR="00C57DB6" w:rsidRPr="00BC4C0D">
        <w:rPr>
          <w:sz w:val="20"/>
          <w:szCs w:val="20"/>
          <w:lang w:val="en-US"/>
        </w:rPr>
        <w:t>n Q2 202</w:t>
      </w:r>
      <w:r w:rsidR="00240A3E" w:rsidRPr="00BC4C0D">
        <w:rPr>
          <w:sz w:val="20"/>
          <w:szCs w:val="20"/>
          <w:lang w:val="en-US"/>
        </w:rPr>
        <w:t>2</w:t>
      </w:r>
      <w:r w:rsidR="00C57DB6" w:rsidRPr="00BC4C0D">
        <w:rPr>
          <w:sz w:val="20"/>
          <w:szCs w:val="20"/>
          <w:lang w:val="en-US"/>
        </w:rPr>
        <w:t xml:space="preserve"> PP’s poultry production facilities produced </w:t>
      </w:r>
      <w:r w:rsidR="00240A3E" w:rsidRPr="00BC4C0D">
        <w:rPr>
          <w:sz w:val="20"/>
          <w:szCs w:val="20"/>
          <w:lang w:val="en-US"/>
        </w:rPr>
        <w:t>31,259</w:t>
      </w:r>
      <w:r w:rsidR="00C57DB6" w:rsidRPr="00BC4C0D">
        <w:rPr>
          <w:sz w:val="20"/>
          <w:szCs w:val="20"/>
          <w:lang w:val="en-US"/>
        </w:rPr>
        <w:t xml:space="preserve"> </w:t>
      </w:r>
      <w:proofErr w:type="spellStart"/>
      <w:r w:rsidR="00C57DB6" w:rsidRPr="00BC4C0D">
        <w:rPr>
          <w:sz w:val="20"/>
          <w:szCs w:val="20"/>
          <w:lang w:val="en-US"/>
        </w:rPr>
        <w:t>tonnes</w:t>
      </w:r>
      <w:proofErr w:type="spellEnd"/>
      <w:r w:rsidR="00C57DB6" w:rsidRPr="00BC4C0D">
        <w:rPr>
          <w:sz w:val="20"/>
          <w:szCs w:val="20"/>
          <w:lang w:val="en-US"/>
        </w:rPr>
        <w:t xml:space="preserve"> of chicken and turkey meat (</w:t>
      </w:r>
      <w:r w:rsidR="00240A3E" w:rsidRPr="00BC4C0D">
        <w:rPr>
          <w:sz w:val="20"/>
          <w:szCs w:val="20"/>
          <w:lang w:val="en-US"/>
        </w:rPr>
        <w:t>6</w:t>
      </w:r>
      <w:r w:rsidR="00C57DB6" w:rsidRPr="00BC4C0D">
        <w:rPr>
          <w:sz w:val="20"/>
          <w:szCs w:val="20"/>
          <w:lang w:val="en-US"/>
        </w:rPr>
        <w:t>% more than in Q2 202</w:t>
      </w:r>
      <w:r w:rsidR="00240A3E" w:rsidRPr="00BC4C0D">
        <w:rPr>
          <w:sz w:val="20"/>
          <w:szCs w:val="20"/>
          <w:lang w:val="en-US"/>
        </w:rPr>
        <w:t>1</w:t>
      </w:r>
      <w:r w:rsidR="00C57DB6" w:rsidRPr="00BC4C0D">
        <w:rPr>
          <w:sz w:val="20"/>
          <w:szCs w:val="20"/>
          <w:lang w:val="en-US"/>
        </w:rPr>
        <w:t>), while poultry sales constituted 19,</w:t>
      </w:r>
      <w:r w:rsidR="00240A3E" w:rsidRPr="00BC4C0D">
        <w:rPr>
          <w:sz w:val="20"/>
          <w:szCs w:val="20"/>
          <w:lang w:val="en-US"/>
        </w:rPr>
        <w:t>619</w:t>
      </w:r>
      <w:r w:rsidR="00C57DB6" w:rsidRPr="00BC4C0D">
        <w:rPr>
          <w:sz w:val="20"/>
          <w:szCs w:val="20"/>
          <w:lang w:val="en-US"/>
        </w:rPr>
        <w:t xml:space="preserve"> </w:t>
      </w:r>
      <w:proofErr w:type="spellStart"/>
      <w:r w:rsidR="00C57DB6" w:rsidRPr="00BC4C0D">
        <w:rPr>
          <w:sz w:val="20"/>
          <w:szCs w:val="20"/>
          <w:lang w:val="en-US"/>
        </w:rPr>
        <w:t>tonnes</w:t>
      </w:r>
      <w:proofErr w:type="spellEnd"/>
      <w:r w:rsidR="00C57DB6" w:rsidRPr="00BC4C0D">
        <w:rPr>
          <w:sz w:val="20"/>
          <w:szCs w:val="20"/>
          <w:lang w:val="en-US"/>
        </w:rPr>
        <w:t xml:space="preserve">, </w:t>
      </w:r>
      <w:r w:rsidR="00240A3E" w:rsidRPr="00BC4C0D">
        <w:rPr>
          <w:sz w:val="20"/>
          <w:szCs w:val="20"/>
          <w:lang w:val="en-US"/>
        </w:rPr>
        <w:t>stable</w:t>
      </w:r>
      <w:r w:rsidR="00C57DB6" w:rsidRPr="00BC4C0D">
        <w:rPr>
          <w:sz w:val="20"/>
          <w:szCs w:val="20"/>
          <w:lang w:val="en-US"/>
        </w:rPr>
        <w:t xml:space="preserve"> year-on-year. In H1 202</w:t>
      </w:r>
      <w:r w:rsidR="00240A3E" w:rsidRPr="00BC4C0D">
        <w:rPr>
          <w:sz w:val="20"/>
          <w:szCs w:val="20"/>
          <w:lang w:val="en-US"/>
        </w:rPr>
        <w:t>2</w:t>
      </w:r>
      <w:r w:rsidR="00C57DB6" w:rsidRPr="00BC4C0D">
        <w:rPr>
          <w:sz w:val="20"/>
          <w:szCs w:val="20"/>
          <w:lang w:val="en-US"/>
        </w:rPr>
        <w:t xml:space="preserve"> PP’s poultry production facilities produced </w:t>
      </w:r>
      <w:r w:rsidR="00240A3E" w:rsidRPr="00BC4C0D">
        <w:rPr>
          <w:sz w:val="20"/>
          <w:szCs w:val="20"/>
          <w:lang w:val="en-US"/>
        </w:rPr>
        <w:t>59,809</w:t>
      </w:r>
      <w:r w:rsidR="00C57DB6" w:rsidRPr="00BC4C0D">
        <w:rPr>
          <w:sz w:val="20"/>
          <w:szCs w:val="20"/>
          <w:lang w:val="en-US"/>
        </w:rPr>
        <w:t xml:space="preserve"> </w:t>
      </w:r>
      <w:proofErr w:type="spellStart"/>
      <w:r w:rsidR="00C57DB6" w:rsidRPr="00BC4C0D">
        <w:rPr>
          <w:sz w:val="20"/>
          <w:szCs w:val="20"/>
          <w:lang w:val="en-US"/>
        </w:rPr>
        <w:t>tonnes</w:t>
      </w:r>
      <w:proofErr w:type="spellEnd"/>
      <w:r w:rsidR="00C57DB6" w:rsidRPr="00BC4C0D">
        <w:rPr>
          <w:sz w:val="20"/>
          <w:szCs w:val="20"/>
          <w:lang w:val="en-US"/>
        </w:rPr>
        <w:t xml:space="preserve"> of chicken and turkey meat (</w:t>
      </w:r>
      <w:r w:rsidR="00240A3E" w:rsidRPr="00BC4C0D">
        <w:rPr>
          <w:sz w:val="20"/>
          <w:szCs w:val="20"/>
          <w:lang w:val="en-US"/>
        </w:rPr>
        <w:t>11</w:t>
      </w:r>
      <w:r w:rsidR="00C57DB6" w:rsidRPr="00BC4C0D">
        <w:rPr>
          <w:sz w:val="20"/>
          <w:szCs w:val="20"/>
          <w:lang w:val="en-US"/>
        </w:rPr>
        <w:t>% more than in H1 202</w:t>
      </w:r>
      <w:r w:rsidR="00240A3E" w:rsidRPr="00BC4C0D">
        <w:rPr>
          <w:sz w:val="20"/>
          <w:szCs w:val="20"/>
          <w:lang w:val="en-US"/>
        </w:rPr>
        <w:t>1</w:t>
      </w:r>
      <w:r w:rsidR="00C57DB6" w:rsidRPr="00BC4C0D">
        <w:rPr>
          <w:sz w:val="20"/>
          <w:szCs w:val="20"/>
          <w:lang w:val="en-US"/>
        </w:rPr>
        <w:t xml:space="preserve">), while poultry sales constituted </w:t>
      </w:r>
      <w:r w:rsidR="00240A3E" w:rsidRPr="00BC4C0D">
        <w:rPr>
          <w:sz w:val="20"/>
          <w:szCs w:val="20"/>
          <w:lang w:val="en-US"/>
        </w:rPr>
        <w:t>37,363</w:t>
      </w:r>
      <w:r w:rsidR="00C57DB6" w:rsidRPr="00BC4C0D">
        <w:rPr>
          <w:sz w:val="20"/>
          <w:szCs w:val="20"/>
          <w:lang w:val="en-US"/>
        </w:rPr>
        <w:t xml:space="preserve"> </w:t>
      </w:r>
      <w:proofErr w:type="spellStart"/>
      <w:r w:rsidR="00C57DB6" w:rsidRPr="00BC4C0D">
        <w:rPr>
          <w:sz w:val="20"/>
          <w:szCs w:val="20"/>
          <w:lang w:val="en-US"/>
        </w:rPr>
        <w:t>tonnes</w:t>
      </w:r>
      <w:proofErr w:type="spellEnd"/>
      <w:r w:rsidR="00C57DB6" w:rsidRPr="00BC4C0D">
        <w:rPr>
          <w:sz w:val="20"/>
          <w:szCs w:val="20"/>
          <w:lang w:val="en-US"/>
        </w:rPr>
        <w:t>, 5% higher year-on-year.</w:t>
      </w:r>
    </w:p>
    <w:p w14:paraId="080A9035" w14:textId="4B278EE5" w:rsidR="00C57DB6" w:rsidRPr="00BC4C0D" w:rsidRDefault="00C57DB6" w:rsidP="00C57DB6">
      <w:pPr>
        <w:pStyle w:val="c3"/>
        <w:jc w:val="both"/>
        <w:rPr>
          <w:sz w:val="20"/>
          <w:szCs w:val="20"/>
          <w:lang w:val="en-US"/>
        </w:rPr>
      </w:pPr>
      <w:r w:rsidRPr="00BC4C0D">
        <w:rPr>
          <w:sz w:val="20"/>
          <w:szCs w:val="20"/>
          <w:lang w:val="en-US"/>
        </w:rPr>
        <w:t>In Q2 202</w:t>
      </w:r>
      <w:r w:rsidR="00240A3E" w:rsidRPr="00BC4C0D">
        <w:rPr>
          <w:sz w:val="20"/>
          <w:szCs w:val="20"/>
          <w:lang w:val="en-US"/>
        </w:rPr>
        <w:t>2</w:t>
      </w:r>
      <w:r w:rsidRPr="00BC4C0D">
        <w:rPr>
          <w:sz w:val="20"/>
          <w:szCs w:val="20"/>
          <w:lang w:val="en-US"/>
        </w:rPr>
        <w:t xml:space="preserve"> PP’s meat-processing (including sausages, convenience foods) facilities produced </w:t>
      </w:r>
      <w:r w:rsidR="00240A3E" w:rsidRPr="00BC4C0D">
        <w:rPr>
          <w:sz w:val="20"/>
          <w:szCs w:val="20"/>
          <w:lang w:val="en-US"/>
        </w:rPr>
        <w:t>11,000</w:t>
      </w:r>
      <w:r w:rsidRPr="00BC4C0D">
        <w:rPr>
          <w:sz w:val="20"/>
          <w:szCs w:val="20"/>
          <w:lang w:val="en-US"/>
        </w:rPr>
        <w:t xml:space="preserve"> </w:t>
      </w:r>
      <w:proofErr w:type="spellStart"/>
      <w:r w:rsidRPr="00BC4C0D">
        <w:rPr>
          <w:sz w:val="20"/>
          <w:szCs w:val="20"/>
          <w:lang w:val="en-US"/>
        </w:rPr>
        <w:t>tonnes</w:t>
      </w:r>
      <w:proofErr w:type="spellEnd"/>
      <w:r w:rsidRPr="00BC4C0D">
        <w:rPr>
          <w:sz w:val="20"/>
          <w:szCs w:val="20"/>
          <w:lang w:val="en-US"/>
        </w:rPr>
        <w:t xml:space="preserve">, </w:t>
      </w:r>
      <w:r w:rsidR="009B0D7A" w:rsidRPr="00BC4C0D">
        <w:rPr>
          <w:sz w:val="20"/>
          <w:szCs w:val="20"/>
          <w:lang w:val="en-US"/>
        </w:rPr>
        <w:t>11</w:t>
      </w:r>
      <w:r w:rsidRPr="00BC4C0D">
        <w:rPr>
          <w:sz w:val="20"/>
          <w:szCs w:val="20"/>
          <w:lang w:val="en-US"/>
        </w:rPr>
        <w:t xml:space="preserve">% </w:t>
      </w:r>
      <w:r w:rsidR="009B0D7A" w:rsidRPr="00BC4C0D">
        <w:rPr>
          <w:sz w:val="20"/>
          <w:szCs w:val="20"/>
          <w:lang w:val="en-US"/>
        </w:rPr>
        <w:t>higher</w:t>
      </w:r>
      <w:r w:rsidRPr="00BC4C0D">
        <w:rPr>
          <w:sz w:val="20"/>
          <w:szCs w:val="20"/>
          <w:lang w:val="en-US"/>
        </w:rPr>
        <w:t xml:space="preserve"> year-on-year, while sales constituted </w:t>
      </w:r>
      <w:r w:rsidR="009B0D7A" w:rsidRPr="00BC4C0D">
        <w:rPr>
          <w:sz w:val="20"/>
          <w:szCs w:val="20"/>
          <w:lang w:val="en-US"/>
        </w:rPr>
        <w:t>10,238</w:t>
      </w:r>
      <w:r w:rsidRPr="00BC4C0D">
        <w:rPr>
          <w:sz w:val="20"/>
          <w:szCs w:val="20"/>
          <w:lang w:val="en-US"/>
        </w:rPr>
        <w:t xml:space="preserve"> </w:t>
      </w:r>
      <w:proofErr w:type="spellStart"/>
      <w:r w:rsidRPr="00BC4C0D">
        <w:rPr>
          <w:sz w:val="20"/>
          <w:szCs w:val="20"/>
          <w:lang w:val="en-US"/>
        </w:rPr>
        <w:t>tonnes</w:t>
      </w:r>
      <w:proofErr w:type="spellEnd"/>
      <w:r w:rsidRPr="00BC4C0D">
        <w:rPr>
          <w:sz w:val="20"/>
          <w:szCs w:val="20"/>
          <w:lang w:val="en-US"/>
        </w:rPr>
        <w:t xml:space="preserve">, </w:t>
      </w:r>
      <w:r w:rsidR="009B0D7A" w:rsidRPr="00BC4C0D">
        <w:rPr>
          <w:sz w:val="20"/>
          <w:szCs w:val="20"/>
          <w:lang w:val="en-US"/>
        </w:rPr>
        <w:t>4</w:t>
      </w:r>
      <w:r w:rsidRPr="00BC4C0D">
        <w:rPr>
          <w:sz w:val="20"/>
          <w:szCs w:val="20"/>
          <w:lang w:val="en-US"/>
        </w:rPr>
        <w:t>% higher year-on-year. In H1 202</w:t>
      </w:r>
      <w:r w:rsidR="009B0D7A" w:rsidRPr="00BC4C0D">
        <w:rPr>
          <w:sz w:val="20"/>
          <w:szCs w:val="20"/>
          <w:lang w:val="en-US"/>
        </w:rPr>
        <w:t>2</w:t>
      </w:r>
      <w:r w:rsidRPr="00BC4C0D">
        <w:rPr>
          <w:sz w:val="20"/>
          <w:szCs w:val="20"/>
          <w:lang w:val="en-US"/>
        </w:rPr>
        <w:t xml:space="preserve"> PP’s meat-processing facilities produced </w:t>
      </w:r>
      <w:r w:rsidR="009B0D7A" w:rsidRPr="00BC4C0D">
        <w:rPr>
          <w:sz w:val="20"/>
          <w:szCs w:val="20"/>
          <w:lang w:val="en-US"/>
        </w:rPr>
        <w:t xml:space="preserve">21,776 </w:t>
      </w:r>
      <w:proofErr w:type="spellStart"/>
      <w:r w:rsidRPr="00BC4C0D">
        <w:rPr>
          <w:sz w:val="20"/>
          <w:szCs w:val="20"/>
          <w:lang w:val="en-US"/>
        </w:rPr>
        <w:t>tonnes</w:t>
      </w:r>
      <w:proofErr w:type="spellEnd"/>
      <w:r w:rsidRPr="00BC4C0D">
        <w:rPr>
          <w:sz w:val="20"/>
          <w:szCs w:val="20"/>
          <w:lang w:val="en-US"/>
        </w:rPr>
        <w:t xml:space="preserve"> of meat-processing products, </w:t>
      </w:r>
      <w:r w:rsidR="009B0D7A" w:rsidRPr="00BC4C0D">
        <w:rPr>
          <w:sz w:val="20"/>
          <w:szCs w:val="20"/>
          <w:lang w:val="en-US"/>
        </w:rPr>
        <w:t>13</w:t>
      </w:r>
      <w:r w:rsidRPr="00BC4C0D">
        <w:rPr>
          <w:sz w:val="20"/>
          <w:szCs w:val="20"/>
          <w:lang w:val="en-US"/>
        </w:rPr>
        <w:t xml:space="preserve">% higher year-on-year, while sales constituted </w:t>
      </w:r>
      <w:r w:rsidR="009B0D7A" w:rsidRPr="00BC4C0D">
        <w:rPr>
          <w:sz w:val="20"/>
          <w:szCs w:val="20"/>
          <w:lang w:val="en-US"/>
        </w:rPr>
        <w:t>20,156</w:t>
      </w:r>
      <w:r w:rsidRPr="00BC4C0D">
        <w:rPr>
          <w:sz w:val="20"/>
          <w:szCs w:val="20"/>
          <w:lang w:val="en-US"/>
        </w:rPr>
        <w:t xml:space="preserve"> </w:t>
      </w:r>
      <w:proofErr w:type="spellStart"/>
      <w:r w:rsidRPr="00BC4C0D">
        <w:rPr>
          <w:sz w:val="20"/>
          <w:szCs w:val="20"/>
          <w:lang w:val="en-US"/>
        </w:rPr>
        <w:t>tonnes</w:t>
      </w:r>
      <w:proofErr w:type="spellEnd"/>
      <w:r w:rsidRPr="00BC4C0D">
        <w:rPr>
          <w:sz w:val="20"/>
          <w:szCs w:val="20"/>
          <w:lang w:val="en-US"/>
        </w:rPr>
        <w:t xml:space="preserve">, </w:t>
      </w:r>
      <w:r w:rsidR="009B0D7A" w:rsidRPr="00BC4C0D">
        <w:rPr>
          <w:sz w:val="20"/>
          <w:szCs w:val="20"/>
          <w:lang w:val="en-US"/>
        </w:rPr>
        <w:t>6</w:t>
      </w:r>
      <w:r w:rsidRPr="00BC4C0D">
        <w:rPr>
          <w:sz w:val="20"/>
          <w:szCs w:val="20"/>
          <w:lang w:val="en-US"/>
        </w:rPr>
        <w:t>% higher year-on-year.</w:t>
      </w:r>
    </w:p>
    <w:p w14:paraId="184AE645" w14:textId="4F9C9945" w:rsidR="00C57DB6" w:rsidRPr="00BC4C0D" w:rsidRDefault="00C57DB6" w:rsidP="00C57DB6">
      <w:pPr>
        <w:pStyle w:val="c3"/>
        <w:jc w:val="both"/>
        <w:rPr>
          <w:b/>
          <w:color w:val="000000" w:themeColor="text1"/>
          <w:sz w:val="20"/>
          <w:szCs w:val="20"/>
        </w:rPr>
      </w:pPr>
      <w:r w:rsidRPr="00BC4C0D">
        <w:rPr>
          <w:sz w:val="20"/>
          <w:szCs w:val="20"/>
          <w:lang w:val="en-US"/>
        </w:rPr>
        <w:t xml:space="preserve">Both in poultry and meat processing divisions, prices showed </w:t>
      </w:r>
      <w:r w:rsidR="009B0D7A" w:rsidRPr="00BC4C0D">
        <w:rPr>
          <w:sz w:val="20"/>
          <w:szCs w:val="20"/>
          <w:lang w:val="en-US"/>
        </w:rPr>
        <w:t>substantial growth</w:t>
      </w:r>
      <w:r w:rsidRPr="00BC4C0D">
        <w:rPr>
          <w:sz w:val="20"/>
          <w:szCs w:val="20"/>
          <w:lang w:val="en-US"/>
        </w:rPr>
        <w:t xml:space="preserve"> both in Q2 and H1 202</w:t>
      </w:r>
      <w:r w:rsidR="009B0D7A" w:rsidRPr="00BC4C0D">
        <w:rPr>
          <w:sz w:val="20"/>
          <w:szCs w:val="20"/>
          <w:lang w:val="en-US"/>
        </w:rPr>
        <w:t>2</w:t>
      </w:r>
      <w:r w:rsidRPr="00BC4C0D">
        <w:rPr>
          <w:sz w:val="20"/>
          <w:szCs w:val="20"/>
          <w:lang w:val="en-US"/>
        </w:rPr>
        <w:t xml:space="preserve"> compared to same periods of 202</w:t>
      </w:r>
      <w:r w:rsidR="009B0D7A" w:rsidRPr="00BC4C0D">
        <w:rPr>
          <w:sz w:val="20"/>
          <w:szCs w:val="20"/>
          <w:lang w:val="en-US"/>
        </w:rPr>
        <w:t xml:space="preserve">1 driven by significant price increases for meat and meat products on international markets. </w:t>
      </w:r>
    </w:p>
    <w:p w14:paraId="0C70B492" w14:textId="77777777" w:rsidR="00C57DB6" w:rsidRPr="00113315" w:rsidRDefault="00C57DB6" w:rsidP="00C57DB6">
      <w:pPr>
        <w:pStyle w:val="c3"/>
        <w:jc w:val="both"/>
        <w:rPr>
          <w:b/>
          <w:color w:val="000000" w:themeColor="text1"/>
          <w:sz w:val="22"/>
          <w:szCs w:val="22"/>
          <w:lang w:val="en-US"/>
        </w:rPr>
      </w:pPr>
      <w:r w:rsidRPr="00113315">
        <w:rPr>
          <w:b/>
          <w:color w:val="000000" w:themeColor="text1"/>
          <w:sz w:val="22"/>
          <w:szCs w:val="22"/>
        </w:rPr>
        <w:t>Next release</w:t>
      </w:r>
    </w:p>
    <w:p w14:paraId="5ACBEDCC" w14:textId="3C02333C" w:rsidR="00C57DB6" w:rsidRPr="00BC4C0D" w:rsidRDefault="00C57DB6" w:rsidP="00C57DB6">
      <w:pPr>
        <w:pStyle w:val="c3"/>
        <w:jc w:val="both"/>
        <w:rPr>
          <w:color w:val="000000" w:themeColor="text1"/>
          <w:sz w:val="20"/>
          <w:szCs w:val="20"/>
          <w:lang w:val="en-US"/>
        </w:rPr>
      </w:pPr>
      <w:r w:rsidRPr="00BC4C0D">
        <w:rPr>
          <w:color w:val="000000" w:themeColor="text1"/>
          <w:sz w:val="20"/>
          <w:szCs w:val="20"/>
          <w:lang w:val="en-US"/>
        </w:rPr>
        <w:t>The financial results for Q</w:t>
      </w:r>
      <w:r w:rsidR="009B0D7A" w:rsidRPr="00BC4C0D">
        <w:rPr>
          <w:color w:val="000000" w:themeColor="text1"/>
          <w:sz w:val="20"/>
          <w:szCs w:val="20"/>
          <w:lang w:val="en-US"/>
        </w:rPr>
        <w:t xml:space="preserve">2 </w:t>
      </w:r>
      <w:r w:rsidRPr="00BC4C0D">
        <w:rPr>
          <w:color w:val="000000" w:themeColor="text1"/>
          <w:sz w:val="20"/>
          <w:szCs w:val="20"/>
          <w:lang w:val="en-US"/>
        </w:rPr>
        <w:t>and H1 202</w:t>
      </w:r>
      <w:r w:rsidR="009B0D7A" w:rsidRPr="00BC4C0D">
        <w:rPr>
          <w:color w:val="000000" w:themeColor="text1"/>
          <w:sz w:val="20"/>
          <w:szCs w:val="20"/>
          <w:lang w:val="en-US"/>
        </w:rPr>
        <w:t>2</w:t>
      </w:r>
      <w:r w:rsidRPr="00BC4C0D">
        <w:rPr>
          <w:color w:val="000000" w:themeColor="text1"/>
          <w:sz w:val="20"/>
          <w:szCs w:val="20"/>
          <w:lang w:val="en-US"/>
        </w:rPr>
        <w:t xml:space="preserve"> will be published on </w:t>
      </w:r>
      <w:r w:rsidRPr="00BC4C0D">
        <w:rPr>
          <w:b/>
          <w:color w:val="000000" w:themeColor="text1"/>
          <w:sz w:val="20"/>
          <w:szCs w:val="20"/>
          <w:lang w:val="en-US"/>
        </w:rPr>
        <w:t>07 September 202</w:t>
      </w:r>
      <w:r w:rsidR="009B0D7A" w:rsidRPr="00BC4C0D">
        <w:rPr>
          <w:b/>
          <w:color w:val="000000" w:themeColor="text1"/>
          <w:sz w:val="20"/>
          <w:szCs w:val="20"/>
          <w:lang w:val="en-US"/>
        </w:rPr>
        <w:t>2</w:t>
      </w:r>
      <w:r w:rsidRPr="00BC4C0D">
        <w:rPr>
          <w:color w:val="000000" w:themeColor="text1"/>
          <w:sz w:val="20"/>
          <w:szCs w:val="20"/>
          <w:lang w:val="en-US"/>
        </w:rPr>
        <w:t>.  There will be a conference call for investors and analysts on the day that will take place at 4pm Kyiv time (2 pm London). Dialing instructions for the call will be published in a due course.</w:t>
      </w:r>
    </w:p>
    <w:p w14:paraId="5C6EA41E" w14:textId="77777777" w:rsidR="00C57DB6" w:rsidRPr="00113315" w:rsidRDefault="00C57DB6" w:rsidP="00C57DB6">
      <w:pPr>
        <w:pStyle w:val="c3"/>
        <w:jc w:val="both"/>
        <w:rPr>
          <w:color w:val="000000" w:themeColor="text1"/>
          <w:sz w:val="22"/>
          <w:szCs w:val="22"/>
          <w:lang w:val="en-US"/>
        </w:rPr>
      </w:pPr>
    </w:p>
    <w:p w14:paraId="1BF05FD7" w14:textId="3A737704" w:rsidR="00A1377A" w:rsidRPr="007067E8" w:rsidRDefault="00A1377A" w:rsidP="00A1377A">
      <w:pPr>
        <w:spacing w:before="100" w:beforeAutospacing="1" w:after="100" w:afterAutospacing="1"/>
        <w:outlineLvl w:val="0"/>
        <w:rPr>
          <w:rFonts w:ascii="Arial" w:hAnsi="Arial" w:cs="Arial"/>
          <w:b/>
          <w:bCs/>
          <w:color w:val="000000" w:themeColor="text1"/>
          <w:sz w:val="20"/>
          <w:szCs w:val="20"/>
          <w:lang w:val="en-GB"/>
        </w:rPr>
      </w:pPr>
      <w:r w:rsidRPr="007067E8">
        <w:rPr>
          <w:rFonts w:ascii="Arial" w:hAnsi="Arial" w:cs="Arial"/>
          <w:b/>
          <w:bCs/>
          <w:color w:val="000000" w:themeColor="text1"/>
          <w:sz w:val="20"/>
          <w:szCs w:val="20"/>
          <w:lang w:val="en-GB"/>
        </w:rPr>
        <w:t>For further information and Investor Relations</w:t>
      </w:r>
      <w:r w:rsidR="007A11D7">
        <w:rPr>
          <w:rFonts w:ascii="Arial" w:hAnsi="Arial" w:cs="Arial"/>
          <w:b/>
          <w:bCs/>
          <w:color w:val="000000" w:themeColor="text1"/>
          <w:sz w:val="20"/>
          <w:szCs w:val="20"/>
          <w:lang w:val="uk-UA"/>
        </w:rPr>
        <w:t>/</w:t>
      </w:r>
      <w:r w:rsidR="007A11D7">
        <w:rPr>
          <w:rFonts w:ascii="Arial" w:hAnsi="Arial" w:cs="Arial"/>
          <w:b/>
          <w:bCs/>
          <w:color w:val="000000" w:themeColor="text1"/>
          <w:sz w:val="20"/>
          <w:szCs w:val="20"/>
          <w:lang w:val="en-US"/>
        </w:rPr>
        <w:t>International Communications</w:t>
      </w:r>
      <w:r w:rsidRPr="007067E8">
        <w:rPr>
          <w:rFonts w:ascii="Arial" w:hAnsi="Arial" w:cs="Arial"/>
          <w:b/>
          <w:bCs/>
          <w:color w:val="000000" w:themeColor="text1"/>
          <w:sz w:val="20"/>
          <w:szCs w:val="20"/>
          <w:lang w:val="en-GB"/>
        </w:rPr>
        <w:t xml:space="preserve"> enquiries please contact:</w:t>
      </w:r>
    </w:p>
    <w:tbl>
      <w:tblPr>
        <w:tblW w:w="0" w:type="auto"/>
        <w:tblInd w:w="-106" w:type="dxa"/>
        <w:tblLayout w:type="fixed"/>
        <w:tblLook w:val="04A0" w:firstRow="1" w:lastRow="0" w:firstColumn="1" w:lastColumn="0" w:noHBand="0" w:noVBand="1"/>
      </w:tblPr>
      <w:tblGrid>
        <w:gridCol w:w="5328"/>
        <w:gridCol w:w="3060"/>
      </w:tblGrid>
      <w:tr w:rsidR="00A1377A" w:rsidRPr="007067E8" w14:paraId="69151C06" w14:textId="77777777" w:rsidTr="00E92CD6">
        <w:trPr>
          <w:trHeight w:val="664"/>
        </w:trPr>
        <w:tc>
          <w:tcPr>
            <w:tcW w:w="5328" w:type="dxa"/>
          </w:tcPr>
          <w:p w14:paraId="6F99837C" w14:textId="77777777" w:rsidR="00A1377A" w:rsidRPr="007067E8" w:rsidRDefault="00A1377A" w:rsidP="00E92CD6">
            <w:pPr>
              <w:rPr>
                <w:rFonts w:ascii="Arial" w:hAnsi="Arial" w:cs="Arial"/>
                <w:color w:val="000000" w:themeColor="text1"/>
                <w:sz w:val="20"/>
                <w:szCs w:val="20"/>
                <w:lang w:val="en-US"/>
              </w:rPr>
            </w:pPr>
          </w:p>
          <w:p w14:paraId="6F562EB8" w14:textId="77777777" w:rsidR="00A1377A" w:rsidRPr="007067E8" w:rsidRDefault="00A1377A" w:rsidP="00E92CD6">
            <w:pPr>
              <w:rPr>
                <w:rFonts w:ascii="Arial" w:hAnsi="Arial" w:cs="Arial"/>
                <w:color w:val="000000" w:themeColor="text1"/>
                <w:sz w:val="20"/>
                <w:szCs w:val="20"/>
                <w:lang w:val="en-US"/>
              </w:rPr>
            </w:pPr>
          </w:p>
          <w:p w14:paraId="584B40A7" w14:textId="7AAE6A08" w:rsidR="00A1377A" w:rsidRPr="007067E8" w:rsidRDefault="00A1377A" w:rsidP="00E92CD6">
            <w:pPr>
              <w:rPr>
                <w:rFonts w:ascii="Arial" w:hAnsi="Arial" w:cs="Arial"/>
                <w:color w:val="000000" w:themeColor="text1"/>
                <w:sz w:val="20"/>
                <w:szCs w:val="20"/>
              </w:rPr>
            </w:pPr>
            <w:r w:rsidRPr="007067E8">
              <w:rPr>
                <w:rFonts w:ascii="Arial" w:hAnsi="Arial" w:cs="Arial"/>
                <w:color w:val="000000" w:themeColor="text1"/>
                <w:sz w:val="20"/>
                <w:szCs w:val="20"/>
                <w:lang w:val="en-US"/>
              </w:rPr>
              <w:t>Anastasiya Sobotyuk</w:t>
            </w:r>
            <w:r w:rsidRPr="007067E8">
              <w:rPr>
                <w:rFonts w:ascii="Arial" w:hAnsi="Arial" w:cs="Arial"/>
                <w:color w:val="000000" w:themeColor="text1"/>
                <w:sz w:val="20"/>
                <w:szCs w:val="20"/>
              </w:rPr>
              <w:t xml:space="preserve"> (</w:t>
            </w:r>
            <w:proofErr w:type="gramStart"/>
            <w:r w:rsidR="007B4E5A" w:rsidRPr="007067E8">
              <w:rPr>
                <w:rFonts w:ascii="Arial" w:hAnsi="Arial" w:cs="Arial"/>
                <w:color w:val="000000" w:themeColor="text1"/>
                <w:sz w:val="20"/>
                <w:szCs w:val="20"/>
              </w:rPr>
              <w:t xml:space="preserve">Kyiv)  </w:t>
            </w:r>
            <w:r w:rsidRPr="007067E8">
              <w:rPr>
                <w:rFonts w:ascii="Arial" w:hAnsi="Arial" w:cs="Arial"/>
                <w:color w:val="000000" w:themeColor="text1"/>
                <w:sz w:val="20"/>
                <w:szCs w:val="20"/>
              </w:rPr>
              <w:t xml:space="preserve"> </w:t>
            </w:r>
            <w:proofErr w:type="gramEnd"/>
            <w:r w:rsidRPr="007067E8">
              <w:rPr>
                <w:rFonts w:ascii="Arial" w:hAnsi="Arial" w:cs="Arial"/>
                <w:color w:val="000000" w:themeColor="text1"/>
                <w:sz w:val="20"/>
                <w:szCs w:val="20"/>
              </w:rPr>
              <w:t xml:space="preserve">   </w:t>
            </w:r>
          </w:p>
        </w:tc>
        <w:tc>
          <w:tcPr>
            <w:tcW w:w="3060" w:type="dxa"/>
          </w:tcPr>
          <w:p w14:paraId="38425928" w14:textId="77777777" w:rsidR="005650AF" w:rsidRPr="007067E8" w:rsidRDefault="005650AF" w:rsidP="00E92CD6">
            <w:pPr>
              <w:tabs>
                <w:tab w:val="left" w:pos="237"/>
              </w:tabs>
              <w:rPr>
                <w:rFonts w:ascii="Arial" w:hAnsi="Arial" w:cs="Arial"/>
                <w:color w:val="000000" w:themeColor="text1"/>
                <w:sz w:val="20"/>
                <w:szCs w:val="20"/>
              </w:rPr>
            </w:pPr>
          </w:p>
          <w:p w14:paraId="227E5C04" w14:textId="2372C993" w:rsidR="00A1377A" w:rsidRPr="009B0D7A" w:rsidRDefault="00A1377A" w:rsidP="00E92CD6">
            <w:pPr>
              <w:tabs>
                <w:tab w:val="left" w:pos="237"/>
              </w:tabs>
              <w:rPr>
                <w:rFonts w:ascii="Arial" w:hAnsi="Arial" w:cs="Arial"/>
                <w:color w:val="000000" w:themeColor="text1"/>
                <w:sz w:val="20"/>
                <w:szCs w:val="20"/>
              </w:rPr>
            </w:pPr>
            <w:r w:rsidRPr="007067E8">
              <w:rPr>
                <w:rFonts w:ascii="Arial" w:hAnsi="Arial" w:cs="Arial"/>
                <w:color w:val="000000" w:themeColor="text1"/>
                <w:sz w:val="20"/>
                <w:szCs w:val="20"/>
              </w:rPr>
              <w:t>+38 </w:t>
            </w:r>
            <w:r w:rsidR="003B707F" w:rsidRPr="00000D60">
              <w:rPr>
                <w:rFonts w:ascii="Arial" w:hAnsi="Arial" w:cs="Arial"/>
                <w:color w:val="000000" w:themeColor="text1"/>
                <w:sz w:val="20"/>
                <w:szCs w:val="20"/>
              </w:rPr>
              <w:t>6</w:t>
            </w:r>
            <w:r w:rsidR="005650AF" w:rsidRPr="009B0D7A">
              <w:rPr>
                <w:rFonts w:ascii="Arial" w:hAnsi="Arial" w:cs="Arial"/>
                <w:color w:val="000000" w:themeColor="text1"/>
                <w:sz w:val="20"/>
                <w:szCs w:val="20"/>
              </w:rPr>
              <w:t xml:space="preserve">41 </w:t>
            </w:r>
            <w:r w:rsidR="005E59AE" w:rsidRPr="009B0D7A">
              <w:rPr>
                <w:rFonts w:ascii="Arial" w:hAnsi="Arial" w:cs="Arial"/>
                <w:color w:val="000000" w:themeColor="text1"/>
                <w:sz w:val="20"/>
                <w:szCs w:val="20"/>
              </w:rPr>
              <w:t>3</w:t>
            </w:r>
            <w:r w:rsidR="009B0D7A" w:rsidRPr="009B0D7A">
              <w:rPr>
                <w:rFonts w:ascii="Arial" w:hAnsi="Arial" w:cs="Arial"/>
                <w:color w:val="000000" w:themeColor="text1"/>
                <w:sz w:val="20"/>
                <w:szCs w:val="20"/>
              </w:rPr>
              <w:t>2</w:t>
            </w:r>
            <w:r w:rsidR="005E59AE" w:rsidRPr="009B0D7A">
              <w:rPr>
                <w:rFonts w:ascii="Arial" w:hAnsi="Arial" w:cs="Arial"/>
                <w:color w:val="000000" w:themeColor="text1"/>
                <w:sz w:val="20"/>
                <w:szCs w:val="20"/>
              </w:rPr>
              <w:t xml:space="preserve"> 7</w:t>
            </w:r>
            <w:r w:rsidR="009B0D7A" w:rsidRPr="009B0D7A">
              <w:rPr>
                <w:rFonts w:ascii="Arial" w:hAnsi="Arial" w:cs="Arial"/>
                <w:color w:val="000000" w:themeColor="text1"/>
                <w:sz w:val="20"/>
                <w:szCs w:val="20"/>
              </w:rPr>
              <w:t>0</w:t>
            </w:r>
            <w:r w:rsidR="005650AF" w:rsidRPr="009B0D7A">
              <w:rPr>
                <w:rFonts w:ascii="Arial" w:hAnsi="Arial" w:cs="Arial"/>
                <w:color w:val="000000" w:themeColor="text1"/>
                <w:sz w:val="20"/>
                <w:szCs w:val="20"/>
              </w:rPr>
              <w:t xml:space="preserve"> 65</w:t>
            </w:r>
          </w:p>
          <w:p w14:paraId="05ABD89C" w14:textId="7ABECA6B" w:rsidR="009B0D7A" w:rsidRPr="009B0D7A" w:rsidRDefault="009B0D7A" w:rsidP="00E92CD6">
            <w:pPr>
              <w:tabs>
                <w:tab w:val="left" w:pos="237"/>
              </w:tabs>
              <w:rPr>
                <w:rFonts w:ascii="Arial" w:hAnsi="Arial" w:cs="Arial"/>
                <w:color w:val="000000" w:themeColor="text1"/>
                <w:sz w:val="20"/>
                <w:szCs w:val="20"/>
                <w:lang w:val="en-US"/>
              </w:rPr>
            </w:pPr>
            <w:r w:rsidRPr="009B0D7A">
              <w:rPr>
                <w:rFonts w:ascii="Arial" w:hAnsi="Arial" w:cs="Arial"/>
                <w:color w:val="000000" w:themeColor="text1"/>
                <w:sz w:val="20"/>
                <w:szCs w:val="20"/>
              </w:rPr>
              <w:t>+</w:t>
            </w:r>
            <w:r>
              <w:rPr>
                <w:rFonts w:ascii="Arial" w:hAnsi="Arial" w:cs="Arial"/>
                <w:color w:val="000000" w:themeColor="text1"/>
                <w:sz w:val="20"/>
                <w:szCs w:val="20"/>
                <w:lang w:val="en-US"/>
              </w:rPr>
              <w:t>38 050 339 29 99</w:t>
            </w:r>
          </w:p>
          <w:p w14:paraId="649CDC5E" w14:textId="77777777" w:rsidR="00A1377A" w:rsidRPr="007067E8" w:rsidRDefault="00BC4C0D" w:rsidP="00E92CD6">
            <w:pPr>
              <w:tabs>
                <w:tab w:val="left" w:pos="237"/>
              </w:tabs>
              <w:rPr>
                <w:rFonts w:ascii="Arial" w:hAnsi="Arial" w:cs="Arial"/>
                <w:color w:val="000000" w:themeColor="text1"/>
                <w:sz w:val="20"/>
                <w:szCs w:val="20"/>
              </w:rPr>
            </w:pPr>
            <w:hyperlink r:id="rId8" w:history="1">
              <w:r w:rsidR="00A1377A" w:rsidRPr="007067E8">
                <w:rPr>
                  <w:rStyle w:val="a8"/>
                  <w:rFonts w:ascii="Arial" w:hAnsi="Arial" w:cs="Arial"/>
                  <w:sz w:val="20"/>
                  <w:szCs w:val="20"/>
                </w:rPr>
                <w:t>a.sobotyuk@mhp.com.ua</w:t>
              </w:r>
            </w:hyperlink>
          </w:p>
          <w:p w14:paraId="70BEF6F6" w14:textId="77777777" w:rsidR="00A1377A" w:rsidRPr="007067E8" w:rsidRDefault="00A1377A" w:rsidP="00E92CD6">
            <w:pPr>
              <w:tabs>
                <w:tab w:val="left" w:pos="237"/>
              </w:tabs>
              <w:rPr>
                <w:rFonts w:ascii="Arial" w:hAnsi="Arial" w:cs="Arial"/>
                <w:color w:val="000000" w:themeColor="text1"/>
                <w:sz w:val="20"/>
                <w:szCs w:val="20"/>
              </w:rPr>
            </w:pPr>
          </w:p>
        </w:tc>
      </w:tr>
      <w:tr w:rsidR="00A1377A" w:rsidRPr="007067E8" w14:paraId="5B8463DE" w14:textId="77777777" w:rsidTr="00E92CD6">
        <w:trPr>
          <w:trHeight w:val="664"/>
        </w:trPr>
        <w:tc>
          <w:tcPr>
            <w:tcW w:w="5328" w:type="dxa"/>
          </w:tcPr>
          <w:p w14:paraId="69E0F84E" w14:textId="77777777" w:rsidR="00A1377A" w:rsidRPr="00000D60" w:rsidRDefault="00A1377A" w:rsidP="00E92CD6">
            <w:pPr>
              <w:rPr>
                <w:rFonts w:ascii="Arial" w:hAnsi="Arial" w:cs="Arial"/>
                <w:color w:val="000000" w:themeColor="text1"/>
                <w:sz w:val="20"/>
                <w:szCs w:val="20"/>
              </w:rPr>
            </w:pPr>
          </w:p>
        </w:tc>
        <w:tc>
          <w:tcPr>
            <w:tcW w:w="3060" w:type="dxa"/>
          </w:tcPr>
          <w:p w14:paraId="76A2B847" w14:textId="77777777" w:rsidR="00A1377A" w:rsidRPr="00000D60" w:rsidRDefault="00A1377A" w:rsidP="00E92CD6">
            <w:pPr>
              <w:tabs>
                <w:tab w:val="left" w:pos="237"/>
              </w:tabs>
              <w:rPr>
                <w:rFonts w:ascii="Arial" w:hAnsi="Arial" w:cs="Arial"/>
                <w:color w:val="000000" w:themeColor="text1"/>
                <w:sz w:val="20"/>
                <w:szCs w:val="20"/>
              </w:rPr>
            </w:pPr>
          </w:p>
        </w:tc>
      </w:tr>
    </w:tbl>
    <w:p w14:paraId="4A17DA2A" w14:textId="77777777" w:rsidR="00A1377A" w:rsidRPr="007067E8" w:rsidRDefault="00A1377A" w:rsidP="00A1377A">
      <w:pPr>
        <w:pStyle w:val="a3"/>
        <w:spacing w:before="0" w:after="0"/>
        <w:rPr>
          <w:b/>
          <w:color w:val="000000" w:themeColor="text1"/>
          <w:sz w:val="20"/>
          <w:szCs w:val="20"/>
        </w:rPr>
      </w:pPr>
      <w:r w:rsidRPr="007067E8">
        <w:rPr>
          <w:b/>
          <w:color w:val="000000" w:themeColor="text1"/>
          <w:sz w:val="20"/>
          <w:szCs w:val="20"/>
        </w:rPr>
        <w:t>Notes to Editors:</w:t>
      </w:r>
    </w:p>
    <w:p w14:paraId="1019682F" w14:textId="77777777" w:rsidR="00A1377A" w:rsidRPr="007067E8" w:rsidRDefault="00A1377A" w:rsidP="00A1377A">
      <w:pPr>
        <w:pStyle w:val="a3"/>
        <w:spacing w:before="0" w:after="0"/>
        <w:rPr>
          <w:b/>
          <w:color w:val="000000" w:themeColor="text1"/>
          <w:sz w:val="20"/>
          <w:szCs w:val="20"/>
        </w:rPr>
      </w:pPr>
    </w:p>
    <w:p w14:paraId="39BE99BB" w14:textId="77777777" w:rsidR="00A1377A" w:rsidRPr="007067E8" w:rsidRDefault="00A1377A" w:rsidP="00A1377A">
      <w:pPr>
        <w:suppressAutoHyphens/>
        <w:outlineLvl w:val="0"/>
        <w:rPr>
          <w:rFonts w:ascii="Arial" w:hAnsi="Arial" w:cs="Arial"/>
          <w:b/>
          <w:bCs/>
          <w:color w:val="000000" w:themeColor="text1"/>
          <w:spacing w:val="-2"/>
          <w:sz w:val="20"/>
          <w:szCs w:val="20"/>
          <w:lang w:val="en-US"/>
        </w:rPr>
      </w:pPr>
      <w:r w:rsidRPr="007067E8">
        <w:rPr>
          <w:rFonts w:ascii="Arial" w:hAnsi="Arial" w:cs="Arial"/>
          <w:b/>
          <w:bCs/>
          <w:color w:val="000000" w:themeColor="text1"/>
          <w:spacing w:val="-2"/>
          <w:sz w:val="20"/>
          <w:szCs w:val="20"/>
          <w:lang w:val="en-US"/>
        </w:rPr>
        <w:t>About MHP</w:t>
      </w:r>
    </w:p>
    <w:p w14:paraId="601C7FC9" w14:textId="77777777" w:rsidR="00F73FD6" w:rsidRPr="007067E8" w:rsidRDefault="00F73FD6" w:rsidP="00F73FD6">
      <w:pPr>
        <w:pStyle w:val="bj"/>
        <w:rPr>
          <w:rFonts w:ascii="Arial" w:hAnsi="Arial" w:cs="Arial"/>
          <w:sz w:val="20"/>
          <w:szCs w:val="20"/>
        </w:rPr>
      </w:pPr>
      <w:bookmarkStart w:id="3" w:name="_DV_M194"/>
      <w:bookmarkEnd w:id="3"/>
      <w:r w:rsidRPr="007067E8">
        <w:rPr>
          <w:rFonts w:ascii="Arial" w:hAnsi="Arial" w:cs="Arial"/>
          <w:sz w:val="20"/>
          <w:szCs w:val="20"/>
        </w:rPr>
        <w:t>MHP is the leading producer of poultry products not only in Ukraine, but also in the Balkans (</w:t>
      </w:r>
      <w:proofErr w:type="spellStart"/>
      <w:r w:rsidRPr="007067E8">
        <w:rPr>
          <w:rFonts w:ascii="Arial" w:hAnsi="Arial" w:cs="Arial"/>
          <w:sz w:val="20"/>
          <w:szCs w:val="20"/>
        </w:rPr>
        <w:t>Perutnina</w:t>
      </w:r>
      <w:proofErr w:type="spellEnd"/>
      <w:r w:rsidRPr="007067E8">
        <w:rPr>
          <w:rFonts w:ascii="Arial" w:hAnsi="Arial" w:cs="Arial"/>
          <w:sz w:val="20"/>
          <w:szCs w:val="20"/>
        </w:rPr>
        <w:t xml:space="preserve"> </w:t>
      </w:r>
      <w:proofErr w:type="spellStart"/>
      <w:r w:rsidRPr="007067E8">
        <w:rPr>
          <w:rFonts w:ascii="Arial" w:hAnsi="Arial" w:cs="Arial"/>
          <w:sz w:val="20"/>
          <w:szCs w:val="20"/>
        </w:rPr>
        <w:t>Ptuj</w:t>
      </w:r>
      <w:proofErr w:type="spellEnd"/>
      <w:r w:rsidRPr="007067E8">
        <w:rPr>
          <w:rFonts w:ascii="Arial" w:hAnsi="Arial" w:cs="Arial"/>
          <w:sz w:val="20"/>
          <w:szCs w:val="20"/>
        </w:rPr>
        <w:t xml:space="preserve"> Group). </w:t>
      </w:r>
    </w:p>
    <w:p w14:paraId="405F2E97" w14:textId="77777777" w:rsidR="00F73FD6" w:rsidRPr="007067E8" w:rsidRDefault="00F73FD6" w:rsidP="00F73FD6">
      <w:pPr>
        <w:pStyle w:val="bj"/>
        <w:rPr>
          <w:rFonts w:ascii="Arial" w:hAnsi="Arial" w:cs="Arial"/>
          <w:sz w:val="20"/>
          <w:szCs w:val="20"/>
        </w:rPr>
      </w:pPr>
    </w:p>
    <w:p w14:paraId="1E8B3844" w14:textId="77777777" w:rsidR="00F73FD6" w:rsidRPr="007067E8" w:rsidRDefault="00F73FD6" w:rsidP="00F73FD6">
      <w:pPr>
        <w:pStyle w:val="bj"/>
        <w:rPr>
          <w:rFonts w:ascii="Arial" w:hAnsi="Arial" w:cs="Arial"/>
          <w:sz w:val="20"/>
          <w:szCs w:val="20"/>
        </w:rPr>
      </w:pPr>
      <w:r w:rsidRPr="007067E8">
        <w:rPr>
          <w:rFonts w:ascii="Arial" w:hAnsi="Arial" w:cs="Arial"/>
          <w:sz w:val="20"/>
          <w:szCs w:val="20"/>
          <w:u w:val="single"/>
        </w:rPr>
        <w:t>Ukraine:</w:t>
      </w:r>
      <w:r w:rsidRPr="007067E8">
        <w:rPr>
          <w:rFonts w:ascii="Arial" w:hAnsi="Arial" w:cs="Arial"/>
          <w:sz w:val="20"/>
          <w:szCs w:val="20"/>
        </w:rPr>
        <w:t xml:space="preserve"> MHP has the greatest market share (over 30% of poultry consumption) and highest brand recognition for its products. MHP owns and operates each of the key stages of chicken production processes, from feed grains and fodder production to egg hatching and grow out to processing, marketing, </w:t>
      </w:r>
      <w:proofErr w:type="gramStart"/>
      <w:r w:rsidRPr="007067E8">
        <w:rPr>
          <w:rFonts w:ascii="Arial" w:hAnsi="Arial" w:cs="Arial"/>
          <w:sz w:val="20"/>
          <w:szCs w:val="20"/>
        </w:rPr>
        <w:t>distribution</w:t>
      </w:r>
      <w:proofErr w:type="gramEnd"/>
      <w:r w:rsidRPr="007067E8">
        <w:rPr>
          <w:rFonts w:ascii="Arial" w:hAnsi="Arial" w:cs="Arial"/>
          <w:sz w:val="20"/>
          <w:szCs w:val="20"/>
        </w:rPr>
        <w:t xml:space="preserve"> and sales (including through MHP's franchise outlets). Complete vertical integration practically eliminates MHP’s exposure to raw material price fluctuations since its grain production exceeds internal consumption requirements, allowing the Company to be an important participant in the international commodity trade.  In addition to cost efficiency, vertical integration also enables MHP to maintain strict biosecurity and to control the quality of its inputs and the resulting quality and consistency of its products all the way to the point of sale. To support its sales, MHP maintains a distribution network consisting of nine distribution and logistical </w:t>
      </w:r>
      <w:proofErr w:type="spellStart"/>
      <w:r w:rsidRPr="007067E8">
        <w:rPr>
          <w:rFonts w:ascii="Arial" w:hAnsi="Arial" w:cs="Arial"/>
          <w:sz w:val="20"/>
          <w:szCs w:val="20"/>
        </w:rPr>
        <w:t>centers</w:t>
      </w:r>
      <w:proofErr w:type="spellEnd"/>
      <w:r w:rsidRPr="007067E8">
        <w:rPr>
          <w:rFonts w:ascii="Arial" w:hAnsi="Arial" w:cs="Arial"/>
          <w:sz w:val="20"/>
          <w:szCs w:val="20"/>
        </w:rPr>
        <w:t xml:space="preserve"> within major Ukrainian cities. MHP uses its own truck fleet to distribute its products, reducing overall transportation costs and delivery times.</w:t>
      </w:r>
    </w:p>
    <w:p w14:paraId="5DFA4146" w14:textId="77777777" w:rsidR="00F73FD6" w:rsidRPr="007067E8" w:rsidRDefault="00F73FD6" w:rsidP="00F73FD6">
      <w:pPr>
        <w:pStyle w:val="bj"/>
        <w:rPr>
          <w:rFonts w:ascii="Arial" w:hAnsi="Arial" w:cs="Arial"/>
          <w:sz w:val="20"/>
          <w:szCs w:val="20"/>
        </w:rPr>
      </w:pPr>
    </w:p>
    <w:p w14:paraId="64A6F996" w14:textId="77777777" w:rsidR="00F73FD6" w:rsidRPr="007067E8" w:rsidRDefault="00F73FD6" w:rsidP="00F73FD6">
      <w:pPr>
        <w:pStyle w:val="bj"/>
        <w:rPr>
          <w:rFonts w:ascii="Arial" w:hAnsi="Arial" w:cs="Arial"/>
          <w:sz w:val="20"/>
          <w:szCs w:val="20"/>
        </w:rPr>
      </w:pPr>
      <w:r w:rsidRPr="007067E8">
        <w:rPr>
          <w:rFonts w:ascii="Arial" w:hAnsi="Arial" w:cs="Arial"/>
          <w:sz w:val="20"/>
          <w:szCs w:val="20"/>
        </w:rPr>
        <w:t xml:space="preserve">MHP also has a leading grain cultivation business growing corn, </w:t>
      </w:r>
      <w:proofErr w:type="gramStart"/>
      <w:r w:rsidRPr="007067E8">
        <w:rPr>
          <w:rFonts w:ascii="Arial" w:hAnsi="Arial" w:cs="Arial"/>
          <w:sz w:val="20"/>
          <w:szCs w:val="20"/>
        </w:rPr>
        <w:t>soya</w:t>
      </w:r>
      <w:proofErr w:type="gramEnd"/>
      <w:r w:rsidRPr="007067E8">
        <w:rPr>
          <w:rFonts w:ascii="Arial" w:hAnsi="Arial" w:cs="Arial"/>
          <w:sz w:val="20"/>
          <w:szCs w:val="20"/>
        </w:rPr>
        <w:t xml:space="preserve"> and sunflower to support the vertical integration of its chicken production and increasingly other grains, such as wheat and rape, for sale to third parties. MHP leases agricultural land located primarily in the highly fertile black soil regions of Ukraine.</w:t>
      </w:r>
    </w:p>
    <w:p w14:paraId="74C1E38E" w14:textId="77777777" w:rsidR="00F73FD6" w:rsidRPr="007067E8" w:rsidRDefault="00F73FD6" w:rsidP="00F73FD6">
      <w:pPr>
        <w:pStyle w:val="bj"/>
        <w:rPr>
          <w:rFonts w:ascii="Arial" w:hAnsi="Arial" w:cs="Arial"/>
          <w:sz w:val="20"/>
          <w:szCs w:val="20"/>
        </w:rPr>
      </w:pPr>
    </w:p>
    <w:p w14:paraId="4D43A649" w14:textId="77777777" w:rsidR="00F73FD6" w:rsidRPr="007067E8" w:rsidRDefault="00F73FD6" w:rsidP="00F73FD6">
      <w:pPr>
        <w:pStyle w:val="bj"/>
        <w:rPr>
          <w:rFonts w:ascii="Arial" w:hAnsi="Arial" w:cs="Arial"/>
          <w:sz w:val="20"/>
          <w:szCs w:val="20"/>
        </w:rPr>
      </w:pPr>
      <w:r w:rsidRPr="007067E8">
        <w:rPr>
          <w:rFonts w:ascii="Arial" w:hAnsi="Arial" w:cs="Arial"/>
          <w:sz w:val="20"/>
          <w:szCs w:val="20"/>
          <w:u w:val="single"/>
        </w:rPr>
        <w:lastRenderedPageBreak/>
        <w:t>The Balkans:</w:t>
      </w:r>
      <w:r w:rsidRPr="007067E8">
        <w:rPr>
          <w:rFonts w:ascii="Arial" w:hAnsi="Arial" w:cs="Arial"/>
          <w:sz w:val="20"/>
          <w:szCs w:val="20"/>
        </w:rPr>
        <w:t xml:space="preserve"> </w:t>
      </w:r>
      <w:proofErr w:type="spellStart"/>
      <w:r w:rsidRPr="007067E8">
        <w:rPr>
          <w:rFonts w:ascii="Arial" w:hAnsi="Arial" w:cs="Arial"/>
          <w:sz w:val="20"/>
          <w:szCs w:val="20"/>
        </w:rPr>
        <w:t>Perutnina</w:t>
      </w:r>
      <w:proofErr w:type="spellEnd"/>
      <w:r w:rsidRPr="007067E8">
        <w:rPr>
          <w:rFonts w:ascii="Arial" w:hAnsi="Arial" w:cs="Arial"/>
          <w:sz w:val="20"/>
          <w:szCs w:val="20"/>
        </w:rPr>
        <w:t xml:space="preserve"> </w:t>
      </w:r>
      <w:proofErr w:type="spellStart"/>
      <w:r w:rsidRPr="007067E8">
        <w:rPr>
          <w:rFonts w:ascii="Arial" w:hAnsi="Arial" w:cs="Arial"/>
          <w:sz w:val="20"/>
          <w:szCs w:val="20"/>
        </w:rPr>
        <w:t>Ptuj</w:t>
      </w:r>
      <w:proofErr w:type="spellEnd"/>
      <w:r w:rsidRPr="007067E8">
        <w:rPr>
          <w:rFonts w:ascii="Arial" w:hAnsi="Arial" w:cs="Arial"/>
          <w:sz w:val="20"/>
          <w:szCs w:val="20"/>
        </w:rPr>
        <w:t xml:space="preserve"> (PP) is a leading poultry and meat-processing producer in the Balkans, with production sites in four Balkan countries: Slovenia, Croatia, Serbia, </w:t>
      </w:r>
      <w:proofErr w:type="gramStart"/>
      <w:r w:rsidRPr="007067E8">
        <w:rPr>
          <w:rFonts w:ascii="Arial" w:hAnsi="Arial" w:cs="Arial"/>
          <w:sz w:val="20"/>
          <w:szCs w:val="20"/>
        </w:rPr>
        <w:t>Bosnia</w:t>
      </w:r>
      <w:proofErr w:type="gramEnd"/>
      <w:r w:rsidRPr="007067E8">
        <w:rPr>
          <w:rFonts w:ascii="Arial" w:hAnsi="Arial" w:cs="Arial"/>
          <w:sz w:val="20"/>
          <w:szCs w:val="20"/>
        </w:rPr>
        <w:t xml:space="preserve"> and Herzegovina. PP owns distribution companies in Austria, Macedonia and Romania and supplies products to fifteen countries in Europe. PP is vertically integrated across all states of chicken meat production - feed, hatching eggs production and hatching, breeding, slaughtering, sausage production and further poultry processing.</w:t>
      </w:r>
    </w:p>
    <w:p w14:paraId="374F2758" w14:textId="77777777" w:rsidR="00F73FD6" w:rsidRPr="007067E8" w:rsidRDefault="00F73FD6" w:rsidP="00F73FD6">
      <w:pPr>
        <w:pStyle w:val="bj"/>
        <w:rPr>
          <w:rFonts w:ascii="Arial" w:hAnsi="Arial" w:cs="Arial"/>
          <w:sz w:val="20"/>
          <w:szCs w:val="20"/>
        </w:rPr>
      </w:pPr>
    </w:p>
    <w:p w14:paraId="72A5393A" w14:textId="77777777" w:rsidR="0040113B" w:rsidRPr="007067E8" w:rsidRDefault="00F73FD6" w:rsidP="00F73FD6">
      <w:pPr>
        <w:pStyle w:val="bj"/>
        <w:rPr>
          <w:rFonts w:ascii="Arial" w:hAnsi="Arial" w:cs="Arial"/>
          <w:sz w:val="20"/>
          <w:szCs w:val="20"/>
        </w:rPr>
      </w:pPr>
      <w:r w:rsidRPr="007067E8">
        <w:rPr>
          <w:rFonts w:ascii="Arial" w:hAnsi="Arial" w:cs="Arial"/>
          <w:sz w:val="20"/>
          <w:szCs w:val="20"/>
        </w:rPr>
        <w:t>MHP trades on the London Stock Exchange under the ticker symbol MHPC.</w:t>
      </w:r>
    </w:p>
    <w:p w14:paraId="4791533E" w14:textId="77777777" w:rsidR="00F73FD6" w:rsidRPr="007067E8" w:rsidRDefault="00F73FD6" w:rsidP="00F73FD6">
      <w:pPr>
        <w:pStyle w:val="bj"/>
        <w:rPr>
          <w:rFonts w:ascii="Arial" w:hAnsi="Arial" w:cs="Arial"/>
          <w:sz w:val="20"/>
          <w:szCs w:val="20"/>
        </w:rPr>
      </w:pPr>
    </w:p>
    <w:p w14:paraId="2D333E07" w14:textId="77777777" w:rsidR="00A1377A" w:rsidRPr="007067E8" w:rsidRDefault="00A1377A" w:rsidP="00A1377A">
      <w:pPr>
        <w:pStyle w:val="f"/>
        <w:jc w:val="both"/>
        <w:rPr>
          <w:rFonts w:ascii="Arial" w:hAnsi="Arial" w:cs="Arial"/>
          <w:color w:val="auto"/>
          <w:sz w:val="20"/>
          <w:szCs w:val="20"/>
        </w:rPr>
      </w:pPr>
      <w:r w:rsidRPr="007067E8">
        <w:rPr>
          <w:rStyle w:val="as"/>
          <w:b/>
          <w:bCs/>
          <w:color w:val="auto"/>
          <w:sz w:val="20"/>
          <w:szCs w:val="20"/>
        </w:rPr>
        <w:t>Forward-Looking Statements</w:t>
      </w:r>
    </w:p>
    <w:p w14:paraId="21DF577B" w14:textId="77777777" w:rsidR="00A1377A" w:rsidRPr="007067E8" w:rsidRDefault="00A1377A" w:rsidP="00A1377A">
      <w:pPr>
        <w:pStyle w:val="f"/>
        <w:jc w:val="both"/>
        <w:rPr>
          <w:rFonts w:ascii="Arial" w:hAnsi="Arial" w:cs="Arial"/>
          <w:color w:val="auto"/>
          <w:sz w:val="20"/>
          <w:szCs w:val="20"/>
        </w:rPr>
      </w:pPr>
    </w:p>
    <w:p w14:paraId="102BC15C" w14:textId="77777777" w:rsidR="003351E2" w:rsidRPr="0082367E" w:rsidRDefault="00A1377A" w:rsidP="0040113B">
      <w:pPr>
        <w:pStyle w:val="f"/>
        <w:jc w:val="both"/>
        <w:rPr>
          <w:sz w:val="20"/>
          <w:szCs w:val="20"/>
          <w:lang w:val="en-US"/>
        </w:rPr>
      </w:pPr>
      <w:r w:rsidRPr="007067E8">
        <w:rPr>
          <w:rStyle w:val="as"/>
          <w:color w:val="auto"/>
          <w:sz w:val="20"/>
          <w:szCs w:val="20"/>
        </w:rPr>
        <w:t xml:space="preserve">This press release might contain forward-looking statements that refer to future events or forecast </w:t>
      </w:r>
      <w:r w:rsidR="00533DB4" w:rsidRPr="007067E8">
        <w:rPr>
          <w:rStyle w:val="as"/>
          <w:color w:val="auto"/>
          <w:sz w:val="20"/>
          <w:szCs w:val="20"/>
        </w:rPr>
        <w:t>financial indicators for MHP SE</w:t>
      </w:r>
      <w:r w:rsidRPr="007067E8">
        <w:rPr>
          <w:rStyle w:val="as"/>
          <w:color w:val="auto"/>
          <w:sz w:val="20"/>
          <w:szCs w:val="20"/>
        </w:rPr>
        <w:t>. Such statements do not guarantee that these ar</w:t>
      </w:r>
      <w:r w:rsidR="00533DB4" w:rsidRPr="007067E8">
        <w:rPr>
          <w:rStyle w:val="as"/>
          <w:color w:val="auto"/>
          <w:sz w:val="20"/>
          <w:szCs w:val="20"/>
        </w:rPr>
        <w:t>e actions to be taken by MHP SE</w:t>
      </w:r>
      <w:r w:rsidRPr="007067E8">
        <w:rPr>
          <w:rStyle w:val="as"/>
          <w:color w:val="auto"/>
          <w:sz w:val="20"/>
          <w:szCs w:val="20"/>
        </w:rPr>
        <w:t xml:space="preserve"> in the future, and estimates can be inaccurate and uncertain. Actual final indicators and results can considerably differ from those declared in any for</w:t>
      </w:r>
      <w:r w:rsidR="00533DB4" w:rsidRPr="007067E8">
        <w:rPr>
          <w:rStyle w:val="as"/>
          <w:color w:val="auto"/>
          <w:sz w:val="20"/>
          <w:szCs w:val="20"/>
        </w:rPr>
        <w:t>ward-looking statements. MHP SE</w:t>
      </w:r>
      <w:r w:rsidRPr="007067E8">
        <w:rPr>
          <w:rStyle w:val="as"/>
          <w:color w:val="auto"/>
          <w:sz w:val="20"/>
          <w:szCs w:val="20"/>
        </w:rPr>
        <w:t>.</w:t>
      </w:r>
      <w:r w:rsidR="00533DB4" w:rsidRPr="007067E8">
        <w:rPr>
          <w:rStyle w:val="as"/>
          <w:color w:val="auto"/>
          <w:sz w:val="20"/>
          <w:szCs w:val="20"/>
        </w:rPr>
        <w:t xml:space="preserve"> </w:t>
      </w:r>
      <w:r w:rsidRPr="007067E8">
        <w:rPr>
          <w:rStyle w:val="as"/>
          <w:color w:val="auto"/>
          <w:sz w:val="20"/>
          <w:szCs w:val="20"/>
        </w:rPr>
        <w:t>does not intend to change these statements to reflect actual results</w:t>
      </w:r>
      <w:r w:rsidRPr="007067E8">
        <w:rPr>
          <w:rStyle w:val="t"/>
          <w:rFonts w:eastAsia="Calibri"/>
          <w:color w:val="auto"/>
        </w:rPr>
        <w:t>.</w:t>
      </w:r>
    </w:p>
    <w:sectPr w:rsidR="003351E2" w:rsidRPr="0082367E" w:rsidSect="00A163F8">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D20"/>
    <w:multiLevelType w:val="hybridMultilevel"/>
    <w:tmpl w:val="2DD8233C"/>
    <w:lvl w:ilvl="0" w:tplc="9AF8B4AE">
      <w:start w:val="2"/>
      <w:numFmt w:val="bullet"/>
      <w:lvlText w:val=""/>
      <w:lvlJc w:val="left"/>
      <w:pPr>
        <w:ind w:left="720" w:hanging="360"/>
      </w:pPr>
      <w:rPr>
        <w:rFonts w:ascii="Symbol" w:eastAsia="Times New Roman" w:hAnsi="Symbo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5497050"/>
    <w:multiLevelType w:val="hybridMultilevel"/>
    <w:tmpl w:val="FEA46F1E"/>
    <w:lvl w:ilvl="0" w:tplc="BE8A6CE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A2089"/>
    <w:multiLevelType w:val="hybridMultilevel"/>
    <w:tmpl w:val="C2F6ED2E"/>
    <w:lvl w:ilvl="0" w:tplc="A028C428">
      <w:start w:val="2"/>
      <w:numFmt w:val="bullet"/>
      <w:lvlText w:val=""/>
      <w:lvlJc w:val="left"/>
      <w:pPr>
        <w:ind w:left="720" w:hanging="360"/>
      </w:pPr>
      <w:rPr>
        <w:rFonts w:ascii="Symbol" w:eastAsia="Times New Roman" w:hAnsi="Symbo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56902258"/>
    <w:multiLevelType w:val="hybridMultilevel"/>
    <w:tmpl w:val="8962D474"/>
    <w:lvl w:ilvl="0" w:tplc="1674C2C4">
      <w:start w:val="1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A6478B8"/>
    <w:multiLevelType w:val="hybridMultilevel"/>
    <w:tmpl w:val="6B8441A2"/>
    <w:lvl w:ilvl="0" w:tplc="760C4EAC">
      <w:start w:val="2"/>
      <w:numFmt w:val="bullet"/>
      <w:lvlText w:val=""/>
      <w:lvlJc w:val="left"/>
      <w:pPr>
        <w:ind w:left="720" w:hanging="360"/>
      </w:pPr>
      <w:rPr>
        <w:rFonts w:ascii="Symbol" w:eastAsia="Times New Roman" w:hAnsi="Symbo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5B522799"/>
    <w:multiLevelType w:val="hybridMultilevel"/>
    <w:tmpl w:val="CCDCACF6"/>
    <w:lvl w:ilvl="0" w:tplc="6AD87EE6">
      <w:start w:val="6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509BA"/>
    <w:multiLevelType w:val="hybridMultilevel"/>
    <w:tmpl w:val="74CAC91E"/>
    <w:lvl w:ilvl="0" w:tplc="DA5CB89A">
      <w:start w:val="27"/>
      <w:numFmt w:val="bullet"/>
      <w:lvlText w:val="-"/>
      <w:lvlJc w:val="left"/>
      <w:pPr>
        <w:ind w:left="420" w:hanging="360"/>
      </w:pPr>
      <w:rPr>
        <w:rFonts w:ascii="Arial" w:eastAsia="Calibri"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63E479D2"/>
    <w:multiLevelType w:val="hybridMultilevel"/>
    <w:tmpl w:val="64463F7C"/>
    <w:lvl w:ilvl="0" w:tplc="42AE9E84">
      <w:start w:val="27"/>
      <w:numFmt w:val="bullet"/>
      <w:lvlText w:val="-"/>
      <w:lvlJc w:val="left"/>
      <w:pPr>
        <w:ind w:left="480" w:hanging="360"/>
      </w:pPr>
      <w:rPr>
        <w:rFonts w:ascii="Arial" w:eastAsia="Times New Roman" w:hAnsi="Arial" w:cs="Aria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8" w15:restartNumberingAfterBreak="0">
    <w:nsid w:val="65DC01A6"/>
    <w:multiLevelType w:val="hybridMultilevel"/>
    <w:tmpl w:val="DB305770"/>
    <w:lvl w:ilvl="0" w:tplc="9D7AEC10">
      <w:start w:val="2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D114E48"/>
    <w:multiLevelType w:val="hybridMultilevel"/>
    <w:tmpl w:val="BC406802"/>
    <w:lvl w:ilvl="0" w:tplc="B844BE72">
      <w:start w:val="2"/>
      <w:numFmt w:val="bullet"/>
      <w:lvlText w:val=""/>
      <w:lvlJc w:val="left"/>
      <w:pPr>
        <w:ind w:left="435" w:hanging="360"/>
      </w:pPr>
      <w:rPr>
        <w:rFonts w:ascii="Symbol" w:eastAsia="Times New Roman" w:hAnsi="Symbol" w:cs="Arial" w:hint="default"/>
        <w:i/>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31148912">
    <w:abstractNumId w:val="6"/>
  </w:num>
  <w:num w:numId="2" w16cid:durableId="1701276721">
    <w:abstractNumId w:val="7"/>
  </w:num>
  <w:num w:numId="3" w16cid:durableId="1369140393">
    <w:abstractNumId w:val="3"/>
  </w:num>
  <w:num w:numId="4" w16cid:durableId="1723095505">
    <w:abstractNumId w:val="8"/>
  </w:num>
  <w:num w:numId="5" w16cid:durableId="1492910583">
    <w:abstractNumId w:val="5"/>
  </w:num>
  <w:num w:numId="6" w16cid:durableId="1955671018">
    <w:abstractNumId w:val="1"/>
  </w:num>
  <w:num w:numId="7" w16cid:durableId="1837723747">
    <w:abstractNumId w:val="9"/>
  </w:num>
  <w:num w:numId="8" w16cid:durableId="532620688">
    <w:abstractNumId w:val="0"/>
  </w:num>
  <w:num w:numId="9" w16cid:durableId="169151079">
    <w:abstractNumId w:val="4"/>
  </w:num>
  <w:num w:numId="10" w16cid:durableId="895822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nl-NL" w:vendorID="64" w:dllVersion="0" w:nlCheck="1" w:checkStyle="0"/>
  <w:activeWritingStyle w:appName="MSWord" w:lang="en-VG"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76"/>
    <w:rsid w:val="00000D60"/>
    <w:rsid w:val="00013C40"/>
    <w:rsid w:val="000151A3"/>
    <w:rsid w:val="00020494"/>
    <w:rsid w:val="00024AE2"/>
    <w:rsid w:val="00035646"/>
    <w:rsid w:val="00041674"/>
    <w:rsid w:val="00046528"/>
    <w:rsid w:val="00046DB9"/>
    <w:rsid w:val="00047DD0"/>
    <w:rsid w:val="0005059B"/>
    <w:rsid w:val="0005683F"/>
    <w:rsid w:val="00066BE6"/>
    <w:rsid w:val="00066C36"/>
    <w:rsid w:val="000740DF"/>
    <w:rsid w:val="000846CF"/>
    <w:rsid w:val="0009018A"/>
    <w:rsid w:val="00091959"/>
    <w:rsid w:val="000936AE"/>
    <w:rsid w:val="00093B8B"/>
    <w:rsid w:val="00097680"/>
    <w:rsid w:val="000A19CE"/>
    <w:rsid w:val="000A1CEE"/>
    <w:rsid w:val="000A3E04"/>
    <w:rsid w:val="000B0034"/>
    <w:rsid w:val="000B70BD"/>
    <w:rsid w:val="000C0A0B"/>
    <w:rsid w:val="000C1385"/>
    <w:rsid w:val="000D60AB"/>
    <w:rsid w:val="000D6B17"/>
    <w:rsid w:val="000E66E5"/>
    <w:rsid w:val="000F711A"/>
    <w:rsid w:val="00113315"/>
    <w:rsid w:val="0012184D"/>
    <w:rsid w:val="00131F2E"/>
    <w:rsid w:val="00135278"/>
    <w:rsid w:val="001455AB"/>
    <w:rsid w:val="00156C14"/>
    <w:rsid w:val="00160000"/>
    <w:rsid w:val="001634BD"/>
    <w:rsid w:val="00164AF6"/>
    <w:rsid w:val="001706A4"/>
    <w:rsid w:val="00175B85"/>
    <w:rsid w:val="001948EF"/>
    <w:rsid w:val="00195E79"/>
    <w:rsid w:val="00196A10"/>
    <w:rsid w:val="001A0521"/>
    <w:rsid w:val="001A19F1"/>
    <w:rsid w:val="001B28C6"/>
    <w:rsid w:val="001B412A"/>
    <w:rsid w:val="001B5639"/>
    <w:rsid w:val="001C0637"/>
    <w:rsid w:val="001C63D6"/>
    <w:rsid w:val="001D1CAF"/>
    <w:rsid w:val="001D432A"/>
    <w:rsid w:val="001E13C9"/>
    <w:rsid w:val="001E59E0"/>
    <w:rsid w:val="001F29D6"/>
    <w:rsid w:val="00201F52"/>
    <w:rsid w:val="00211304"/>
    <w:rsid w:val="00227803"/>
    <w:rsid w:val="002310DA"/>
    <w:rsid w:val="0023578F"/>
    <w:rsid w:val="00237663"/>
    <w:rsid w:val="00240A3E"/>
    <w:rsid w:val="00243AA3"/>
    <w:rsid w:val="00244462"/>
    <w:rsid w:val="002448AF"/>
    <w:rsid w:val="00251E95"/>
    <w:rsid w:val="00254774"/>
    <w:rsid w:val="00256AA2"/>
    <w:rsid w:val="00257D58"/>
    <w:rsid w:val="002814CE"/>
    <w:rsid w:val="002816CA"/>
    <w:rsid w:val="0028335D"/>
    <w:rsid w:val="00290C96"/>
    <w:rsid w:val="00292880"/>
    <w:rsid w:val="00292B8C"/>
    <w:rsid w:val="00293233"/>
    <w:rsid w:val="002B2893"/>
    <w:rsid w:val="002D2776"/>
    <w:rsid w:val="002D5E23"/>
    <w:rsid w:val="002D6A4B"/>
    <w:rsid w:val="002D78BF"/>
    <w:rsid w:val="002E007D"/>
    <w:rsid w:val="002E521F"/>
    <w:rsid w:val="002E6CD2"/>
    <w:rsid w:val="002E7809"/>
    <w:rsid w:val="002F4234"/>
    <w:rsid w:val="002F5F47"/>
    <w:rsid w:val="00300447"/>
    <w:rsid w:val="00300EE4"/>
    <w:rsid w:val="00301CF5"/>
    <w:rsid w:val="00311B72"/>
    <w:rsid w:val="003169A2"/>
    <w:rsid w:val="00317C22"/>
    <w:rsid w:val="00322C61"/>
    <w:rsid w:val="003262E2"/>
    <w:rsid w:val="0033230E"/>
    <w:rsid w:val="00333DD3"/>
    <w:rsid w:val="00333F36"/>
    <w:rsid w:val="003351E2"/>
    <w:rsid w:val="003373F3"/>
    <w:rsid w:val="00343859"/>
    <w:rsid w:val="003440BE"/>
    <w:rsid w:val="00344398"/>
    <w:rsid w:val="00345714"/>
    <w:rsid w:val="003615EE"/>
    <w:rsid w:val="003649B7"/>
    <w:rsid w:val="00367243"/>
    <w:rsid w:val="00371226"/>
    <w:rsid w:val="00372266"/>
    <w:rsid w:val="003726B7"/>
    <w:rsid w:val="00381E20"/>
    <w:rsid w:val="0039261B"/>
    <w:rsid w:val="00394DDA"/>
    <w:rsid w:val="003963C8"/>
    <w:rsid w:val="003A3990"/>
    <w:rsid w:val="003B1964"/>
    <w:rsid w:val="003B707F"/>
    <w:rsid w:val="003E2AE1"/>
    <w:rsid w:val="003F0DE7"/>
    <w:rsid w:val="003F7EC1"/>
    <w:rsid w:val="0040113B"/>
    <w:rsid w:val="00407972"/>
    <w:rsid w:val="00414523"/>
    <w:rsid w:val="00441258"/>
    <w:rsid w:val="0044650F"/>
    <w:rsid w:val="00455083"/>
    <w:rsid w:val="00461235"/>
    <w:rsid w:val="0046134F"/>
    <w:rsid w:val="00470BD0"/>
    <w:rsid w:val="004716A4"/>
    <w:rsid w:val="004729D8"/>
    <w:rsid w:val="00484D78"/>
    <w:rsid w:val="004864E5"/>
    <w:rsid w:val="00490A1F"/>
    <w:rsid w:val="004A428F"/>
    <w:rsid w:val="004B2865"/>
    <w:rsid w:val="004B544C"/>
    <w:rsid w:val="004B692E"/>
    <w:rsid w:val="004C11C6"/>
    <w:rsid w:val="004C20B7"/>
    <w:rsid w:val="004C3A07"/>
    <w:rsid w:val="004C60E1"/>
    <w:rsid w:val="004D7207"/>
    <w:rsid w:val="004E0AA0"/>
    <w:rsid w:val="004E6212"/>
    <w:rsid w:val="004F1E07"/>
    <w:rsid w:val="00506941"/>
    <w:rsid w:val="005109B1"/>
    <w:rsid w:val="00516EA2"/>
    <w:rsid w:val="005209A1"/>
    <w:rsid w:val="0052628F"/>
    <w:rsid w:val="0052795E"/>
    <w:rsid w:val="005305B1"/>
    <w:rsid w:val="005313A3"/>
    <w:rsid w:val="00533A56"/>
    <w:rsid w:val="00533DB4"/>
    <w:rsid w:val="00535C68"/>
    <w:rsid w:val="00545EAD"/>
    <w:rsid w:val="005541D4"/>
    <w:rsid w:val="00556B04"/>
    <w:rsid w:val="00562B5A"/>
    <w:rsid w:val="005650AF"/>
    <w:rsid w:val="00575FDA"/>
    <w:rsid w:val="0057686E"/>
    <w:rsid w:val="005773EF"/>
    <w:rsid w:val="00580545"/>
    <w:rsid w:val="005814E2"/>
    <w:rsid w:val="005844BE"/>
    <w:rsid w:val="005959AA"/>
    <w:rsid w:val="00595E11"/>
    <w:rsid w:val="00596230"/>
    <w:rsid w:val="005B030D"/>
    <w:rsid w:val="005B2146"/>
    <w:rsid w:val="005B2650"/>
    <w:rsid w:val="005B4507"/>
    <w:rsid w:val="005B652E"/>
    <w:rsid w:val="005C1ED2"/>
    <w:rsid w:val="005C2216"/>
    <w:rsid w:val="005C295F"/>
    <w:rsid w:val="005C46B8"/>
    <w:rsid w:val="005D036E"/>
    <w:rsid w:val="005D0FA3"/>
    <w:rsid w:val="005D22C2"/>
    <w:rsid w:val="005D534F"/>
    <w:rsid w:val="005D618A"/>
    <w:rsid w:val="005E3190"/>
    <w:rsid w:val="005E3C69"/>
    <w:rsid w:val="005E4B49"/>
    <w:rsid w:val="005E59AE"/>
    <w:rsid w:val="005F0A6C"/>
    <w:rsid w:val="006038EA"/>
    <w:rsid w:val="00623CAD"/>
    <w:rsid w:val="0063595F"/>
    <w:rsid w:val="00636B96"/>
    <w:rsid w:val="00642540"/>
    <w:rsid w:val="006501E3"/>
    <w:rsid w:val="00653C8B"/>
    <w:rsid w:val="00655462"/>
    <w:rsid w:val="00656461"/>
    <w:rsid w:val="00675E5F"/>
    <w:rsid w:val="00684AC2"/>
    <w:rsid w:val="00685D93"/>
    <w:rsid w:val="0068700A"/>
    <w:rsid w:val="00692D9F"/>
    <w:rsid w:val="006B08B8"/>
    <w:rsid w:val="006B094B"/>
    <w:rsid w:val="006B3370"/>
    <w:rsid w:val="006B3D2B"/>
    <w:rsid w:val="006B5BEF"/>
    <w:rsid w:val="006D7913"/>
    <w:rsid w:val="007067E8"/>
    <w:rsid w:val="007074BD"/>
    <w:rsid w:val="00713368"/>
    <w:rsid w:val="00714DB4"/>
    <w:rsid w:val="007151C6"/>
    <w:rsid w:val="00715271"/>
    <w:rsid w:val="007166C8"/>
    <w:rsid w:val="007262AE"/>
    <w:rsid w:val="007342A3"/>
    <w:rsid w:val="00741B12"/>
    <w:rsid w:val="007455FA"/>
    <w:rsid w:val="00746600"/>
    <w:rsid w:val="00754E53"/>
    <w:rsid w:val="00762304"/>
    <w:rsid w:val="007719CE"/>
    <w:rsid w:val="00780B23"/>
    <w:rsid w:val="0079010D"/>
    <w:rsid w:val="00790859"/>
    <w:rsid w:val="00792B7D"/>
    <w:rsid w:val="00792DD0"/>
    <w:rsid w:val="007931BB"/>
    <w:rsid w:val="007964E6"/>
    <w:rsid w:val="00797662"/>
    <w:rsid w:val="007A06BE"/>
    <w:rsid w:val="007A11D7"/>
    <w:rsid w:val="007B31C2"/>
    <w:rsid w:val="007B4E5A"/>
    <w:rsid w:val="007C1F58"/>
    <w:rsid w:val="007E2E12"/>
    <w:rsid w:val="007E5068"/>
    <w:rsid w:val="007E5469"/>
    <w:rsid w:val="007E5C3D"/>
    <w:rsid w:val="007E7C7D"/>
    <w:rsid w:val="007F2762"/>
    <w:rsid w:val="007F5F4D"/>
    <w:rsid w:val="00801A6D"/>
    <w:rsid w:val="00802212"/>
    <w:rsid w:val="00806C74"/>
    <w:rsid w:val="00807C2B"/>
    <w:rsid w:val="0081373A"/>
    <w:rsid w:val="00816A41"/>
    <w:rsid w:val="00822842"/>
    <w:rsid w:val="0082367E"/>
    <w:rsid w:val="0083018D"/>
    <w:rsid w:val="00833F53"/>
    <w:rsid w:val="00835D11"/>
    <w:rsid w:val="00840E6F"/>
    <w:rsid w:val="00841268"/>
    <w:rsid w:val="0084302C"/>
    <w:rsid w:val="00843225"/>
    <w:rsid w:val="00847450"/>
    <w:rsid w:val="00847DC2"/>
    <w:rsid w:val="0085322E"/>
    <w:rsid w:val="008536AB"/>
    <w:rsid w:val="00861156"/>
    <w:rsid w:val="00867D9C"/>
    <w:rsid w:val="00870059"/>
    <w:rsid w:val="0087723E"/>
    <w:rsid w:val="008801D1"/>
    <w:rsid w:val="00882EA8"/>
    <w:rsid w:val="0088488C"/>
    <w:rsid w:val="008911E6"/>
    <w:rsid w:val="008A5F89"/>
    <w:rsid w:val="008A71A9"/>
    <w:rsid w:val="008B4789"/>
    <w:rsid w:val="008C0FF1"/>
    <w:rsid w:val="008C5050"/>
    <w:rsid w:val="008D2C08"/>
    <w:rsid w:val="008D3B23"/>
    <w:rsid w:val="008D43AD"/>
    <w:rsid w:val="008D48C9"/>
    <w:rsid w:val="008D714E"/>
    <w:rsid w:val="008E7E0A"/>
    <w:rsid w:val="008F08A9"/>
    <w:rsid w:val="008F0D27"/>
    <w:rsid w:val="008F59B1"/>
    <w:rsid w:val="008F7E2D"/>
    <w:rsid w:val="00900C5B"/>
    <w:rsid w:val="00902230"/>
    <w:rsid w:val="009047F2"/>
    <w:rsid w:val="00913391"/>
    <w:rsid w:val="00916FDD"/>
    <w:rsid w:val="00926F6D"/>
    <w:rsid w:val="009507FB"/>
    <w:rsid w:val="00960729"/>
    <w:rsid w:val="0096569F"/>
    <w:rsid w:val="00965CA5"/>
    <w:rsid w:val="00967798"/>
    <w:rsid w:val="00972D7D"/>
    <w:rsid w:val="009750C7"/>
    <w:rsid w:val="0098070D"/>
    <w:rsid w:val="009844E5"/>
    <w:rsid w:val="00987547"/>
    <w:rsid w:val="00990FC6"/>
    <w:rsid w:val="009A0BE6"/>
    <w:rsid w:val="009A3EFE"/>
    <w:rsid w:val="009A7CE8"/>
    <w:rsid w:val="009B0D7A"/>
    <w:rsid w:val="009B10A1"/>
    <w:rsid w:val="009C19B5"/>
    <w:rsid w:val="009C50A8"/>
    <w:rsid w:val="009C53C6"/>
    <w:rsid w:val="009D0734"/>
    <w:rsid w:val="009D59F0"/>
    <w:rsid w:val="009D7C35"/>
    <w:rsid w:val="009F116E"/>
    <w:rsid w:val="00A077E4"/>
    <w:rsid w:val="00A1377A"/>
    <w:rsid w:val="00A163F8"/>
    <w:rsid w:val="00A17BA2"/>
    <w:rsid w:val="00A2356D"/>
    <w:rsid w:val="00A2668C"/>
    <w:rsid w:val="00A33D6C"/>
    <w:rsid w:val="00A5369B"/>
    <w:rsid w:val="00A569F8"/>
    <w:rsid w:val="00A637A3"/>
    <w:rsid w:val="00A64772"/>
    <w:rsid w:val="00A65DF0"/>
    <w:rsid w:val="00A719EC"/>
    <w:rsid w:val="00A94CF1"/>
    <w:rsid w:val="00AA05CD"/>
    <w:rsid w:val="00AA5CB5"/>
    <w:rsid w:val="00AA725A"/>
    <w:rsid w:val="00AB1B0F"/>
    <w:rsid w:val="00AB3ECA"/>
    <w:rsid w:val="00AD38B8"/>
    <w:rsid w:val="00AD7124"/>
    <w:rsid w:val="00AF0BEC"/>
    <w:rsid w:val="00B01DA7"/>
    <w:rsid w:val="00B020A8"/>
    <w:rsid w:val="00B05C80"/>
    <w:rsid w:val="00B0768B"/>
    <w:rsid w:val="00B11F71"/>
    <w:rsid w:val="00B21DA1"/>
    <w:rsid w:val="00B250DF"/>
    <w:rsid w:val="00B310AE"/>
    <w:rsid w:val="00B35904"/>
    <w:rsid w:val="00B40D9B"/>
    <w:rsid w:val="00B422B8"/>
    <w:rsid w:val="00B5473C"/>
    <w:rsid w:val="00B654A0"/>
    <w:rsid w:val="00B7444D"/>
    <w:rsid w:val="00B769A8"/>
    <w:rsid w:val="00B77C9F"/>
    <w:rsid w:val="00B8125F"/>
    <w:rsid w:val="00B84E47"/>
    <w:rsid w:val="00B85BBE"/>
    <w:rsid w:val="00B87321"/>
    <w:rsid w:val="00B95368"/>
    <w:rsid w:val="00B95A7D"/>
    <w:rsid w:val="00BA0DA3"/>
    <w:rsid w:val="00BA12B1"/>
    <w:rsid w:val="00BA130D"/>
    <w:rsid w:val="00BB3320"/>
    <w:rsid w:val="00BC4C0D"/>
    <w:rsid w:val="00BD2C8E"/>
    <w:rsid w:val="00BD3E8C"/>
    <w:rsid w:val="00BD489D"/>
    <w:rsid w:val="00BD79A0"/>
    <w:rsid w:val="00BE2E68"/>
    <w:rsid w:val="00BE3378"/>
    <w:rsid w:val="00BE389A"/>
    <w:rsid w:val="00C05C4F"/>
    <w:rsid w:val="00C10B4D"/>
    <w:rsid w:val="00C14DD7"/>
    <w:rsid w:val="00C151A1"/>
    <w:rsid w:val="00C16C9A"/>
    <w:rsid w:val="00C22BC0"/>
    <w:rsid w:val="00C2640C"/>
    <w:rsid w:val="00C4026D"/>
    <w:rsid w:val="00C412CE"/>
    <w:rsid w:val="00C45E08"/>
    <w:rsid w:val="00C57DB6"/>
    <w:rsid w:val="00C60FAF"/>
    <w:rsid w:val="00C70061"/>
    <w:rsid w:val="00C74934"/>
    <w:rsid w:val="00C767AF"/>
    <w:rsid w:val="00C80518"/>
    <w:rsid w:val="00C85F76"/>
    <w:rsid w:val="00C9727F"/>
    <w:rsid w:val="00CA0589"/>
    <w:rsid w:val="00CA43CF"/>
    <w:rsid w:val="00CB0ACD"/>
    <w:rsid w:val="00CB4CBA"/>
    <w:rsid w:val="00CC4932"/>
    <w:rsid w:val="00CC4C86"/>
    <w:rsid w:val="00CC7801"/>
    <w:rsid w:val="00CD0517"/>
    <w:rsid w:val="00CD2FFF"/>
    <w:rsid w:val="00CD317D"/>
    <w:rsid w:val="00CD75B9"/>
    <w:rsid w:val="00CE134B"/>
    <w:rsid w:val="00CE240B"/>
    <w:rsid w:val="00CE5A7E"/>
    <w:rsid w:val="00CE6CD4"/>
    <w:rsid w:val="00D01686"/>
    <w:rsid w:val="00D01954"/>
    <w:rsid w:val="00D0395D"/>
    <w:rsid w:val="00D059FB"/>
    <w:rsid w:val="00D14303"/>
    <w:rsid w:val="00D200D2"/>
    <w:rsid w:val="00D23F97"/>
    <w:rsid w:val="00D25C9D"/>
    <w:rsid w:val="00D440E2"/>
    <w:rsid w:val="00D4695F"/>
    <w:rsid w:val="00D52B5B"/>
    <w:rsid w:val="00D552D3"/>
    <w:rsid w:val="00D62F69"/>
    <w:rsid w:val="00D641ED"/>
    <w:rsid w:val="00D730D1"/>
    <w:rsid w:val="00D745AA"/>
    <w:rsid w:val="00D76771"/>
    <w:rsid w:val="00D85A73"/>
    <w:rsid w:val="00D879F7"/>
    <w:rsid w:val="00DA1B48"/>
    <w:rsid w:val="00DA59A8"/>
    <w:rsid w:val="00DB1680"/>
    <w:rsid w:val="00DB48FD"/>
    <w:rsid w:val="00DB64CF"/>
    <w:rsid w:val="00DC0CA9"/>
    <w:rsid w:val="00DC2D7F"/>
    <w:rsid w:val="00DC369A"/>
    <w:rsid w:val="00DD1184"/>
    <w:rsid w:val="00DD3CD5"/>
    <w:rsid w:val="00DE1E4E"/>
    <w:rsid w:val="00DF5064"/>
    <w:rsid w:val="00E037AB"/>
    <w:rsid w:val="00E13A8B"/>
    <w:rsid w:val="00E161EF"/>
    <w:rsid w:val="00E23B76"/>
    <w:rsid w:val="00E26FAC"/>
    <w:rsid w:val="00E323E9"/>
    <w:rsid w:val="00E33340"/>
    <w:rsid w:val="00E45C29"/>
    <w:rsid w:val="00E50776"/>
    <w:rsid w:val="00E5515D"/>
    <w:rsid w:val="00E83634"/>
    <w:rsid w:val="00E91142"/>
    <w:rsid w:val="00E913F4"/>
    <w:rsid w:val="00E9248A"/>
    <w:rsid w:val="00E92CD6"/>
    <w:rsid w:val="00E92E0F"/>
    <w:rsid w:val="00E94119"/>
    <w:rsid w:val="00E9547C"/>
    <w:rsid w:val="00E972E5"/>
    <w:rsid w:val="00EA02EB"/>
    <w:rsid w:val="00EA0E94"/>
    <w:rsid w:val="00EA1167"/>
    <w:rsid w:val="00EA459F"/>
    <w:rsid w:val="00EA4C78"/>
    <w:rsid w:val="00EB2018"/>
    <w:rsid w:val="00EC1EC8"/>
    <w:rsid w:val="00ED5952"/>
    <w:rsid w:val="00ED5F8B"/>
    <w:rsid w:val="00ED7B6D"/>
    <w:rsid w:val="00EE1459"/>
    <w:rsid w:val="00EE31C8"/>
    <w:rsid w:val="00EE44C3"/>
    <w:rsid w:val="00EE493E"/>
    <w:rsid w:val="00EE62B1"/>
    <w:rsid w:val="00EE76C3"/>
    <w:rsid w:val="00EF2DC9"/>
    <w:rsid w:val="00EF56E5"/>
    <w:rsid w:val="00F05E59"/>
    <w:rsid w:val="00F10C7F"/>
    <w:rsid w:val="00F128E3"/>
    <w:rsid w:val="00F16995"/>
    <w:rsid w:val="00F17544"/>
    <w:rsid w:val="00F249FA"/>
    <w:rsid w:val="00F261F2"/>
    <w:rsid w:val="00F371E0"/>
    <w:rsid w:val="00F405B4"/>
    <w:rsid w:val="00F622A1"/>
    <w:rsid w:val="00F631F5"/>
    <w:rsid w:val="00F63835"/>
    <w:rsid w:val="00F645D6"/>
    <w:rsid w:val="00F64E6C"/>
    <w:rsid w:val="00F71A73"/>
    <w:rsid w:val="00F73ABA"/>
    <w:rsid w:val="00F73FD6"/>
    <w:rsid w:val="00F74D0C"/>
    <w:rsid w:val="00F83A16"/>
    <w:rsid w:val="00F84D91"/>
    <w:rsid w:val="00F97954"/>
    <w:rsid w:val="00FA4F1E"/>
    <w:rsid w:val="00FA5436"/>
    <w:rsid w:val="00FB20AA"/>
    <w:rsid w:val="00FB3D14"/>
    <w:rsid w:val="00FC0DD9"/>
    <w:rsid w:val="00FC0EB3"/>
    <w:rsid w:val="00FC795E"/>
    <w:rsid w:val="00FD6D17"/>
    <w:rsid w:val="00FD6F39"/>
    <w:rsid w:val="00FE0074"/>
    <w:rsid w:val="00FE3D9F"/>
    <w:rsid w:val="00FE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FF57"/>
  <w15:docId w15:val="{71BD6C07-5360-4C94-87BF-551EA48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9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50776"/>
    <w:pPr>
      <w:spacing w:before="100" w:beforeAutospacing="1" w:after="100" w:afterAutospacing="1" w:line="240" w:lineRule="auto"/>
    </w:pPr>
    <w:rPr>
      <w:rFonts w:ascii="Arial" w:eastAsia="Times New Roman" w:hAnsi="Arial" w:cs="Arial"/>
      <w:sz w:val="18"/>
      <w:szCs w:val="18"/>
      <w:lang w:val="en-GB" w:eastAsia="en-GB"/>
    </w:rPr>
  </w:style>
  <w:style w:type="paragraph" w:styleId="a3">
    <w:name w:val="Body Text"/>
    <w:basedOn w:val="a"/>
    <w:link w:val="a4"/>
    <w:rsid w:val="00E50776"/>
    <w:pPr>
      <w:spacing w:before="120" w:after="240" w:line="240" w:lineRule="auto"/>
      <w:jc w:val="both"/>
    </w:pPr>
    <w:rPr>
      <w:rFonts w:ascii="Arial" w:eastAsia="Times New Roman" w:hAnsi="Arial" w:cs="Arial"/>
      <w:spacing w:val="-5"/>
      <w:lang w:val="en-US"/>
    </w:rPr>
  </w:style>
  <w:style w:type="character" w:customStyle="1" w:styleId="a4">
    <w:name w:val="Основной текст Знак"/>
    <w:basedOn w:val="a0"/>
    <w:link w:val="a3"/>
    <w:rsid w:val="00E50776"/>
    <w:rPr>
      <w:rFonts w:ascii="Arial" w:eastAsia="Times New Roman" w:hAnsi="Arial" w:cs="Arial"/>
      <w:spacing w:val="-5"/>
      <w:lang w:val="en-US"/>
    </w:rPr>
  </w:style>
  <w:style w:type="paragraph" w:styleId="a5">
    <w:name w:val="Plain Text"/>
    <w:basedOn w:val="a"/>
    <w:link w:val="a6"/>
    <w:rsid w:val="00E50776"/>
    <w:pPr>
      <w:spacing w:after="0" w:line="240" w:lineRule="auto"/>
    </w:pPr>
    <w:rPr>
      <w:rFonts w:ascii="Consolas" w:eastAsia="Times New Roman" w:hAnsi="Consolas" w:cs="Consolas"/>
      <w:sz w:val="21"/>
      <w:szCs w:val="21"/>
      <w:lang w:val="en-GB"/>
    </w:rPr>
  </w:style>
  <w:style w:type="character" w:customStyle="1" w:styleId="a6">
    <w:name w:val="Текст Знак"/>
    <w:basedOn w:val="a0"/>
    <w:link w:val="a5"/>
    <w:rsid w:val="00E50776"/>
    <w:rPr>
      <w:rFonts w:ascii="Consolas" w:eastAsia="Times New Roman" w:hAnsi="Consolas" w:cs="Consolas"/>
      <w:sz w:val="21"/>
      <w:szCs w:val="21"/>
      <w:lang w:val="en-GB"/>
    </w:rPr>
  </w:style>
  <w:style w:type="paragraph" w:customStyle="1" w:styleId="Default">
    <w:name w:val="Default"/>
    <w:rsid w:val="00E50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7">
    <w:name w:val="a"/>
    <w:basedOn w:val="a"/>
    <w:rsid w:val="00E50776"/>
    <w:pPr>
      <w:spacing w:after="0" w:line="240" w:lineRule="auto"/>
    </w:pPr>
    <w:rPr>
      <w:rFonts w:ascii="Times New Roman" w:eastAsia="Times New Roman" w:hAnsi="Times New Roman"/>
      <w:lang w:val="en-GB" w:eastAsia="en-GB"/>
    </w:rPr>
  </w:style>
  <w:style w:type="paragraph" w:customStyle="1" w:styleId="bj">
    <w:name w:val="bj"/>
    <w:basedOn w:val="a"/>
    <w:rsid w:val="00E50776"/>
    <w:pPr>
      <w:spacing w:after="0" w:line="240" w:lineRule="auto"/>
      <w:jc w:val="both"/>
    </w:pPr>
    <w:rPr>
      <w:rFonts w:ascii="Times New Roman" w:eastAsia="Times New Roman" w:hAnsi="Times New Roman"/>
      <w:lang w:val="en-GB" w:eastAsia="en-GB"/>
    </w:rPr>
  </w:style>
  <w:style w:type="paragraph" w:customStyle="1" w:styleId="f">
    <w:name w:val="f"/>
    <w:basedOn w:val="a"/>
    <w:rsid w:val="00E50776"/>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E50776"/>
    <w:rPr>
      <w:rFonts w:ascii="Arial" w:hAnsi="Arial" w:cs="Arial"/>
      <w:sz w:val="22"/>
      <w:szCs w:val="22"/>
    </w:rPr>
  </w:style>
  <w:style w:type="character" w:customStyle="1" w:styleId="x">
    <w:name w:val="x"/>
    <w:rsid w:val="00E50776"/>
    <w:rPr>
      <w:rFonts w:ascii="Arial" w:hAnsi="Arial" w:cs="Arial"/>
      <w:spacing w:val="-2"/>
    </w:rPr>
  </w:style>
  <w:style w:type="character" w:customStyle="1" w:styleId="w">
    <w:name w:val="w"/>
    <w:rsid w:val="00E50776"/>
    <w:rPr>
      <w:rFonts w:ascii="Arial" w:hAnsi="Arial" w:cs="Arial"/>
      <w:spacing w:val="-2"/>
    </w:rPr>
  </w:style>
  <w:style w:type="character" w:customStyle="1" w:styleId="t">
    <w:name w:val="t"/>
    <w:rsid w:val="00E50776"/>
    <w:rPr>
      <w:rFonts w:ascii="Arial" w:hAnsi="Arial" w:cs="Arial"/>
      <w:sz w:val="20"/>
      <w:szCs w:val="20"/>
    </w:rPr>
  </w:style>
  <w:style w:type="character" w:styleId="a8">
    <w:name w:val="Hyperlink"/>
    <w:unhideWhenUsed/>
    <w:rsid w:val="00E50776"/>
    <w:rPr>
      <w:color w:val="0000FF"/>
      <w:u w:val="single"/>
    </w:rPr>
  </w:style>
  <w:style w:type="paragraph" w:styleId="a9">
    <w:name w:val="Balloon Text"/>
    <w:basedOn w:val="a"/>
    <w:link w:val="aa"/>
    <w:uiPriority w:val="99"/>
    <w:semiHidden/>
    <w:unhideWhenUsed/>
    <w:rsid w:val="00E507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0776"/>
    <w:rPr>
      <w:rFonts w:ascii="Tahoma" w:eastAsia="Calibri" w:hAnsi="Tahoma" w:cs="Tahoma"/>
      <w:sz w:val="16"/>
      <w:szCs w:val="16"/>
    </w:rPr>
  </w:style>
  <w:style w:type="character" w:styleId="ab">
    <w:name w:val="annotation reference"/>
    <w:basedOn w:val="a0"/>
    <w:uiPriority w:val="99"/>
    <w:semiHidden/>
    <w:unhideWhenUsed/>
    <w:rsid w:val="00E50776"/>
    <w:rPr>
      <w:sz w:val="16"/>
      <w:szCs w:val="16"/>
    </w:rPr>
  </w:style>
  <w:style w:type="paragraph" w:styleId="ac">
    <w:name w:val="annotation text"/>
    <w:basedOn w:val="a"/>
    <w:link w:val="ad"/>
    <w:uiPriority w:val="99"/>
    <w:semiHidden/>
    <w:unhideWhenUsed/>
    <w:rsid w:val="00E50776"/>
    <w:pPr>
      <w:spacing w:line="240" w:lineRule="auto"/>
    </w:pPr>
    <w:rPr>
      <w:sz w:val="20"/>
      <w:szCs w:val="20"/>
    </w:rPr>
  </w:style>
  <w:style w:type="character" w:customStyle="1" w:styleId="ad">
    <w:name w:val="Текст примечания Знак"/>
    <w:basedOn w:val="a0"/>
    <w:link w:val="ac"/>
    <w:uiPriority w:val="99"/>
    <w:semiHidden/>
    <w:rsid w:val="00E50776"/>
    <w:rPr>
      <w:rFonts w:ascii="Calibri" w:eastAsia="Calibri" w:hAnsi="Calibri" w:cs="Times New Roman"/>
      <w:sz w:val="20"/>
      <w:szCs w:val="20"/>
    </w:rPr>
  </w:style>
  <w:style w:type="paragraph" w:styleId="ae">
    <w:name w:val="annotation subject"/>
    <w:basedOn w:val="ac"/>
    <w:next w:val="ac"/>
    <w:link w:val="af"/>
    <w:uiPriority w:val="99"/>
    <w:semiHidden/>
    <w:unhideWhenUsed/>
    <w:rsid w:val="00E50776"/>
    <w:rPr>
      <w:b/>
      <w:bCs/>
    </w:rPr>
  </w:style>
  <w:style w:type="character" w:customStyle="1" w:styleId="af">
    <w:name w:val="Тема примечания Знак"/>
    <w:basedOn w:val="ad"/>
    <w:link w:val="ae"/>
    <w:uiPriority w:val="99"/>
    <w:semiHidden/>
    <w:rsid w:val="00E50776"/>
    <w:rPr>
      <w:rFonts w:ascii="Calibri" w:eastAsia="Calibri" w:hAnsi="Calibri" w:cs="Times New Roman"/>
      <w:b/>
      <w:bCs/>
      <w:sz w:val="20"/>
      <w:szCs w:val="20"/>
    </w:rPr>
  </w:style>
  <w:style w:type="paragraph" w:styleId="af0">
    <w:name w:val="List Paragraph"/>
    <w:basedOn w:val="a"/>
    <w:uiPriority w:val="34"/>
    <w:qFormat/>
    <w:rsid w:val="000A3E04"/>
    <w:pPr>
      <w:ind w:left="720"/>
      <w:contextualSpacing/>
    </w:pPr>
  </w:style>
  <w:style w:type="paragraph" w:customStyle="1" w:styleId="ParaHeading">
    <w:name w:val="ParaHeading"/>
    <w:basedOn w:val="a3"/>
    <w:next w:val="a3"/>
    <w:link w:val="ParaHeadingChar"/>
    <w:rsid w:val="007E5C3D"/>
    <w:pPr>
      <w:keepNext/>
      <w:keepLines/>
      <w:spacing w:before="0"/>
    </w:pPr>
    <w:rPr>
      <w:rFonts w:ascii="Times New Roman" w:hAnsi="Times New Roman" w:cs="Times New Roman"/>
      <w:b/>
      <w:spacing w:val="0"/>
      <w:sz w:val="20"/>
      <w:szCs w:val="24"/>
      <w:lang w:val="en-GB"/>
    </w:rPr>
  </w:style>
  <w:style w:type="character" w:customStyle="1" w:styleId="ParaHeadingChar">
    <w:name w:val="ParaHeading Char"/>
    <w:link w:val="ParaHeading"/>
    <w:rsid w:val="007E5C3D"/>
    <w:rPr>
      <w:rFonts w:ascii="Times New Roman" w:eastAsia="Times New Roman" w:hAnsi="Times New Roman" w:cs="Times New Roman"/>
      <w:b/>
      <w:sz w:val="20"/>
      <w:szCs w:val="24"/>
      <w:lang w:val="en-GB"/>
    </w:rPr>
  </w:style>
  <w:style w:type="paragraph" w:styleId="af1">
    <w:name w:val="Normal (Web)"/>
    <w:basedOn w:val="a"/>
    <w:uiPriority w:val="99"/>
    <w:rsid w:val="00A1377A"/>
    <w:pPr>
      <w:spacing w:before="140" w:after="140" w:line="240" w:lineRule="auto"/>
    </w:pPr>
    <w:rPr>
      <w:rFonts w:ascii="Arial" w:eastAsia="Times New Roman" w:hAnsi="Arial" w:cs="Arial"/>
      <w:sz w:val="20"/>
      <w:szCs w:val="20"/>
      <w:lang w:eastAsia="ru-RU"/>
    </w:rPr>
  </w:style>
  <w:style w:type="paragraph" w:styleId="af2">
    <w:name w:val="Revision"/>
    <w:hidden/>
    <w:uiPriority w:val="99"/>
    <w:semiHidden/>
    <w:rsid w:val="00317C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0659">
      <w:bodyDiv w:val="1"/>
      <w:marLeft w:val="0"/>
      <w:marRight w:val="0"/>
      <w:marTop w:val="0"/>
      <w:marBottom w:val="0"/>
      <w:divBdr>
        <w:top w:val="none" w:sz="0" w:space="0" w:color="auto"/>
        <w:left w:val="none" w:sz="0" w:space="0" w:color="auto"/>
        <w:bottom w:val="none" w:sz="0" w:space="0" w:color="auto"/>
        <w:right w:val="none" w:sz="0" w:space="0" w:color="auto"/>
      </w:divBdr>
    </w:div>
    <w:div w:id="662708482">
      <w:bodyDiv w:val="1"/>
      <w:marLeft w:val="0"/>
      <w:marRight w:val="0"/>
      <w:marTop w:val="0"/>
      <w:marBottom w:val="0"/>
      <w:divBdr>
        <w:top w:val="none" w:sz="0" w:space="0" w:color="auto"/>
        <w:left w:val="none" w:sz="0" w:space="0" w:color="auto"/>
        <w:bottom w:val="none" w:sz="0" w:space="0" w:color="auto"/>
        <w:right w:val="none" w:sz="0" w:space="0" w:color="auto"/>
      </w:divBdr>
    </w:div>
    <w:div w:id="752969659">
      <w:bodyDiv w:val="1"/>
      <w:marLeft w:val="0"/>
      <w:marRight w:val="0"/>
      <w:marTop w:val="0"/>
      <w:marBottom w:val="0"/>
      <w:divBdr>
        <w:top w:val="none" w:sz="0" w:space="0" w:color="auto"/>
        <w:left w:val="none" w:sz="0" w:space="0" w:color="auto"/>
        <w:bottom w:val="none" w:sz="0" w:space="0" w:color="auto"/>
        <w:right w:val="none" w:sz="0" w:space="0" w:color="auto"/>
      </w:divBdr>
    </w:div>
    <w:div w:id="1328750134">
      <w:bodyDiv w:val="1"/>
      <w:marLeft w:val="0"/>
      <w:marRight w:val="0"/>
      <w:marTop w:val="0"/>
      <w:marBottom w:val="0"/>
      <w:divBdr>
        <w:top w:val="none" w:sz="0" w:space="0" w:color="auto"/>
        <w:left w:val="none" w:sz="0" w:space="0" w:color="auto"/>
        <w:bottom w:val="none" w:sz="0" w:space="0" w:color="auto"/>
        <w:right w:val="none" w:sz="0" w:space="0" w:color="auto"/>
      </w:divBdr>
    </w:div>
    <w:div w:id="1374185459">
      <w:bodyDiv w:val="1"/>
      <w:marLeft w:val="0"/>
      <w:marRight w:val="0"/>
      <w:marTop w:val="0"/>
      <w:marBottom w:val="0"/>
      <w:divBdr>
        <w:top w:val="none" w:sz="0" w:space="0" w:color="auto"/>
        <w:left w:val="none" w:sz="0" w:space="0" w:color="auto"/>
        <w:bottom w:val="none" w:sz="0" w:space="0" w:color="auto"/>
        <w:right w:val="none" w:sz="0" w:space="0" w:color="auto"/>
      </w:divBdr>
    </w:div>
    <w:div w:id="1583637753">
      <w:bodyDiv w:val="1"/>
      <w:marLeft w:val="0"/>
      <w:marRight w:val="0"/>
      <w:marTop w:val="0"/>
      <w:marBottom w:val="0"/>
      <w:divBdr>
        <w:top w:val="none" w:sz="0" w:space="0" w:color="auto"/>
        <w:left w:val="none" w:sz="0" w:space="0" w:color="auto"/>
        <w:bottom w:val="none" w:sz="0" w:space="0" w:color="auto"/>
        <w:right w:val="none" w:sz="0" w:space="0" w:color="auto"/>
      </w:divBdr>
    </w:div>
    <w:div w:id="19316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botyuk@mhp.com.ua" TargetMode="Externa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4084622400923"/>
          <c:y val="7.7565728012811946E-2"/>
          <c:w val="0.44518344781370411"/>
          <c:h val="0.70927532363539303"/>
        </c:manualLayout>
      </c:layout>
      <c:pieChart>
        <c:varyColors val="1"/>
        <c:ser>
          <c:idx val="0"/>
          <c:order val="0"/>
          <c:tx>
            <c:strRef>
              <c:f>Лист1!$B$1</c:f>
              <c:strCache>
                <c:ptCount val="1"/>
                <c:pt idx="0">
                  <c:v>Продажи</c:v>
                </c:pt>
              </c:strCache>
            </c:strRef>
          </c:tx>
          <c:dPt>
            <c:idx val="0"/>
            <c:bubble3D val="0"/>
            <c:spPr>
              <a:solidFill>
                <a:schemeClr val="tx2">
                  <a:lumMod val="50000"/>
                </a:schemeClr>
              </a:solidFill>
              <a:ln w="19050">
                <a:solidFill>
                  <a:schemeClr val="lt1"/>
                </a:solidFill>
              </a:ln>
              <a:effectLst/>
            </c:spPr>
            <c:extLst>
              <c:ext xmlns:c16="http://schemas.microsoft.com/office/drawing/2014/chart" uri="{C3380CC4-5D6E-409C-BE32-E72D297353CC}">
                <c16:uniqueId val="{00000001-985C-4EED-ADE3-1E3D49BE8312}"/>
              </c:ext>
            </c:extLst>
          </c:dPt>
          <c:dPt>
            <c:idx val="1"/>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985C-4EED-ADE3-1E3D49BE8312}"/>
              </c:ext>
            </c:extLst>
          </c:dPt>
          <c:dPt>
            <c:idx val="2"/>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5-985C-4EED-ADE3-1E3D49BE8312}"/>
              </c:ext>
            </c:extLst>
          </c:dPt>
          <c:dPt>
            <c:idx val="3"/>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07-985C-4EED-ADE3-1E3D49BE8312}"/>
              </c:ext>
            </c:extLst>
          </c:dPt>
          <c:dPt>
            <c:idx val="4"/>
            <c:bubble3D val="0"/>
            <c:spPr>
              <a:solidFill>
                <a:schemeClr val="tx2">
                  <a:lumMod val="20000"/>
                  <a:lumOff val="80000"/>
                </a:schemeClr>
              </a:solidFill>
              <a:ln w="19050">
                <a:solidFill>
                  <a:schemeClr val="lt1"/>
                </a:solidFill>
              </a:ln>
              <a:effectLst/>
            </c:spPr>
            <c:extLst>
              <c:ext xmlns:c16="http://schemas.microsoft.com/office/drawing/2014/chart" uri="{C3380CC4-5D6E-409C-BE32-E72D297353CC}">
                <c16:uniqueId val="{00000009-985C-4EED-ADE3-1E3D49BE8312}"/>
              </c:ext>
            </c:extLst>
          </c:dPt>
          <c:dLbls>
            <c:dLbl>
              <c:idx val="4"/>
              <c:layout>
                <c:manualLayout>
                  <c:x val="3.4150890713128941E-2"/>
                  <c:y val="0.10946394412562836"/>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n-V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5C-4EED-ADE3-1E3D49BE831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VG"/>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MENA</c:v>
                </c:pt>
                <c:pt idx="1">
                  <c:v>CIS</c:v>
                </c:pt>
                <c:pt idx="2">
                  <c:v>EU</c:v>
                </c:pt>
                <c:pt idx="3">
                  <c:v>Africa</c:v>
                </c:pt>
                <c:pt idx="4">
                  <c:v>Other</c:v>
                </c:pt>
              </c:strCache>
            </c:strRef>
          </c:cat>
          <c:val>
            <c:numRef>
              <c:f>Лист1!$B$2:$B$6</c:f>
              <c:numCache>
                <c:formatCode>0%</c:formatCode>
                <c:ptCount val="5"/>
                <c:pt idx="0">
                  <c:v>0.32</c:v>
                </c:pt>
                <c:pt idx="1">
                  <c:v>0.18</c:v>
                </c:pt>
                <c:pt idx="2">
                  <c:v>0.31</c:v>
                </c:pt>
                <c:pt idx="3">
                  <c:v>0.17</c:v>
                </c:pt>
                <c:pt idx="4">
                  <c:v>0.02</c:v>
                </c:pt>
              </c:numCache>
            </c:numRef>
          </c:val>
          <c:extLst>
            <c:ext xmlns:c16="http://schemas.microsoft.com/office/drawing/2014/chart" uri="{C3380CC4-5D6E-409C-BE32-E72D297353CC}">
              <c16:uniqueId val="{0000000A-985C-4EED-ADE3-1E3D49BE831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V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02941023100587"/>
          <c:y val="8.0721858920177345E-2"/>
          <c:w val="0.41069614642540542"/>
          <c:h val="0.70073579785577655"/>
        </c:manualLayout>
      </c:layout>
      <c:pieChart>
        <c:varyColors val="1"/>
        <c:ser>
          <c:idx val="0"/>
          <c:order val="0"/>
          <c:tx>
            <c:strRef>
              <c:f>Лист1!$B$1</c:f>
              <c:strCache>
                <c:ptCount val="1"/>
                <c:pt idx="0">
                  <c:v>Продажи</c:v>
                </c:pt>
              </c:strCache>
            </c:strRef>
          </c:tx>
          <c:dPt>
            <c:idx val="0"/>
            <c:bubble3D val="0"/>
            <c:spPr>
              <a:solidFill>
                <a:schemeClr val="tx2">
                  <a:lumMod val="50000"/>
                </a:schemeClr>
              </a:solidFill>
              <a:ln w="19050">
                <a:solidFill>
                  <a:schemeClr val="lt1"/>
                </a:solidFill>
              </a:ln>
              <a:effectLst/>
            </c:spPr>
            <c:extLst>
              <c:ext xmlns:c16="http://schemas.microsoft.com/office/drawing/2014/chart" uri="{C3380CC4-5D6E-409C-BE32-E72D297353CC}">
                <c16:uniqueId val="{00000001-5C3A-4EDA-808B-1F79E537944E}"/>
              </c:ext>
            </c:extLst>
          </c:dPt>
          <c:dPt>
            <c:idx val="1"/>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5C3A-4EDA-808B-1F79E537944E}"/>
              </c:ext>
            </c:extLst>
          </c:dPt>
          <c:dPt>
            <c:idx val="2"/>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5-5C3A-4EDA-808B-1F79E537944E}"/>
              </c:ext>
            </c:extLst>
          </c:dPt>
          <c:dPt>
            <c:idx val="3"/>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07-5C3A-4EDA-808B-1F79E537944E}"/>
              </c:ext>
            </c:extLst>
          </c:dPt>
          <c:dPt>
            <c:idx val="4"/>
            <c:bubble3D val="0"/>
            <c:spPr>
              <a:solidFill>
                <a:schemeClr val="tx2">
                  <a:lumMod val="20000"/>
                  <a:lumOff val="80000"/>
                </a:schemeClr>
              </a:solidFill>
              <a:ln w="19050">
                <a:solidFill>
                  <a:schemeClr val="lt1"/>
                </a:solidFill>
              </a:ln>
              <a:effectLst/>
            </c:spPr>
            <c:extLst>
              <c:ext xmlns:c16="http://schemas.microsoft.com/office/drawing/2014/chart" uri="{C3380CC4-5D6E-409C-BE32-E72D297353CC}">
                <c16:uniqueId val="{00000009-5C3A-4EDA-808B-1F79E537944E}"/>
              </c:ext>
            </c:extLst>
          </c:dPt>
          <c:dLbls>
            <c:dLbl>
              <c:idx val="0"/>
              <c:layout>
                <c:manualLayout>
                  <c:x val="-0.12287069021004526"/>
                  <c:y val="-6.4278215223097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3A-4EDA-808B-1F79E537944E}"/>
                </c:ext>
              </c:extLst>
            </c:dLbl>
            <c:dLbl>
              <c:idx val="4"/>
              <c:layout>
                <c:manualLayout>
                  <c:x val="5.8420822397199498E-3"/>
                  <c:y val="6.4687851518560185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n-V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3A-4EDA-808B-1F79E537944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VG"/>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MENA</c:v>
                </c:pt>
                <c:pt idx="1">
                  <c:v>CIS</c:v>
                </c:pt>
                <c:pt idx="2">
                  <c:v>Africa</c:v>
                </c:pt>
                <c:pt idx="3">
                  <c:v>EU</c:v>
                </c:pt>
                <c:pt idx="4">
                  <c:v>Other</c:v>
                </c:pt>
              </c:strCache>
            </c:strRef>
          </c:cat>
          <c:val>
            <c:numRef>
              <c:f>Лист1!$B$2:$B$6</c:f>
              <c:numCache>
                <c:formatCode>0%</c:formatCode>
                <c:ptCount val="5"/>
                <c:pt idx="0">
                  <c:v>0.47</c:v>
                </c:pt>
                <c:pt idx="1">
                  <c:v>0.22</c:v>
                </c:pt>
                <c:pt idx="2">
                  <c:v>0.12</c:v>
                </c:pt>
                <c:pt idx="3">
                  <c:v>0.17</c:v>
                </c:pt>
                <c:pt idx="4">
                  <c:v>0.02</c:v>
                </c:pt>
              </c:numCache>
            </c:numRef>
          </c:val>
          <c:extLst>
            <c:ext xmlns:c16="http://schemas.microsoft.com/office/drawing/2014/chart" uri="{C3380CC4-5D6E-409C-BE32-E72D297353CC}">
              <c16:uniqueId val="{0000000A-5C3A-4EDA-808B-1F79E537944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0350072135022844E-4"/>
          <c:y val="0.82451473226863592"/>
          <c:w val="0.88400271158158206"/>
          <c:h val="0.1453534409893678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V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V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1718</Words>
  <Characters>9797</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mhp</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Соботюк</dc:creator>
  <cp:lastModifiedBy>Sobotiuk Anastasiia</cp:lastModifiedBy>
  <cp:revision>3</cp:revision>
  <cp:lastPrinted>2021-07-15T08:38:00Z</cp:lastPrinted>
  <dcterms:created xsi:type="dcterms:W3CDTF">2022-07-27T05:58:00Z</dcterms:created>
  <dcterms:modified xsi:type="dcterms:W3CDTF">2022-07-27T06:06:00Z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-5758229</vt:i4>
  </property>
</Properties>
</file>